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4"/>
          <w:szCs w:val="24"/>
          <w:color w:val="auto"/>
        </w:rPr>
      </w:pPr>
    </w:p>
    <w:p>
      <w:pPr>
        <w:ind w:right="240"/>
        <w:spacing w:after="0" w:line="260" w:lineRule="auto"/>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December 8, 2023.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File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79375</wp:posOffset>
            </wp:positionV>
            <wp:extent cx="61664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61664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135255</wp:posOffset>
            </wp:positionV>
            <wp:extent cx="1299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147955</wp:posOffset>
            </wp:positionV>
            <wp:extent cx="1299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FORM</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REGISTRATION OF SECURITIES</w:t>
      </w:r>
    </w:p>
    <w:p>
      <w:pPr>
        <w:ind w:left="3480"/>
        <w:spacing w:after="0" w:line="235" w:lineRule="auto"/>
        <w:rPr>
          <w:sz w:val="20"/>
          <w:szCs w:val="20"/>
          <w:color w:val="auto"/>
        </w:rPr>
      </w:pPr>
      <w:r>
        <w:rPr>
          <w:rFonts w:ascii="Times New Roman" w:cs="Times New Roman" w:eastAsia="Times New Roman" w:hAnsi="Times New Roman"/>
          <w:sz w:val="19"/>
          <w:szCs w:val="19"/>
          <w:b w:val="1"/>
          <w:bCs w:val="1"/>
          <w:color w:val="auto"/>
        </w:rPr>
        <w:t>Pursuant to Section 12(b) or (g) of</w:t>
      </w:r>
    </w:p>
    <w:p>
      <w:pPr>
        <w:ind w:left="3420"/>
        <w:spacing w:after="0"/>
        <w:rPr>
          <w:sz w:val="20"/>
          <w:szCs w:val="20"/>
          <w:color w:val="auto"/>
        </w:rPr>
      </w:pPr>
      <w:r>
        <w:rPr>
          <w:rFonts w:ascii="Times New Roman" w:cs="Times New Roman" w:eastAsia="Times New Roman" w:hAnsi="Times New Roman"/>
          <w:sz w:val="19"/>
          <w:szCs w:val="19"/>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127635</wp:posOffset>
            </wp:positionV>
            <wp:extent cx="1299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converted as described herein into a corporation named</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139065</wp:posOffset>
            </wp:positionV>
            <wp:extent cx="1299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323" w:lineRule="exact"/>
        <w:rPr>
          <w:sz w:val="24"/>
          <w:szCs w:val="24"/>
          <w:color w:val="auto"/>
        </w:rPr>
      </w:pPr>
    </w:p>
    <w:tbl>
      <w:tblPr>
        <w:tblLayout w:type="fixed"/>
        <w:tblInd w:w="220" w:type="dxa"/>
        <w:tblCellMar>
          <w:top w:w="0" w:type="dxa"/>
          <w:left w:w="0" w:type="dxa"/>
          <w:bottom w:w="0" w:type="dxa"/>
          <w:right w:w="0" w:type="dxa"/>
        </w:tblCellMar>
      </w:tblPr>
      <w:tr>
        <w:trPr>
          <w:trHeight w:val="199"/>
        </w:trPr>
        <w:tc>
          <w:tcPr>
            <w:tcW w:w="1200" w:type="dxa"/>
            <w:vAlign w:val="bottom"/>
          </w:tcPr>
          <w:p>
            <w:pPr>
              <w:spacing w:after="0"/>
              <w:rPr>
                <w:sz w:val="17"/>
                <w:szCs w:val="17"/>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20" w:type="dxa"/>
            <w:vAlign w:val="bottom"/>
            <w:gridSpan w:val="4"/>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86-3673636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200" w:type="dxa"/>
            <w:vAlign w:val="bottom"/>
          </w:tcPr>
          <w:p>
            <w:pPr>
              <w:spacing w:after="0"/>
              <w:rPr>
                <w:sz w:val="11"/>
                <w:szCs w:val="11"/>
                <w:color w:val="auto"/>
              </w:rPr>
            </w:pPr>
          </w:p>
        </w:tc>
        <w:tc>
          <w:tcPr>
            <w:tcW w:w="3840" w:type="dxa"/>
            <w:vAlign w:val="bottom"/>
            <w:gridSpan w:val="4"/>
          </w:tcPr>
          <w:p>
            <w:pPr>
              <w:jc w:val="center"/>
              <w:ind w:right="1681"/>
              <w:spacing w:after="0" w:line="131"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360" w:type="dxa"/>
            <w:vAlign w:val="bottom"/>
            <w:gridSpan w:val="3"/>
          </w:tcPr>
          <w:p>
            <w:pPr>
              <w:jc w:val="center"/>
              <w:ind w:right="13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3840" w:type="dxa"/>
            <w:vAlign w:val="bottom"/>
            <w:gridSpan w:val="4"/>
          </w:tcPr>
          <w:p>
            <w:pPr>
              <w:jc w:val="center"/>
              <w:ind w:right="1681"/>
              <w:spacing w:after="0" w:line="146" w:lineRule="exact"/>
              <w:rPr>
                <w:sz w:val="20"/>
                <w:szCs w:val="20"/>
                <w:color w:val="auto"/>
              </w:rPr>
            </w:pPr>
            <w:r>
              <w:rPr>
                <w:rFonts w:ascii="Times New Roman" w:cs="Times New Roman" w:eastAsia="Times New Roman" w:hAnsi="Times New Roman"/>
                <w:sz w:val="13"/>
                <w:szCs w:val="13"/>
                <w:b w:val="1"/>
                <w:bCs w:val="1"/>
                <w:color w:val="auto"/>
                <w:w w:val="98"/>
              </w:rPr>
              <w:t>Incorporation or Organization)</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60" w:type="dxa"/>
            <w:vAlign w:val="bottom"/>
            <w:gridSpan w:val="3"/>
          </w:tcPr>
          <w:p>
            <w:pPr>
              <w:jc w:val="center"/>
              <w:ind w:right="1360"/>
              <w:spacing w:after="0" w:line="146"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94025</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040" w:type="dxa"/>
            <w:vAlign w:val="bottom"/>
            <w:gridSpan w:val="5"/>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gridSpan w:val="2"/>
          </w:tcPr>
          <w:p>
            <w:pPr>
              <w:jc w:val="center"/>
              <w:ind w:right="2020"/>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253"/>
        </w:trPr>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500" w:type="dxa"/>
            <w:vAlign w:val="bottom"/>
            <w:gridSpan w:val="6"/>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60" w:type="dxa"/>
            <w:vAlign w:val="bottom"/>
            <w:gridSpan w:val="4"/>
          </w:tcPr>
          <w:p>
            <w:pPr>
              <w:jc w:val="center"/>
              <w:ind w:left="1241"/>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ind w:left="561"/>
              <w:spacing w:after="0"/>
              <w:rPr>
                <w:sz w:val="20"/>
                <w:szCs w:val="20"/>
                <w:color w:val="auto"/>
              </w:rPr>
            </w:pPr>
            <w:r>
              <w:rPr>
                <w:rFonts w:ascii="Times New Roman" w:cs="Times New Roman" w:eastAsia="Times New Roman" w:hAnsi="Times New Roman"/>
                <w:sz w:val="16"/>
                <w:szCs w:val="16"/>
                <w:b w:val="1"/>
                <w:bCs w:val="1"/>
                <w:i w:val="1"/>
                <w:iCs w:val="1"/>
                <w:color w:val="auto"/>
                <w:w w:val="99"/>
              </w:rPr>
              <w:t>Copies to:</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Illumina, Inc.</w:t>
            </w:r>
          </w:p>
        </w:tc>
        <w:tc>
          <w:tcPr>
            <w:tcW w:w="274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Cravath, Swaine &amp; Moore LLP</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GRAIL, Inc.</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Latham &amp; Watkins LLP</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7"/>
              </w:rPr>
              <w:t>5200 Illumina Way</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Worldwide Plaza</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8"/>
              </w:rPr>
              <w:t>355 South Grand Avenue, Suite 100</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San Diego, CA 92122</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825 Eighth Avenue</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Los Angeles, California 90071</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(858) 202-4500</w:t>
            </w:r>
          </w:p>
        </w:tc>
        <w:tc>
          <w:tcPr>
            <w:tcW w:w="274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7"/>
              </w:rPr>
              <w:t>New York, New York 10019</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9"/>
              </w:rPr>
              <w:t>(213) 485-1234</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Attn: Charles E. Dadswell,</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9"/>
              </w:rPr>
              <w:t>(212) 474-1000</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Attn: Abram Barth,</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6"/>
              </w:rPr>
              <w:t>Attn: W. Alex Voxman</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General Counsel and Secretary</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Attn: Andrew J. Pitts</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General Counsel</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Andrew Clark</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Ting S. Chen</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Ross McAloon</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7"/>
              </w:rPr>
              <w:t>Daniel J. Cerqueira</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7"/>
              </w:rPr>
              <w:t>Alexa Berlin</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gridSpan w:val="6"/>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Securities to be registered pursuant to Section 12(b) of the Act:</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 to be so Registered</w:t>
            </w:r>
          </w:p>
        </w:tc>
        <w:tc>
          <w:tcPr>
            <w:tcW w:w="1760" w:type="dxa"/>
            <w:vAlign w:val="bottom"/>
            <w:gridSpan w:val="2"/>
            <w:vMerge w:val="restart"/>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60" w:type="dxa"/>
            <w:vAlign w:val="bottom"/>
            <w:gridSpan w:val="3"/>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7"/>
              </w:rPr>
              <w:t>Name of Each Exchange on</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2080" w:type="dxa"/>
            <w:vAlign w:val="bottom"/>
            <w:tcBorders>
              <w:bottom w:val="single" w:sz="8" w:color="auto"/>
            </w:tcBorders>
            <w:gridSpan w:val="2"/>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Which Each Class is to be Registered</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8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$0.001 per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620" w:type="dxa"/>
            <w:vAlign w:val="bottom"/>
          </w:tcPr>
          <w:p>
            <w:pPr>
              <w:spacing w:after="0"/>
              <w:rPr>
                <w:sz w:val="17"/>
                <w:szCs w:val="17"/>
                <w:color w:val="auto"/>
              </w:rPr>
            </w:pPr>
          </w:p>
        </w:tc>
        <w:tc>
          <w:tcPr>
            <w:tcW w:w="25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w w:val="95"/>
              </w:rPr>
              <w:t>The Nasdaq Stock Market LLC</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144145</wp:posOffset>
            </wp:positionV>
            <wp:extent cx="1299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98"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4" w:lineRule="exact"/>
        <w:rPr>
          <w:sz w:val="24"/>
          <w:szCs w:val="24"/>
          <w:color w:val="auto"/>
        </w:rPr>
      </w:pPr>
    </w:p>
    <w:p>
      <w:pPr>
        <w:ind w:right="3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6166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158115</wp:posOffset>
            </wp:positionV>
            <wp:extent cx="61664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16" w:right="109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GRAIL, LLC, the registrant whose name appears on the cover of this Form 10 registration statement, is a Delaware limited liability company. Prior to the completion of the Spin-Off, GRAIL, LLC will be converted into a Delaware corporation and will be renamed GRAIL, Inc. References to “GRAIL” in this Form 10 registration statement are to GRAIL, LLC prior to the effective time of such conversion and to GRAIL, Inc. on and after the effective time of such conversion.</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GRAIL is a wholly owned subsidiary of Illumina, Inc. (“Illumina”). On August 18, 2021, Illumina acquired GRAIL. The acquisition is subject to ongoing legal proceedings and, on September 6, 2022, the European Commission adopted an order prohibiting Illumina’s acquisition of GRAIL. On October 12, 2023, the European Commission adopted a decision requiring Illumina to divest GRAIL and imposing transitional measures providing that GRAIL must be held and operated separately and independently from Illumina.</w:t>
      </w:r>
    </w:p>
    <w:p>
      <w:pPr>
        <w:sectPr>
          <w:pgSz w:w="11900" w:h="16838" w:orient="portrait"/>
          <w:cols w:equalWidth="0" w:num="1">
            <w:col w:w="9620"/>
          </w:cols>
          <w:pgMar w:left="1080" w:top="252" w:right="1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Required in Registration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Cross-Reference Sheet Between the Information Statement and Items of Form 10</w:t>
      </w:r>
    </w:p>
    <w:p>
      <w:pPr>
        <w:spacing w:after="0" w:line="18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This Registration Statement on Form 10 incorporates by reference information contained in our Information Statement filed as Exhibit 99.1 to this Form 10. For your convenience, we have provided below a cross-reference sheet identifying where the items required by Form 10 can be found in the Information Statement.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76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760" w:type="dxa"/>
            <w:vAlign w:val="bottom"/>
            <w:gridSpan w:val="2"/>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0" w:type="dxa"/>
            <w:vAlign w:val="bottom"/>
            <w:tcBorders>
              <w:top w:val="single" w:sz="8" w:color="auto"/>
            </w:tcBorders>
          </w:tcPr>
          <w:p>
            <w:pPr>
              <w:spacing w:after="0"/>
              <w:rPr>
                <w:sz w:val="15"/>
                <w:szCs w:val="15"/>
                <w:color w:val="auto"/>
              </w:rPr>
            </w:pPr>
          </w:p>
        </w:tc>
        <w:tc>
          <w:tcPr>
            <w:tcW w:w="580" w:type="dxa"/>
            <w:vAlign w:val="bottom"/>
          </w:tcPr>
          <w:p>
            <w:pPr>
              <w:jc w:val="right"/>
              <w:ind w:right="101"/>
              <w:spacing w:after="0" w:line="174" w:lineRule="exact"/>
              <w:rPr>
                <w:sz w:val="20"/>
                <w:szCs w:val="20"/>
                <w:color w:val="auto"/>
              </w:rPr>
            </w:pPr>
            <w:r>
              <w:rPr>
                <w:rFonts w:ascii="Times New Roman" w:cs="Times New Roman" w:eastAsia="Times New Roman" w:hAnsi="Times New Roman"/>
                <w:sz w:val="16"/>
                <w:szCs w:val="16"/>
                <w:color w:val="auto"/>
              </w:rPr>
              <w:t>1.</w:t>
            </w:r>
          </w:p>
        </w:tc>
        <w:tc>
          <w:tcPr>
            <w:tcW w:w="456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Business</w:t>
            </w:r>
          </w:p>
        </w:tc>
        <w:tc>
          <w:tcPr>
            <w:tcW w:w="200" w:type="dxa"/>
            <w:vAlign w:val="bottom"/>
          </w:tcPr>
          <w:p>
            <w:pPr>
              <w:spacing w:after="0"/>
              <w:rPr>
                <w:sz w:val="15"/>
                <w:szCs w:val="15"/>
                <w:color w:val="auto"/>
              </w:rPr>
            </w:pPr>
          </w:p>
        </w:tc>
        <w:tc>
          <w:tcPr>
            <w:tcW w:w="408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See “Summary,” “Risk Factors,” “Cautionary Statement</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 “The Spin-Off,”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“Business,” “Management’s Discussion and Analysis of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Financial Condition and Results of Operations,” and “Where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You Can Find More Information”</w:t>
            </w:r>
          </w:p>
        </w:tc>
        <w:tc>
          <w:tcPr>
            <w:tcW w:w="0" w:type="dxa"/>
            <w:vAlign w:val="bottom"/>
          </w:tcPr>
          <w:p>
            <w:pPr>
              <w:spacing w:after="0"/>
              <w:rPr>
                <w:sz w:val="1"/>
                <w:szCs w:val="1"/>
                <w:color w:val="auto"/>
              </w:rPr>
            </w:pPr>
          </w:p>
        </w:tc>
      </w:tr>
      <w:tr>
        <w:trPr>
          <w:trHeight w:val="269"/>
        </w:trPr>
        <w:tc>
          <w:tcPr>
            <w:tcW w:w="300" w:type="dxa"/>
            <w:vAlign w:val="bottom"/>
          </w:tcPr>
          <w:p>
            <w:pPr>
              <w:spacing w:after="0"/>
              <w:rPr>
                <w:sz w:val="23"/>
                <w:szCs w:val="23"/>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1A.</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and “Cautionary Statement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“Capitalization,” “Selected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Historical Financial Data,” “Unaudited Pro Forma Condensed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Financial Information,” “Management’s</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Discussion and Analysis of Financial Condition and Results of</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Operations,” and “Index to Consolidated Financial Statements”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“Business—Properties”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“Security Ownership of Certain Beneficial Owners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and Executive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 and “Executive Compensation”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7.</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“Risk Factors,” “The Spin-Off,” “Management,”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Independence</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“Certain Relationships and Related Party Transactions”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8.</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Proceedings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“Business—Legal Proceedings”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Price of and Dividends on the Registrant’s Common Equity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w w:val="99"/>
              </w:rPr>
              <w:t>See “Summary,” “The Spin-Off,” “Dividend Policy,” “Security</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Stockholder Matters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Ownership of Certain Beneficial Owners and Management,”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and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10.</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Recent Sales of Unregistered Securities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11.</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Description of Registrant’s Securities to be Registered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bl>
    <w:p>
      <w:pPr>
        <w:sectPr>
          <w:pgSz w:w="11900" w:h="16838" w:orient="portrait"/>
          <w:cols w:equalWidth="0" w:num="1">
            <w:col w:w="9720"/>
          </w:cols>
          <w:pgMar w:left="1080" w:top="252" w:right="10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560" w:type="dxa"/>
            <w:vAlign w:val="bottom"/>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200" w:type="dxa"/>
            <w:vAlign w:val="bottom"/>
            <w:vMerge w:val="restart"/>
          </w:tcPr>
          <w:p>
            <w:pPr>
              <w:spacing w:after="0"/>
              <w:rPr>
                <w:sz w:val="12"/>
                <w:szCs w:val="12"/>
                <w:color w:val="auto"/>
              </w:rPr>
            </w:pP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5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Indemnification of Directors and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 and “Certain</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Relationships and Related Party Transactions—Agreements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with Illumina—Separation and Distribution Agreement”</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“Selected Historical Financial Data,”</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“Unaudited Pro Forma Condensed Consolidated Financial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Information,” and “Index to Consolidated Financial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Statements” and the consolidated financial statements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referenced therein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Disclosure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Exhibits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    Consolidated Financial Statements</w:t>
            </w:r>
          </w:p>
        </w:tc>
        <w:tc>
          <w:tcPr>
            <w:tcW w:w="0" w:type="dxa"/>
            <w:vAlign w:val="bottom"/>
          </w:tcPr>
          <w:p>
            <w:pPr>
              <w:spacing w:after="0"/>
              <w:rPr>
                <w:sz w:val="1"/>
                <w:szCs w:val="1"/>
                <w:color w:val="auto"/>
              </w:rPr>
            </w:pPr>
          </w:p>
        </w:tc>
      </w:tr>
      <w:tr>
        <w:trPr>
          <w:trHeight w:val="281"/>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See “Unaudited Pro Forma Consolidated Condensed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Financial Information” and “Index to Consolidated</w:t>
            </w:r>
          </w:p>
        </w:tc>
        <w:tc>
          <w:tcPr>
            <w:tcW w:w="0" w:type="dxa"/>
            <w:vAlign w:val="bottom"/>
          </w:tcPr>
          <w:p>
            <w:pPr>
              <w:spacing w:after="0"/>
              <w:rPr>
                <w:sz w:val="1"/>
                <w:szCs w:val="1"/>
                <w:color w:val="auto"/>
              </w:rPr>
            </w:pPr>
          </w:p>
        </w:tc>
      </w:tr>
    </w:tbl>
    <w:p>
      <w:pPr>
        <w:ind w:left="5960"/>
        <w:spacing w:after="0"/>
        <w:rPr>
          <w:sz w:val="20"/>
          <w:szCs w:val="20"/>
          <w:color w:val="auto"/>
        </w:rPr>
      </w:pPr>
      <w:r>
        <w:rPr>
          <w:rFonts w:ascii="Times New Roman" w:cs="Times New Roman" w:eastAsia="Times New Roman" w:hAnsi="Times New Roman"/>
          <w:sz w:val="16"/>
          <w:szCs w:val="16"/>
          <w:color w:val="auto"/>
        </w:rPr>
        <w:t>Financial Statements” and the consolidated financial</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statements referenced therein</w:t>
      </w:r>
    </w:p>
    <w:p>
      <w:pPr>
        <w:spacing w:after="0" w:line="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    Exhibits</w:t>
      </w:r>
    </w:p>
    <w:p>
      <w:pPr>
        <w:spacing w:after="0" w:line="1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See below</w:t>
      </w:r>
    </w:p>
    <w:p>
      <w:pPr>
        <w:sectPr>
          <w:pgSz w:w="11900" w:h="16838" w:orient="portrait"/>
          <w:cols w:equalWidth="0" w:num="1">
            <w:col w:w="9720"/>
          </w:cols>
          <w:pgMar w:left="1080" w:top="252" w:right="10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740" w:type="dxa"/>
            <w:vAlign w:val="bottom"/>
          </w:tcPr>
          <w:p>
            <w:pPr>
              <w:ind w:left="2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ind w:left="26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tc>
        <w:tc>
          <w:tcPr>
            <w:tcW w:w="0" w:type="dxa"/>
            <w:vAlign w:val="bottom"/>
          </w:tcPr>
          <w:p>
            <w:pPr>
              <w:spacing w:after="0"/>
              <w:rPr>
                <w:sz w:val="1"/>
                <w:szCs w:val="1"/>
                <w:color w:val="auto"/>
              </w:rPr>
            </w:pPr>
          </w:p>
        </w:tc>
      </w:tr>
      <w:tr>
        <w:trPr>
          <w:trHeight w:val="321"/>
        </w:trPr>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documents are filed as exhibits hereto:</w:t>
            </w:r>
          </w:p>
        </w:tc>
        <w:tc>
          <w:tcPr>
            <w:tcW w:w="0" w:type="dxa"/>
            <w:vAlign w:val="bottom"/>
          </w:tcPr>
          <w:p>
            <w:pPr>
              <w:spacing w:after="0"/>
              <w:rPr>
                <w:sz w:val="1"/>
                <w:szCs w:val="1"/>
                <w:color w:val="auto"/>
              </w:rPr>
            </w:pPr>
          </w:p>
        </w:tc>
      </w:tr>
      <w:tr>
        <w:trPr>
          <w:trHeight w:val="323"/>
        </w:trPr>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740" w:type="dxa"/>
            <w:vAlign w:val="bottom"/>
            <w:vMerge w:val="restart"/>
          </w:tcPr>
          <w:p>
            <w:pPr>
              <w:ind w:left="384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0" w:type="dxa"/>
            <w:vAlign w:val="bottom"/>
          </w:tcPr>
          <w:p>
            <w:pPr>
              <w:spacing w:after="0"/>
              <w:rPr>
                <w:sz w:val="1"/>
                <w:szCs w:val="1"/>
                <w:color w:val="auto"/>
              </w:rPr>
            </w:pPr>
          </w:p>
        </w:tc>
      </w:tr>
      <w:tr>
        <w:trPr>
          <w:trHeight w:val="153"/>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2.1</w:t>
            </w:r>
          </w:p>
        </w:tc>
        <w:tc>
          <w:tcPr>
            <w:tcW w:w="480" w:type="dxa"/>
            <w:vAlign w:val="bottom"/>
          </w:tcPr>
          <w:p>
            <w:pPr>
              <w:spacing w:after="0"/>
              <w:rPr>
                <w:sz w:val="23"/>
                <w:szCs w:val="23"/>
                <w:color w:val="auto"/>
              </w:rPr>
            </w:pPr>
          </w:p>
        </w:tc>
        <w:tc>
          <w:tcPr>
            <w:tcW w:w="8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Form of Separation and Distribution Agreement between GRAIL, Inc. and Illumina, Inc.*</w:t>
            </w:r>
          </w:p>
        </w:tc>
        <w:tc>
          <w:tcPr>
            <w:tcW w:w="0" w:type="dxa"/>
            <w:vAlign w:val="bottom"/>
          </w:tcPr>
          <w:p>
            <w:pPr>
              <w:spacing w:after="0"/>
              <w:rPr>
                <w:sz w:val="1"/>
                <w:szCs w:val="1"/>
                <w:color w:val="auto"/>
              </w:rPr>
            </w:pPr>
          </w:p>
        </w:tc>
      </w:tr>
      <w:tr>
        <w:trPr>
          <w:trHeight w:val="286"/>
        </w:trPr>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Certificate of Incorporation of GRAIL, Inc.*</w:t>
            </w:r>
          </w:p>
        </w:tc>
        <w:tc>
          <w:tcPr>
            <w:tcW w:w="0" w:type="dxa"/>
            <w:vAlign w:val="bottom"/>
          </w:tcPr>
          <w:p>
            <w:pPr>
              <w:spacing w:after="0"/>
              <w:rPr>
                <w:sz w:val="1"/>
                <w:szCs w:val="1"/>
                <w:color w:val="auto"/>
              </w:rPr>
            </w:pPr>
          </w:p>
        </w:tc>
      </w:tr>
      <w:tr>
        <w:trPr>
          <w:trHeight w:val="286"/>
        </w:trPr>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Bylaws of GRAIL,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Tax Matters Agreement between GRAIL, Inc. and Illumina,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Stockholder and Registration Rights Agreement between GRAIL, Inc. and Illumina,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w w:val="99"/>
              </w:rPr>
              <w:t>Agreement and Plan of Merger, dated as of September 20, 2020, among Illumina, Inc., SDG Ops, Inc., SDG Ops, LLC and GRAIL, Inc.</w:t>
            </w:r>
          </w:p>
        </w:tc>
        <w:tc>
          <w:tcPr>
            <w:tcW w:w="0" w:type="dxa"/>
            <w:vAlign w:val="bottom"/>
          </w:tcPr>
          <w:p>
            <w:pPr>
              <w:spacing w:after="0"/>
              <w:rPr>
                <w:sz w:val="1"/>
                <w:szCs w:val="1"/>
                <w:color w:val="auto"/>
              </w:rPr>
            </w:pPr>
          </w:p>
        </w:tc>
      </w:tr>
      <w:tr>
        <w:trPr>
          <w:trHeight w:val="281"/>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Amendment to the Agreement and Plan of Merger, dated as of September 20, 2020, among Illumina, Inc., SDG Ops, Inc., SDG Ops,</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LLC and GRAIL, Inc., dated as of February 4, 2021</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Supply and Commercialization Agreement, dated as of February 28, 2017, by and between Illumina, Inc. and</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GRAIL, Inc., as amended on September 27, 2017 and on August 18, 2021*</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2024 Incentive Award Plan+*</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Long-term Incentive Award Agreement+*</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Indemnification Agreement between GRAIL, LLC and each of its directors and executive officers+*</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2024 Employee Stock Purchase Plan+*</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Employment Offer Letter, between GRAIL, LLC and Robert Ragusa, dated October 14, 2021+*</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Letter Agreement, between GRAIL, Inc. and Aaron Freidin, dated July 5, 2018+*</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Employment Offer Letter, between GRAIL, Inc. and Josh Ofman, dated May 13, 2019+*</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TC1510005), dated as of April 7,</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 as amended May 29, 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TC1510006), dated as of April 7,</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 as amended May 29, 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TC1711655),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TC1711656),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TC1711657),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Lease by and between MENLO PREHC I, LLC, MENLO PREPI I, LLC, TPI Investors 9, LLC and GRAIL, Inc., dated as of May 5,</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w w:val="99"/>
              </w:rPr>
              <w:t>First Amendment to Lease among MENLO PREHC I, LLC, MENLO PREPI I, LLC, TPI Investors 9, LLC and GRAIL, Inc., dated as of</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June 8, 2017*</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Lease Agreement by and between PP Office Owner 1, L.P. and GRAIL, Inc., dated as of June 4, 2020*</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List of subsidiaries of GRAIL,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Preliminary Information Statement of GRAIL, LLC, subject to completion, dated December 8,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83185</wp:posOffset>
            </wp:positionV>
            <wp:extent cx="6800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30" w:lineRule="exact"/>
        <w:rPr>
          <w:sz w:val="20"/>
          <w:szCs w:val="20"/>
          <w:color w:val="auto"/>
        </w:rPr>
      </w:pPr>
    </w:p>
    <w:p>
      <w:pPr>
        <w:ind w:left="380" w:hanging="371"/>
        <w:spacing w:after="0"/>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23" w:lineRule="exact"/>
        <w:rPr>
          <w:sz w:val="20"/>
          <w:szCs w:val="20"/>
          <w:color w:val="auto"/>
        </w:rPr>
      </w:pPr>
    </w:p>
    <w:p>
      <w:pPr>
        <w:ind w:left="380" w:hanging="371"/>
        <w:spacing w:after="0"/>
        <w:tabs>
          <w:tab w:leader="none" w:pos="3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ectPr>
          <w:pgSz w:w="11900" w:h="16838" w:orient="portrait"/>
          <w:cols w:equalWidth="0" w:num="1">
            <w:col w:w="9720"/>
          </w:cols>
          <w:pgMar w:left="1080" w:top="252" w:right="109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Pursuant to the requirements of Section 12 of the Securities Exchange Act of 1934, the registrant has duly caused this Registration Statement on Form 10 to be signed on its behalf by the undersigned, thereunto duly authorized.</w:t>
      </w:r>
    </w:p>
    <w:p>
      <w:pPr>
        <w:spacing w:after="0" w:line="1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GRAIL, LLC</w:t>
      </w:r>
    </w:p>
    <w:p>
      <w:pPr>
        <w:spacing w:after="0" w:line="1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2669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ectPr>
          <w:pgSz w:w="11900" w:h="16838" w:orient="portrait"/>
          <w:cols w:equalWidth="0" w:num="1">
            <w:col w:w="9540"/>
          </w:cols>
          <w:pgMar w:left="1080" w:top="252" w:right="12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167005</wp:posOffset>
            </wp:positionV>
            <wp:extent cx="616648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5"/>
          <w:szCs w:val="15"/>
          <w:color w:val="auto"/>
        </w:rPr>
        <w:t>AGREEMENT AND PLAN OF MERGER</w:t>
      </w: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among</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ILLUMINA, INC.,</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SDG OPS, INC.,</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SDG OPS, LLC</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and</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GRAIL, INC.</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Dated as of September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165735</wp:posOffset>
            </wp:positionV>
            <wp:extent cx="616648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6485" cy="15240"/>
                    </a:xfrm>
                    <a:prstGeom prst="rect">
                      <a:avLst/>
                    </a:prstGeom>
                    <a:noFill/>
                  </pic:spPr>
                </pic:pic>
              </a:graphicData>
            </a:graphic>
          </wp:anchor>
        </w:drawing>
      </w:r>
    </w:p>
    <w:p>
      <w:pPr>
        <w:sectPr>
          <w:pgSz w:w="11900" w:h="16838" w:orient="portrait"/>
          <w:cols w:equalWidth="0" w:num="1">
            <w:col w:w="9360"/>
          </w:cols>
          <w:pgMar w:left="1440" w:top="121" w:right="10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9"/>
        </w:trPr>
        <w:tc>
          <w:tcPr>
            <w:tcW w:w="980" w:type="dxa"/>
            <w:vAlign w:val="bottom"/>
          </w:tcPr>
          <w:p>
            <w:pPr>
              <w:spacing w:after="0"/>
              <w:rPr>
                <w:sz w:val="18"/>
                <w:szCs w:val="18"/>
                <w:color w:val="auto"/>
              </w:rPr>
            </w:pPr>
          </w:p>
        </w:tc>
        <w:tc>
          <w:tcPr>
            <w:tcW w:w="7120" w:type="dxa"/>
            <w:vAlign w:val="bottom"/>
          </w:tcPr>
          <w:p>
            <w:pPr>
              <w:ind w:left="30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580" w:type="dxa"/>
            <w:vAlign w:val="bottom"/>
          </w:tcPr>
          <w:p>
            <w:pPr>
              <w:spacing w:after="0"/>
              <w:rPr>
                <w:sz w:val="18"/>
                <w:szCs w:val="18"/>
                <w:color w:val="auto"/>
              </w:rPr>
            </w:pPr>
          </w:p>
        </w:tc>
      </w:tr>
      <w:tr>
        <w:trPr>
          <w:trHeight w:val="328"/>
        </w:trPr>
        <w:tc>
          <w:tcPr>
            <w:tcW w:w="9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90"/>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 DEFINED TERMS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Certain Defined Terms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Defined Terms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1.03</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Interpretation; Headings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0"/>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THE MERGERS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2.01</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The Mergers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Closing; Effective Times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2.03</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the Mergers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the First Merger; Conversion of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2.05</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the Second Merger; Conversion of Securities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 of Incorporation; Bylaws; Certificate of Formation; Operating Agreement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2.07</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Directors and Officers of the Surviving Corporation and the Surviving Entity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Intended Tax Treatment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III DELIVERY OF MERGER CONSIDERATION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Election Procedures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3.02</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Exchange of Certificates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3.03</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Transfer Books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3.04</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Company Equity Awards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3.05</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Appraisal Rights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3.06</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Closing Capitalization Schedule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90"/>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IV REPRESENTATIONS AND WARRANTIES OF THE COMPANY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4.01</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Organization and Qualification; Subsidiaries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4.02</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4.03</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Authority Relative to This Agreement; Vote Required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4.04</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 Conflict; Required Filings and Consents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4.05</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Permits; Compliance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4.06</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Company Registration Statement; Financial Statements; Undisclosed Material Liabilities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4.07</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Absence of Certain Changes or Events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4.08</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Absence of Litigation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4.09</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Benefit Plans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4.10</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Labor and Employment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4.11</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Property; Title to Assets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4.12</w:t>
            </w:r>
          </w:p>
        </w:tc>
        <w:tc>
          <w:tcPr>
            <w:tcW w:w="7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Intellectual Property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9680"/>
          </w:cols>
          <w:pgMar w:left="1080" w:top="252" w:right="11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4.13</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4.14</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Environmental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Material Contracts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Insurance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4.17</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Brokers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4.18</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Regulatory Compliance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4.19</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Prohibited Payments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4.20</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Rights Agreement; State Takeover Statutes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4.21</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4.22</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Information Supplied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4.23</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 Other Representations and Warranties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0"/>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REPRESENTATIONS AND WARRANTIES OF PARENT, FIRST MERGER SUB AND SECOND MERGER SUB</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5.01</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Organization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5.02</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 of Incorporation and Bylaws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5.03</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5.04</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Authority Relative to This Agreement; Vote Required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5.05</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 Conflict; Required Filings and Consents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5.06</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Compliance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5.07</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Intellectual Property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5.08</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5.09</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 Filings; Financial Statements; Absence of Changes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5.10</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Information Supplied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5.11</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Absence of Litigation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5.12</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 of First Merger Sub and Second Merger Sub</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5.13</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Brokers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5.14</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 Other Representations and Warranties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190"/>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 CONDUCT OF BUSINESS PENDING THE MERGERS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6.01</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Conduct of Business by the Company Pending the Mergers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6.02</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Conduct of Business by Parent Pending the Mergers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0"/>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ADDITIONAL AGREEMENTS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7.01</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Registration Statement; Consent Solicitation Statement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7.02</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 Solicitation of Transactions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7.03</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Access to Information; Confidentiality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7.04</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Benefits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7.05</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Directors’ and Officers’ Indemnification and Insurance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7.06</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Notification of Certain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7.07</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Reasonable Best Efforts; Further Action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7.08</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 of First Merger Sub and Second Merger Sub</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19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7.09</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Consents of Accountants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7.10</w:t>
            </w:r>
          </w:p>
        </w:tc>
        <w:tc>
          <w:tcPr>
            <w:tcW w:w="7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Listing</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9680"/>
          </w:cols>
          <w:pgMar w:left="1080" w:top="254" w:right="1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7.11</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Public Announcements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7.12</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Certain Tax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7.13</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Drag-Along; Stockholder Agreements and Communications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7.14</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Anti-Takeover Statutes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7.15</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 Litigation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7.16</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Section 16 Matters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7.17</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CVR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7.18</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7.19</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Cooperation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7.20</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Resignations of Directors and Officers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190"/>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CONDITIONS TO THE MERGERS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8.01</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Conditions to the Obligations of Each Party</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8.02</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Conditions to the Obligations of Parent, First Merger Sub and Second Merger Sub</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8.03</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Conditions to the Obligations of the Company</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190"/>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IX TERMINATION, AMENDMENT AND WAIVER</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9.01</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Termination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9.02</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Termination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9.03</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Fees and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9.04</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Continuation Payments; Additional Termination Payment; Equity Issuance Fees and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9.05</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Amendment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9.06</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Waiver</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9.07</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Procedure for Termination or Amendment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190"/>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CVR HOLDER REPRESENTATIVE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10.01</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Designation and Replacement of CVR Holder Representative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10.02</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Authority and Rights of the CVR Holder Representative; Limitations on Liability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190"/>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XI GENERAL PROVISIONS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11.01</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Non-Survival of Representations, Warranties, Covenants and Agreements; Exclusive Remedy</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11.02</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11.03</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Severability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11.04</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Entire Agreement; Assignment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11.05</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Parties in Interest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11.06</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Specific Performance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11.07</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Governing Law</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9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11.08</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Counterparts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SECTION 11.09</w:t>
            </w:r>
          </w:p>
        </w:tc>
        <w:tc>
          <w:tcPr>
            <w:tcW w:w="7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WAIVER OF JURY TRIAL</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9680"/>
          </w:cols>
          <w:pgMar w:left="1080" w:top="254" w:right="11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11.10</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Non-Assertion of Attorney-Client Privilege</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7"/>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Section 11.11</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Release by Equityholders</w:t>
            </w:r>
          </w:p>
        </w:tc>
        <w:tc>
          <w:tcPr>
            <w:tcW w:w="2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50"/>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8"/>
              </w:rPr>
              <w:t>Schedules</w:t>
            </w:r>
          </w:p>
        </w:tc>
        <w:tc>
          <w:tcPr>
            <w:tcW w:w="36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07"/>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Schedule A</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Investors</w:t>
            </w:r>
          </w:p>
        </w:tc>
        <w:tc>
          <w:tcPr>
            <w:tcW w:w="2960" w:type="dxa"/>
            <w:vAlign w:val="bottom"/>
          </w:tcPr>
          <w:p>
            <w:pPr>
              <w:spacing w:after="0"/>
              <w:rPr>
                <w:sz w:val="17"/>
                <w:szCs w:val="17"/>
                <w:color w:val="auto"/>
              </w:rPr>
            </w:pPr>
          </w:p>
        </w:tc>
      </w:tr>
      <w:tr>
        <w:trPr>
          <w:trHeight w:val="25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7"/>
              </w:rPr>
              <w:t>Exhibits</w:t>
            </w:r>
          </w:p>
        </w:tc>
        <w:tc>
          <w:tcPr>
            <w:tcW w:w="480" w:type="dxa"/>
            <w:vAlign w:val="bottom"/>
            <w:gridSpan w:val="2"/>
          </w:tcPr>
          <w:p>
            <w:pPr>
              <w:spacing w:after="0"/>
              <w:rPr>
                <w:sz w:val="21"/>
                <w:szCs w:val="21"/>
                <w:color w:val="auto"/>
              </w:rPr>
            </w:pPr>
          </w:p>
        </w:tc>
        <w:tc>
          <w:tcPr>
            <w:tcW w:w="570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190"/>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A</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Form of Selling Investor Support Agreement</w:t>
            </w:r>
          </w:p>
        </w:tc>
        <w:tc>
          <w:tcPr>
            <w:tcW w:w="2960" w:type="dxa"/>
            <w:vAlign w:val="bottom"/>
          </w:tcPr>
          <w:p>
            <w:pPr>
              <w:spacing w:after="0"/>
              <w:rPr>
                <w:sz w:val="16"/>
                <w:szCs w:val="16"/>
                <w:color w:val="auto"/>
              </w:rPr>
            </w:pPr>
          </w:p>
        </w:tc>
      </w:tr>
      <w:tr>
        <w:trPr>
          <w:trHeight w:val="190"/>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B</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Form of Drag-Along Consent</w:t>
            </w:r>
          </w:p>
        </w:tc>
        <w:tc>
          <w:tcPr>
            <w:tcW w:w="2960" w:type="dxa"/>
            <w:vAlign w:val="bottom"/>
          </w:tcPr>
          <w:p>
            <w:pPr>
              <w:spacing w:after="0"/>
              <w:rPr>
                <w:sz w:val="16"/>
                <w:szCs w:val="16"/>
                <w:color w:val="auto"/>
              </w:rPr>
            </w:pPr>
          </w:p>
        </w:tc>
      </w:tr>
      <w:tr>
        <w:trPr>
          <w:trHeight w:val="190"/>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C</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Form of CVR Agreement</w:t>
            </w:r>
          </w:p>
        </w:tc>
        <w:tc>
          <w:tcPr>
            <w:tcW w:w="2960" w:type="dxa"/>
            <w:vAlign w:val="bottom"/>
          </w:tcPr>
          <w:p>
            <w:pPr>
              <w:spacing w:after="0"/>
              <w:rPr>
                <w:sz w:val="16"/>
                <w:szCs w:val="16"/>
                <w:color w:val="auto"/>
              </w:rPr>
            </w:pPr>
          </w:p>
        </w:tc>
      </w:tr>
      <w:tr>
        <w:trPr>
          <w:trHeight w:val="190"/>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D</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Treatment Conditions</w:t>
            </w:r>
          </w:p>
        </w:tc>
        <w:tc>
          <w:tcPr>
            <w:tcW w:w="2960" w:type="dxa"/>
            <w:vAlign w:val="bottom"/>
          </w:tcPr>
          <w:p>
            <w:pPr>
              <w:spacing w:after="0"/>
              <w:rPr>
                <w:sz w:val="16"/>
                <w:szCs w:val="16"/>
                <w:color w:val="auto"/>
              </w:rPr>
            </w:pPr>
          </w:p>
        </w:tc>
      </w:tr>
      <w:tr>
        <w:trPr>
          <w:trHeight w:val="190"/>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E</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Form of Drag-Along Notice</w:t>
            </w:r>
          </w:p>
        </w:tc>
        <w:tc>
          <w:tcPr>
            <w:tcW w:w="2960" w:type="dxa"/>
            <w:vAlign w:val="bottom"/>
          </w:tcPr>
          <w:p>
            <w:pPr>
              <w:spacing w:after="0"/>
              <w:rPr>
                <w:sz w:val="16"/>
                <w:szCs w:val="16"/>
                <w:color w:val="auto"/>
              </w:rPr>
            </w:pPr>
          </w:p>
        </w:tc>
      </w:tr>
      <w:tr>
        <w:trPr>
          <w:trHeight w:val="207"/>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F</w:t>
            </w:r>
          </w:p>
        </w:tc>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Form of Support Agreement</w:t>
            </w:r>
          </w:p>
        </w:tc>
        <w:tc>
          <w:tcPr>
            <w:tcW w:w="2960" w:type="dxa"/>
            <w:vAlign w:val="bottom"/>
          </w:tcPr>
          <w:p>
            <w:pPr>
              <w:spacing w:after="0"/>
              <w:rPr>
                <w:sz w:val="18"/>
                <w:szCs w:val="18"/>
                <w:color w:val="auto"/>
              </w:rPr>
            </w:pP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iv</w:t>
      </w:r>
    </w:p>
    <w:p>
      <w:pPr>
        <w:sectPr>
          <w:pgSz w:w="11900" w:h="16838" w:orient="portrait"/>
          <w:cols w:equalWidth="0" w:num="1">
            <w:col w:w="9680"/>
          </w:cols>
          <w:pgMar w:left="1080" w:top="254" w:right="1139" w:bottom="1440" w:gutter="0" w:footer="0" w:header="0"/>
        </w:sectPr>
      </w:pPr>
    </w:p>
    <w:bookmarkStart w:id="11" w:name="page12"/>
    <w:bookmarkEnd w:id="11"/>
    <w:p>
      <w:pPr>
        <w:ind w:right="60" w:firstLine="874"/>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AGREEMENT AND PLAN OF MERGER, dated as of September 20, 2020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among Illumina,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SDG Ops, Inc., a Delaware corporation and direct, wholly owned subsidiary of Parent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SDG Ops, LLC, a Delaware limited liability company and a direct, wholly owned subsidiary of Parent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and GRAIL,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874"/>
        <w:spacing w:after="0" w:line="270" w:lineRule="auto"/>
        <w:rPr>
          <w:sz w:val="20"/>
          <w:szCs w:val="20"/>
          <w:color w:val="auto"/>
        </w:rPr>
      </w:pPr>
      <w:r>
        <w:rPr>
          <w:rFonts w:ascii="Times New Roman" w:cs="Times New Roman" w:eastAsia="Times New Roman" w:hAnsi="Times New Roman"/>
          <w:sz w:val="15"/>
          <w:szCs w:val="15"/>
          <w:color w:val="auto"/>
        </w:rPr>
        <w:t>WHEREAS, upon the terms and subject to the conditions of this Agreement and in accordance with the DGCL (as defined below) and the DLLCA (as defined below), Parent, First Merger Sub, Second Merger Sub and the Company have agreed to enter into a business combination transaction pursuant to which (a) First Merger Sub will merge with and into the Company (the “</w:t>
      </w:r>
      <w:r>
        <w:rPr>
          <w:rFonts w:ascii="Times New Roman" w:cs="Times New Roman" w:eastAsia="Times New Roman" w:hAnsi="Times New Roman"/>
          <w:sz w:val="15"/>
          <w:szCs w:val="15"/>
          <w:u w:val="single" w:color="auto"/>
          <w:color w:val="auto"/>
        </w:rPr>
        <w:t>First Merger</w:t>
      </w:r>
      <w:r>
        <w:rPr>
          <w:rFonts w:ascii="Times New Roman" w:cs="Times New Roman" w:eastAsia="Times New Roman" w:hAnsi="Times New Roman"/>
          <w:sz w:val="15"/>
          <w:szCs w:val="15"/>
          <w:color w:val="auto"/>
        </w:rPr>
        <w:t>”), with the Company being the surviving corporation (the Company, in its capacity as the surviving corporation of the First Merger, is sometimes referred to as the “</w:t>
      </w:r>
      <w:r>
        <w:rPr>
          <w:rFonts w:ascii="Times New Roman" w:cs="Times New Roman" w:eastAsia="Times New Roman" w:hAnsi="Times New Roman"/>
          <w:sz w:val="15"/>
          <w:szCs w:val="15"/>
          <w:u w:val="single" w:color="auto"/>
          <w:color w:val="auto"/>
        </w:rPr>
        <w:t>Surviving Corporation</w:t>
      </w:r>
      <w:r>
        <w:rPr>
          <w:rFonts w:ascii="Times New Roman" w:cs="Times New Roman" w:eastAsia="Times New Roman" w:hAnsi="Times New Roman"/>
          <w:sz w:val="15"/>
          <w:szCs w:val="15"/>
          <w:color w:val="auto"/>
        </w:rPr>
        <w:t>”), and</w:t>
      </w:r>
    </w:p>
    <w:p>
      <w:pPr>
        <w:spacing w:after="0" w:line="2" w:lineRule="exact"/>
        <w:rPr>
          <w:sz w:val="20"/>
          <w:szCs w:val="20"/>
          <w:color w:val="auto"/>
        </w:rPr>
      </w:pPr>
    </w:p>
    <w:p>
      <w:pPr>
        <w:jc w:val="both"/>
        <w:ind w:right="180" w:firstLine="9"/>
        <w:spacing w:after="0" w:line="251" w:lineRule="auto"/>
        <w:tabs>
          <w:tab w:leader="none" w:pos="22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following the First Merger and as part of the same overall transaction as the First Merger, the Surviving Corporation will merge with and into Second Merger Sub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with Second Merger Sub being the surviving company of the Second Merger (Second Merger Sub, in its capacity as the surviving company of the Second Merger, is sometimes referred to as the “</w:t>
      </w:r>
      <w:r>
        <w:rPr>
          <w:rFonts w:ascii="Times New Roman" w:cs="Times New Roman" w:eastAsia="Times New Roman" w:hAnsi="Times New Roman"/>
          <w:sz w:val="16"/>
          <w:szCs w:val="16"/>
          <w:u w:val="single" w:color="auto"/>
          <w:color w:val="auto"/>
        </w:rPr>
        <w:t>Surviving Entity</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60" w:firstLine="874"/>
        <w:spacing w:after="0" w:line="258" w:lineRule="auto"/>
        <w:rPr>
          <w:sz w:val="20"/>
          <w:szCs w:val="20"/>
          <w:color w:val="auto"/>
        </w:rPr>
      </w:pPr>
      <w:r>
        <w:rPr>
          <w:rFonts w:ascii="Times New Roman" w:cs="Times New Roman" w:eastAsia="Times New Roman" w:hAnsi="Times New Roman"/>
          <w:sz w:val="16"/>
          <w:szCs w:val="16"/>
          <w:color w:val="auto"/>
        </w:rPr>
        <w:t>WHEREAS, for U.S. federal income tax purposes, each of the parties hereto intends that the First Merger and the Second Merger, taken together, will constitute an integrated transaction that qualifies as a “reorganization” within the meaning of Section 368(a) of the Code, and that this Agreement be, and hereby is, adopted as a “plan of reorganization” for the purposes of Section 368 of the Code and Treasury Regulations Sections 1.368-2(g) and 1.368-3(a).</w:t>
      </w:r>
    </w:p>
    <w:p>
      <w:pPr>
        <w:spacing w:after="0" w:line="161" w:lineRule="exact"/>
        <w:rPr>
          <w:sz w:val="20"/>
          <w:szCs w:val="20"/>
          <w:color w:val="auto"/>
        </w:rPr>
      </w:pPr>
    </w:p>
    <w:p>
      <w:pPr>
        <w:ind w:right="200" w:firstLine="874"/>
        <w:spacing w:after="0" w:line="276" w:lineRule="auto"/>
        <w:rPr>
          <w:sz w:val="20"/>
          <w:szCs w:val="20"/>
          <w:color w:val="auto"/>
        </w:rPr>
      </w:pPr>
      <w:r>
        <w:rPr>
          <w:rFonts w:ascii="Times New Roman" w:cs="Times New Roman" w:eastAsia="Times New Roman" w:hAnsi="Times New Roman"/>
          <w:sz w:val="15"/>
          <w:szCs w:val="15"/>
          <w:color w:val="auto"/>
        </w:rPr>
        <w:t>WHEREAS, the Company Board (as defined below), including both Preferred Directors (as defined in the Company’s certificate of incorporation), has (i) determined that this Agreement and the Transactions are fair to, and in the best interests of, the Company and its stockholders;</w:t>
      </w:r>
    </w:p>
    <w:p>
      <w:pPr>
        <w:spacing w:after="0" w:line="1" w:lineRule="exact"/>
        <w:rPr>
          <w:sz w:val="20"/>
          <w:szCs w:val="20"/>
          <w:color w:val="auto"/>
        </w:rPr>
      </w:pPr>
    </w:p>
    <w:p>
      <w:pPr>
        <w:ind w:right="400" w:firstLine="9"/>
        <w:spacing w:after="0" w:line="251" w:lineRule="auto"/>
        <w:tabs>
          <w:tab w:leader="none" w:pos="23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and declared advisable this Agreement and the Transactions; (iii) approved the Transactions as a “Sale of the Company” pursuant to Section 2.2 of the Voting Agreement and specified that Section 2 of the Voting Agreement shall apply to the Transactions (the “</w:t>
      </w:r>
      <w:r>
        <w:rPr>
          <w:rFonts w:ascii="Times New Roman" w:cs="Times New Roman" w:eastAsia="Times New Roman" w:hAnsi="Times New Roman"/>
          <w:sz w:val="16"/>
          <w:szCs w:val="16"/>
          <w:u w:val="single" w:color="auto"/>
          <w:color w:val="auto"/>
        </w:rPr>
        <w:t>Drag-Along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Resolutions</w:t>
      </w:r>
      <w:r>
        <w:rPr>
          <w:rFonts w:ascii="Times New Roman" w:cs="Times New Roman" w:eastAsia="Times New Roman" w:hAnsi="Times New Roman"/>
          <w:sz w:val="16"/>
          <w:szCs w:val="16"/>
          <w:color w:val="auto"/>
        </w:rPr>
        <w:t>”); (iv) resolved to recommend that the stockholders of the Company adopt this Agreement; and (v) directed that this Agreement be submitted to the stockholders of the Company for adoption;</w:t>
      </w:r>
    </w:p>
    <w:p>
      <w:pPr>
        <w:spacing w:after="0" w:line="165" w:lineRule="exact"/>
        <w:rPr>
          <w:sz w:val="20"/>
          <w:szCs w:val="20"/>
          <w:color w:val="auto"/>
        </w:rPr>
      </w:pPr>
    </w:p>
    <w:p>
      <w:pPr>
        <w:ind w:right="160" w:firstLine="874"/>
        <w:spacing w:after="0" w:line="278" w:lineRule="auto"/>
        <w:rPr>
          <w:sz w:val="20"/>
          <w:szCs w:val="20"/>
          <w:color w:val="auto"/>
        </w:rPr>
      </w:pPr>
      <w:r>
        <w:rPr>
          <w:rFonts w:ascii="Times New Roman" w:cs="Times New Roman" w:eastAsia="Times New Roman" w:hAnsi="Times New Roman"/>
          <w:sz w:val="16"/>
          <w:szCs w:val="16"/>
          <w:color w:val="auto"/>
        </w:rPr>
        <w:t>WHEREAS, the Parent Board (as defined below) has (i) determined that this Agreement and the Transactions are fair to, and in the best interests of, Parent and its stockholders and (ii) approved this Agreement and the Transactions;</w:t>
      </w:r>
    </w:p>
    <w:p>
      <w:pPr>
        <w:spacing w:after="0" w:line="145" w:lineRule="exact"/>
        <w:rPr>
          <w:sz w:val="20"/>
          <w:szCs w:val="20"/>
          <w:color w:val="auto"/>
        </w:rPr>
      </w:pPr>
    </w:p>
    <w:p>
      <w:pPr>
        <w:ind w:right="80" w:firstLine="874"/>
        <w:spacing w:after="0" w:line="278" w:lineRule="auto"/>
        <w:rPr>
          <w:sz w:val="20"/>
          <w:szCs w:val="20"/>
          <w:color w:val="auto"/>
        </w:rPr>
      </w:pPr>
      <w:r>
        <w:rPr>
          <w:rFonts w:ascii="Times New Roman" w:cs="Times New Roman" w:eastAsia="Times New Roman" w:hAnsi="Times New Roman"/>
          <w:sz w:val="16"/>
          <w:szCs w:val="16"/>
          <w:color w:val="auto"/>
        </w:rPr>
        <w:t>WHEREAS, the Board of Directors of First Merger Sub has (i) approved this Agreement and declared its advisability and (ii) resolved to recommend the adoption of this Agreement by the sole stockholder of First Merger Sub;</w:t>
      </w:r>
    </w:p>
    <w:p>
      <w:pPr>
        <w:spacing w:after="0" w:line="145" w:lineRule="exact"/>
        <w:rPr>
          <w:sz w:val="20"/>
          <w:szCs w:val="20"/>
          <w:color w:val="auto"/>
        </w:rPr>
      </w:pPr>
    </w:p>
    <w:p>
      <w:pPr>
        <w:ind w:right="120" w:firstLine="874"/>
        <w:spacing w:after="0" w:line="278" w:lineRule="auto"/>
        <w:rPr>
          <w:sz w:val="20"/>
          <w:szCs w:val="20"/>
          <w:color w:val="auto"/>
        </w:rPr>
      </w:pPr>
      <w:r>
        <w:rPr>
          <w:rFonts w:ascii="Times New Roman" w:cs="Times New Roman" w:eastAsia="Times New Roman" w:hAnsi="Times New Roman"/>
          <w:sz w:val="16"/>
          <w:szCs w:val="16"/>
          <w:color w:val="auto"/>
        </w:rPr>
        <w:t>WHEREAS, Parent, as the sole stockholder of First Merger Sub, shall adopt this Agreement immediately following the execution of this Agreement upon the approval of the Board of Directors of First Merger Sub;</w:t>
      </w:r>
    </w:p>
    <w:p>
      <w:pPr>
        <w:sectPr>
          <w:pgSz w:w="11900" w:h="16838" w:orient="portrait"/>
          <w:cols w:equalWidth="0" w:num="1">
            <w:col w:w="9660"/>
          </w:cols>
          <w:pgMar w:left="1080" w:top="254" w:right="1159" w:bottom="1440" w:gutter="0" w:footer="0" w:header="0"/>
        </w:sectPr>
      </w:pPr>
    </w:p>
    <w:bookmarkStart w:id="12" w:name="page13"/>
    <w:bookmarkEnd w:id="12"/>
    <w:p>
      <w:pPr>
        <w:ind w:firstLine="874"/>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WHEREAS, Parent, as the sole member of Second Merger Sub, has (i) determined that this Agreement and the Transactions are advisable, fair to, and in the best interests of, Second Merger Sub and its sole member and (ii) approved this Agreement and the Transactions;</w:t>
      </w:r>
    </w:p>
    <w:p>
      <w:pPr>
        <w:spacing w:after="0" w:line="145" w:lineRule="exact"/>
        <w:rPr>
          <w:sz w:val="20"/>
          <w:szCs w:val="20"/>
          <w:color w:val="auto"/>
        </w:rPr>
      </w:pPr>
    </w:p>
    <w:p>
      <w:pPr>
        <w:jc w:val="both"/>
        <w:ind w:right="100" w:firstLine="874"/>
        <w:spacing w:after="0" w:line="263" w:lineRule="auto"/>
        <w:rPr>
          <w:sz w:val="20"/>
          <w:szCs w:val="20"/>
          <w:color w:val="auto"/>
        </w:rPr>
      </w:pPr>
      <w:r>
        <w:rPr>
          <w:rFonts w:ascii="Times New Roman" w:cs="Times New Roman" w:eastAsia="Times New Roman" w:hAnsi="Times New Roman"/>
          <w:sz w:val="16"/>
          <w:szCs w:val="16"/>
          <w:color w:val="auto"/>
        </w:rPr>
        <w:t xml:space="preserve">WHEREAS, following the execution and delivery of this Agreement, each holder of Company Stock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Selling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xml:space="preserve">”) will enter into a Selling Investor Support Agreement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with such changes and modifications as may be mutually agreed by Parent and the Company (the “</w:t>
      </w:r>
      <w:r>
        <w:rPr>
          <w:rFonts w:ascii="Times New Roman" w:cs="Times New Roman" w:eastAsia="Times New Roman" w:hAnsi="Times New Roman"/>
          <w:sz w:val="16"/>
          <w:szCs w:val="16"/>
          <w:u w:val="single" w:color="auto"/>
          <w:color w:val="auto"/>
        </w:rPr>
        <w:t>Selling Investor Support Agreement</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right="120" w:firstLine="874"/>
        <w:spacing w:after="0" w:line="278" w:lineRule="auto"/>
        <w:rPr>
          <w:sz w:val="20"/>
          <w:szCs w:val="20"/>
          <w:color w:val="auto"/>
        </w:rPr>
      </w:pPr>
      <w:r>
        <w:rPr>
          <w:rFonts w:ascii="Times New Roman" w:cs="Times New Roman" w:eastAsia="Times New Roman" w:hAnsi="Times New Roman"/>
          <w:sz w:val="16"/>
          <w:szCs w:val="16"/>
          <w:color w:val="auto"/>
        </w:rPr>
        <w:t xml:space="preserve">WHEREAS, following the execution and delivery of this Agreement, the Selling Investors will execute and deliver a consent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Drag-Along Consent</w:t>
      </w:r>
      <w:r>
        <w:rPr>
          <w:rFonts w:ascii="Times New Roman" w:cs="Times New Roman" w:eastAsia="Times New Roman" w:hAnsi="Times New Roman"/>
          <w:sz w:val="16"/>
          <w:szCs w:val="16"/>
          <w:color w:val="auto"/>
        </w:rPr>
        <w:t>”); and</w:t>
      </w:r>
    </w:p>
    <w:p>
      <w:pPr>
        <w:spacing w:after="0" w:line="145" w:lineRule="exact"/>
        <w:rPr>
          <w:sz w:val="20"/>
          <w:szCs w:val="20"/>
          <w:color w:val="auto"/>
        </w:rPr>
      </w:pPr>
    </w:p>
    <w:p>
      <w:pPr>
        <w:ind w:right="220" w:firstLine="874"/>
        <w:spacing w:after="0" w:line="263" w:lineRule="auto"/>
        <w:rPr>
          <w:sz w:val="20"/>
          <w:szCs w:val="20"/>
          <w:color w:val="auto"/>
        </w:rPr>
      </w:pPr>
      <w:r>
        <w:rPr>
          <w:rFonts w:ascii="Times New Roman" w:cs="Times New Roman" w:eastAsia="Times New Roman" w:hAnsi="Times New Roman"/>
          <w:sz w:val="16"/>
          <w:szCs w:val="16"/>
          <w:color w:val="auto"/>
        </w:rPr>
        <w:t>WHEREAS, as of or prior to the Closing, Parent and a trustee mutually agreeable to Parent and the Company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xml:space="preserve">”) will enter into a Contingent Value Rights Agreement, substantially in the form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with such changes as may be mutually agreed by Parent and the Company or as the Trustee shall reasonably request (the “</w:t>
      </w:r>
      <w:r>
        <w:rPr>
          <w:rFonts w:ascii="Times New Roman" w:cs="Times New Roman" w:eastAsia="Times New Roman" w:hAnsi="Times New Roman"/>
          <w:sz w:val="16"/>
          <w:szCs w:val="16"/>
          <w:u w:val="single" w:color="auto"/>
          <w:color w:val="auto"/>
        </w:rPr>
        <w:t>CVR Agreement</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right="60" w:firstLine="874"/>
        <w:spacing w:after="0" w:line="263" w:lineRule="auto"/>
        <w:rPr>
          <w:sz w:val="20"/>
          <w:szCs w:val="20"/>
          <w:color w:val="auto"/>
        </w:rPr>
      </w:pPr>
      <w:r>
        <w:rPr>
          <w:rFonts w:ascii="Times New Roman" w:cs="Times New Roman" w:eastAsia="Times New Roman" w:hAnsi="Times New Roman"/>
          <w:sz w:val="16"/>
          <w:szCs w:val="16"/>
          <w:color w:val="auto"/>
        </w:rPr>
        <w:t>NOW, THEREFORE, in consideration of the foregoing and the respective representations, warranties, covenants and agreements contained in this Agreement, and intending to be legally bound hereby, Parent, First Merger Sub, Second Merger Sub and the Company hereby agree as follows:</w:t>
      </w: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DEFINED TERMS</w:t>
      </w:r>
    </w:p>
    <w:p>
      <w:pPr>
        <w:spacing w:after="0" w:line="1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u w:val="single" w:color="auto"/>
          <w:color w:val="auto"/>
        </w:rPr>
        <w:t>Certain Defined Terms</w:t>
      </w:r>
      <w:r>
        <w:rPr>
          <w:rFonts w:ascii="Times New Roman" w:cs="Times New Roman" w:eastAsia="Times New Roman" w:hAnsi="Times New Roman"/>
          <w:sz w:val="16"/>
          <w:szCs w:val="16"/>
          <w:color w:val="auto"/>
        </w:rPr>
        <w:t>. For purposes of this Agreement:</w:t>
      </w:r>
    </w:p>
    <w:p>
      <w:pPr>
        <w:spacing w:after="0" w:line="197" w:lineRule="exact"/>
        <w:rPr>
          <w:sz w:val="20"/>
          <w:szCs w:val="20"/>
          <w:color w:val="auto"/>
        </w:rPr>
      </w:pPr>
    </w:p>
    <w:p>
      <w:pPr>
        <w:ind w:right="2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Acceptable Confidentiality Agreement</w:t>
      </w:r>
      <w:r>
        <w:rPr>
          <w:rFonts w:ascii="Times New Roman" w:cs="Times New Roman" w:eastAsia="Times New Roman" w:hAnsi="Times New Roman"/>
          <w:sz w:val="16"/>
          <w:szCs w:val="16"/>
          <w:color w:val="auto"/>
        </w:rPr>
        <w:t xml:space="preserve">” means a customary confidentiality agreement between the Company and a Person who has made a proposal satisfying the requirements of </w:t>
      </w:r>
      <w:r>
        <w:rPr>
          <w:rFonts w:ascii="Times New Roman" w:cs="Times New Roman" w:eastAsia="Times New Roman" w:hAnsi="Times New Roman"/>
          <w:sz w:val="16"/>
          <w:szCs w:val="16"/>
          <w:u w:val="single" w:color="auto"/>
          <w:color w:val="auto"/>
        </w:rPr>
        <w:t>Section 7.02(c)</w:t>
      </w:r>
      <w:r>
        <w:rPr>
          <w:rFonts w:ascii="Times New Roman" w:cs="Times New Roman" w:eastAsia="Times New Roman" w:hAnsi="Times New Roman"/>
          <w:sz w:val="16"/>
          <w:szCs w:val="16"/>
          <w:color w:val="auto"/>
        </w:rPr>
        <w:t xml:space="preserve"> that contains terms no less favorable to the Company than those contained in the Confidentiality Agreement and does not include provisions requiring exclusive negotiations.</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Action</w:t>
      </w:r>
      <w:r>
        <w:rPr>
          <w:rFonts w:ascii="Times New Roman" w:cs="Times New Roman" w:eastAsia="Times New Roman" w:hAnsi="Times New Roman"/>
          <w:sz w:val="16"/>
          <w:szCs w:val="16"/>
          <w:color w:val="auto"/>
        </w:rPr>
        <w:t>” means any litigation, suit, claim, action, proceeding or investigation.</w:t>
      </w:r>
    </w:p>
    <w:p>
      <w:pPr>
        <w:spacing w:after="0" w:line="197" w:lineRule="exact"/>
        <w:rPr>
          <w:sz w:val="20"/>
          <w:szCs w:val="20"/>
          <w:color w:val="auto"/>
        </w:rPr>
      </w:pPr>
    </w:p>
    <w:p>
      <w:pPr>
        <w:ind w:right="36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 Person means a Person who, directly or indirectly through one or more intermediaries, controls, is controlled by, or is under common control with, such Person.</w:t>
      </w:r>
    </w:p>
    <w:p>
      <w:pPr>
        <w:spacing w:after="0" w:line="145" w:lineRule="exact"/>
        <w:rPr>
          <w:sz w:val="20"/>
          <w:szCs w:val="20"/>
          <w:color w:val="auto"/>
        </w:rPr>
      </w:pPr>
    </w:p>
    <w:p>
      <w:pPr>
        <w:ind w:right="72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Aggregate Option Exercise Price</w:t>
      </w:r>
      <w:r>
        <w:rPr>
          <w:rFonts w:ascii="Times New Roman" w:cs="Times New Roman" w:eastAsia="Times New Roman" w:hAnsi="Times New Roman"/>
          <w:sz w:val="16"/>
          <w:szCs w:val="16"/>
          <w:color w:val="auto"/>
        </w:rPr>
        <w:t>” means the aggregate exercise price of all Company Stock Options that are outstanding as of immediately prior to the Effective Time.</w:t>
      </w:r>
    </w:p>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80"/>
          </w:cols>
          <w:pgMar w:left="1080" w:top="254" w:right="1139" w:bottom="1440" w:gutter="0" w:footer="0" w:header="0"/>
        </w:sectPr>
      </w:pPr>
    </w:p>
    <w:bookmarkStart w:id="13" w:name="page14"/>
    <w:bookmarkEnd w:id="13"/>
    <w:p>
      <w:pPr>
        <w:ind w:right="60" w:firstLine="874"/>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Aggregate Stock Consideration</w:t>
      </w:r>
      <w:r>
        <w:rPr>
          <w:rFonts w:ascii="Times New Roman" w:cs="Times New Roman" w:eastAsia="Times New Roman" w:hAnsi="Times New Roman"/>
          <w:sz w:val="15"/>
          <w:szCs w:val="15"/>
          <w:color w:val="auto"/>
        </w:rPr>
        <w:t xml:space="preserve">” means, subject to adjustment pursuant to </w:t>
      </w:r>
      <w:r>
        <w:rPr>
          <w:rFonts w:ascii="Times New Roman" w:cs="Times New Roman" w:eastAsia="Times New Roman" w:hAnsi="Times New Roman"/>
          <w:sz w:val="15"/>
          <w:szCs w:val="15"/>
          <w:u w:val="single" w:color="auto"/>
          <w:color w:val="auto"/>
        </w:rPr>
        <w:t>Section 3.02(f)</w:t>
      </w:r>
      <w:r>
        <w:rPr>
          <w:rFonts w:ascii="Times New Roman" w:cs="Times New Roman" w:eastAsia="Times New Roman" w:hAnsi="Times New Roman"/>
          <w:sz w:val="15"/>
          <w:szCs w:val="15"/>
          <w:color w:val="auto"/>
        </w:rPr>
        <w:t>, the following: (a) if the Average Parent Stock Price is an amount greater than $399, then the Aggregate Stock Consideration shall be 11,278,195 shares of Parent Common Stock; (b) if the Average Parent Stock Price is an amount greater than or equal to $295 but less than or equal to $399, then the Aggregate Stock Consideration shall be a number of shares of Parent Common Stock equal to the quotient obtained by dividing (x) $4,500,000,000 by (y) the Average Parent Stock Price; or (c) if the Average Parent Stock Price is an amount less than $295, then the Aggregate Stock Consideration shall be 15,254,237 shares of Parent Common Stock.</w:t>
      </w:r>
    </w:p>
    <w:p>
      <w:pPr>
        <w:spacing w:after="0" w:line="147" w:lineRule="exact"/>
        <w:rPr>
          <w:sz w:val="20"/>
          <w:szCs w:val="20"/>
          <w:color w:val="auto"/>
        </w:rPr>
      </w:pPr>
    </w:p>
    <w:p>
      <w:pPr>
        <w:ind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Alternative Consideration</w:t>
      </w:r>
      <w:r>
        <w:rPr>
          <w:rFonts w:ascii="Times New Roman" w:cs="Times New Roman" w:eastAsia="Times New Roman" w:hAnsi="Times New Roman"/>
          <w:sz w:val="16"/>
          <w:szCs w:val="16"/>
          <w:color w:val="auto"/>
        </w:rPr>
        <w:t>” means a number of shares of Parent Common Stock and/or an amount of cash (which may be set by reference to the Company Fully Diluted Share Count), such number and/or amount to be determined by Parent in its sole discretion prior to the mailing of the Election Form.</w:t>
      </w:r>
    </w:p>
    <w:p>
      <w:pPr>
        <w:spacing w:after="0" w:line="157" w:lineRule="exact"/>
        <w:rPr>
          <w:sz w:val="20"/>
          <w:szCs w:val="20"/>
          <w:color w:val="auto"/>
        </w:rPr>
      </w:pPr>
    </w:p>
    <w:p>
      <w:pPr>
        <w:ind w:right="14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Average Parent Stock Price</w:t>
      </w:r>
      <w:r>
        <w:rPr>
          <w:rFonts w:ascii="Times New Roman" w:cs="Times New Roman" w:eastAsia="Times New Roman" w:hAnsi="Times New Roman"/>
          <w:sz w:val="16"/>
          <w:szCs w:val="16"/>
          <w:color w:val="auto"/>
        </w:rPr>
        <w:t>” means the volume weighted average trading price of Parent Common Stock on the NASDAQ (as reported by Bloomberg L.P. or, if not reported therein, in another authoritative source mutually selected by the parties) for the 20 consecutive Trading Days ending on (and including) the Trading Day that is 10 Trading Days prior to the Closing Date (rounded to four decimal places).</w:t>
      </w:r>
    </w:p>
    <w:p>
      <w:pPr>
        <w:spacing w:after="0" w:line="157" w:lineRule="exact"/>
        <w:rPr>
          <w:sz w:val="20"/>
          <w:szCs w:val="20"/>
          <w:color w:val="auto"/>
        </w:rPr>
      </w:pPr>
    </w:p>
    <w:p>
      <w:pPr>
        <w:ind w:right="58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 owner</w:t>
      </w:r>
      <w:r>
        <w:rPr>
          <w:rFonts w:ascii="Times New Roman" w:cs="Times New Roman" w:eastAsia="Times New Roman" w:hAnsi="Times New Roman"/>
          <w:sz w:val="16"/>
          <w:szCs w:val="16"/>
          <w:color w:val="auto"/>
        </w:rPr>
        <w:t>”, with respect to any shares of Company Stock, has the meaning ascribed to such term under Rule 13d-3 of the Exchange Act.</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Blue Sky Laws</w:t>
      </w:r>
      <w:r>
        <w:rPr>
          <w:rFonts w:ascii="Times New Roman" w:cs="Times New Roman" w:eastAsia="Times New Roman" w:hAnsi="Times New Roman"/>
          <w:sz w:val="16"/>
          <w:szCs w:val="16"/>
          <w:color w:val="auto"/>
        </w:rPr>
        <w:t>” means state securities or “blue sky” Laws.</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on which banks are not required or authorized to close in the City of New York.</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CARES Act</w:t>
      </w:r>
      <w:r>
        <w:rPr>
          <w:rFonts w:ascii="Times New Roman" w:cs="Times New Roman" w:eastAsia="Times New Roman" w:hAnsi="Times New Roman"/>
          <w:sz w:val="16"/>
          <w:szCs w:val="16"/>
          <w:color w:val="auto"/>
        </w:rPr>
        <w:t>” means the Coronavirus Aid, Relief and Economic Stability Act.</w:t>
      </w:r>
    </w:p>
    <w:p>
      <w:pPr>
        <w:spacing w:after="0" w:line="197" w:lineRule="exact"/>
        <w:rPr>
          <w:sz w:val="20"/>
          <w:szCs w:val="20"/>
          <w:color w:val="auto"/>
        </w:rPr>
      </w:pPr>
    </w:p>
    <w:p>
      <w:pPr>
        <w:ind w:right="22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Cash Consideration</w:t>
      </w:r>
      <w:r>
        <w:rPr>
          <w:rFonts w:ascii="Times New Roman" w:cs="Times New Roman" w:eastAsia="Times New Roman" w:hAnsi="Times New Roman"/>
          <w:sz w:val="16"/>
          <w:szCs w:val="16"/>
          <w:color w:val="auto"/>
        </w:rPr>
        <w:t>” means the quotient obtained by dividing (a) $3,500,000,000 plus the Aggregate Option Exercise Price by (b) the Company Fully Diluted Share Count.</w:t>
      </w:r>
    </w:p>
    <w:p>
      <w:pPr>
        <w:spacing w:after="0" w:line="145" w:lineRule="exact"/>
        <w:rPr>
          <w:sz w:val="20"/>
          <w:szCs w:val="20"/>
          <w:color w:val="auto"/>
        </w:rPr>
      </w:pPr>
    </w:p>
    <w:p>
      <w:pPr>
        <w:ind w:right="42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 A Restricted Stock Award</w:t>
      </w:r>
      <w:r>
        <w:rPr>
          <w:rFonts w:ascii="Times New Roman" w:cs="Times New Roman" w:eastAsia="Times New Roman" w:hAnsi="Times New Roman"/>
          <w:sz w:val="16"/>
          <w:szCs w:val="16"/>
          <w:color w:val="auto"/>
        </w:rPr>
        <w:t>” means an award of restricted shares of Company Class A Common Stock granted pursuant to the Company Stock Plan or otherwise (including as a result of any early exercise of Company Stock Options), whether subject to service- and/or performance-based vesting criteria.</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means the date on which the Closing occurs.</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United States Internal Revenue Code of 1986, as amended.</w:t>
      </w:r>
    </w:p>
    <w:p>
      <w:pPr>
        <w:spacing w:after="0" w:line="197" w:lineRule="exact"/>
        <w:rPr>
          <w:sz w:val="20"/>
          <w:szCs w:val="20"/>
          <w:color w:val="auto"/>
        </w:rPr>
      </w:pPr>
    </w:p>
    <w:p>
      <w:pPr>
        <w:ind w:right="2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Collaboration Partner</w:t>
      </w:r>
      <w:r>
        <w:rPr>
          <w:rFonts w:ascii="Times New Roman" w:cs="Times New Roman" w:eastAsia="Times New Roman" w:hAnsi="Times New Roman"/>
          <w:sz w:val="16"/>
          <w:szCs w:val="16"/>
          <w:color w:val="auto"/>
        </w:rPr>
        <w:t>” means any third party that manufactures, co-develops or co-markets (or has a license to manufacture, develop, market or sell) any product of the Company or any of its Subsidiaries.</w:t>
      </w:r>
    </w:p>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60"/>
          </w:cols>
          <w:pgMar w:left="1080" w:top="254" w:right="1159" w:bottom="1440" w:gutter="0" w:footer="0" w:header="0"/>
        </w:sectPr>
      </w:pPr>
    </w:p>
    <w:bookmarkStart w:id="14" w:name="page15"/>
    <w:bookmarkEnd w:id="14"/>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Commitment Letter</w:t>
      </w:r>
      <w:r>
        <w:rPr>
          <w:rFonts w:ascii="Times New Roman" w:cs="Times New Roman" w:eastAsia="Times New Roman" w:hAnsi="Times New Roman"/>
          <w:sz w:val="16"/>
          <w:szCs w:val="16"/>
          <w:color w:val="auto"/>
        </w:rPr>
        <w:t>” has the meaning set forth in the definition of Financing Sources.</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means the Board of Directors of the Company.</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Class A Common Stock</w:t>
      </w:r>
      <w:r>
        <w:rPr>
          <w:rFonts w:ascii="Times New Roman" w:cs="Times New Roman" w:eastAsia="Times New Roman" w:hAnsi="Times New Roman"/>
          <w:sz w:val="16"/>
          <w:szCs w:val="16"/>
          <w:color w:val="auto"/>
        </w:rPr>
        <w:t>” means Class A Common Stock, par value $0.001 per share, of the Company.</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Class B Common Stock</w:t>
      </w:r>
      <w:r>
        <w:rPr>
          <w:rFonts w:ascii="Times New Roman" w:cs="Times New Roman" w:eastAsia="Times New Roman" w:hAnsi="Times New Roman"/>
          <w:sz w:val="16"/>
          <w:szCs w:val="16"/>
          <w:color w:val="auto"/>
        </w:rPr>
        <w:t>” means Class B Common Stock, par value $0.001 per share, of the Company.</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means, collectively, the Company Class A Common Stock and the Company Class B Common Stock.</w:t>
      </w:r>
    </w:p>
    <w:p>
      <w:pPr>
        <w:spacing w:after="0" w:line="197" w:lineRule="exact"/>
        <w:rPr>
          <w:sz w:val="20"/>
          <w:szCs w:val="20"/>
          <w:color w:val="auto"/>
        </w:rPr>
      </w:pPr>
    </w:p>
    <w:p>
      <w:pPr>
        <w:ind w:right="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Disclosure Letter</w:t>
      </w:r>
      <w:r>
        <w:rPr>
          <w:rFonts w:ascii="Times New Roman" w:cs="Times New Roman" w:eastAsia="Times New Roman" w:hAnsi="Times New Roman"/>
          <w:sz w:val="16"/>
          <w:szCs w:val="16"/>
          <w:color w:val="auto"/>
        </w:rPr>
        <w:t>” means the disclosure letter dated as of the date of this Agreement and delivered by the Company to Parent, First Merger Sub and Second Merger Sub simultaneously with the signing of this Agreement.</w:t>
      </w:r>
    </w:p>
    <w:p>
      <w:pPr>
        <w:spacing w:after="0" w:line="145" w:lineRule="exact"/>
        <w:rPr>
          <w:sz w:val="20"/>
          <w:szCs w:val="20"/>
          <w:color w:val="auto"/>
        </w:rPr>
      </w:pPr>
    </w:p>
    <w:p>
      <w:pPr>
        <w:ind w:right="26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Awards</w:t>
      </w:r>
      <w:r>
        <w:rPr>
          <w:rFonts w:ascii="Times New Roman" w:cs="Times New Roman" w:eastAsia="Times New Roman" w:hAnsi="Times New Roman"/>
          <w:sz w:val="16"/>
          <w:szCs w:val="16"/>
          <w:color w:val="auto"/>
        </w:rPr>
        <w:t>” means, collectively, the Company Restricted Stock Awards, the Company RSU Awards and the Company Stock Options.</w:t>
      </w:r>
    </w:p>
    <w:p>
      <w:pPr>
        <w:spacing w:after="0" w:line="145" w:lineRule="exact"/>
        <w:rPr>
          <w:sz w:val="20"/>
          <w:szCs w:val="20"/>
          <w:color w:val="auto"/>
        </w:rPr>
      </w:pPr>
    </w:p>
    <w:p>
      <w:pPr>
        <w:ind w:firstLine="8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Fully Diluted Share Count</w:t>
      </w:r>
      <w:r>
        <w:rPr>
          <w:rFonts w:ascii="Times New Roman" w:cs="Times New Roman" w:eastAsia="Times New Roman" w:hAnsi="Times New Roman"/>
          <w:sz w:val="16"/>
          <w:szCs w:val="16"/>
          <w:color w:val="auto"/>
        </w:rPr>
        <w:t xml:space="preserve">” means, in each case as of immediately prior to the Effective Time, (a) the aggregate number of shares of Company Class A Common Stock issued and outstanding, including all Class A Restricted Stock Awards; (b) the aggregate number of shares of Company Class A Common Stock issuable upon conversion of all issued and outstanding shares of Company Class B Common Stock and Company Preferred Stock in accordance with the Company’s certificate of incorporation; and (c) except as otherwise included in the foregoing clause (b), the aggregate number of shares of Company Class A Common Stock issuable in respect of all outstanding options and other direct or indirect rights to acquire shares of Company Class A Common Stock or securities ultimately convertible into or exchangeable for shares of Company Class A Common Stock, including all Company RSU Awards and Company Stock Options;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any equity securities which may be issuable by the Company pursuant to the terms of the contract disclosed at item 35 of </w:t>
      </w:r>
      <w:r>
        <w:rPr>
          <w:rFonts w:ascii="Times New Roman" w:cs="Times New Roman" w:eastAsia="Times New Roman" w:hAnsi="Times New Roman"/>
          <w:sz w:val="16"/>
          <w:szCs w:val="16"/>
          <w:u w:val="single" w:color="auto"/>
          <w:color w:val="auto"/>
        </w:rPr>
        <w:t>Section 4.09(a) of the Company Disclosure Letter</w:t>
      </w:r>
      <w:r>
        <w:rPr>
          <w:rFonts w:ascii="Times New Roman" w:cs="Times New Roman" w:eastAsia="Times New Roman" w:hAnsi="Times New Roman"/>
          <w:sz w:val="16"/>
          <w:szCs w:val="16"/>
          <w:color w:val="auto"/>
        </w:rPr>
        <w:t xml:space="preserve"> shall not be included in “Company Fully Diluted Share Count” unless such equity securities are issued and outstanding as of immediately prior to the Effective Time.</w:t>
      </w:r>
    </w:p>
    <w:p>
      <w:pPr>
        <w:spacing w:after="0" w:line="170" w:lineRule="exact"/>
        <w:rPr>
          <w:sz w:val="20"/>
          <w:szCs w:val="20"/>
          <w:color w:val="auto"/>
        </w:rPr>
      </w:pPr>
    </w:p>
    <w:p>
      <w:pPr>
        <w:ind w:right="1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IP</w:t>
      </w:r>
      <w:r>
        <w:rPr>
          <w:rFonts w:ascii="Times New Roman" w:cs="Times New Roman" w:eastAsia="Times New Roman" w:hAnsi="Times New Roman"/>
          <w:sz w:val="16"/>
          <w:szCs w:val="16"/>
          <w:color w:val="auto"/>
        </w:rPr>
        <w:t>” means all Company Owned IP together with all Intellectual Property licensed by the Company or any of its Subsidiaries and used, held for use or planned for use in the Company’s business.</w:t>
      </w:r>
    </w:p>
    <w:p>
      <w:pPr>
        <w:spacing w:after="0" w:line="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20"/>
          </w:cols>
          <w:pgMar w:left="1080" w:top="254" w:right="1199" w:bottom="1440" w:gutter="0" w:footer="0" w:header="0"/>
        </w:sectPr>
      </w:pPr>
    </w:p>
    <w:bookmarkStart w:id="15" w:name="page16"/>
    <w:bookmarkEnd w:id="15"/>
    <w:p>
      <w:pPr>
        <w:ind w:firstLine="874"/>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Company IP Agreements</w:t>
      </w:r>
      <w:r>
        <w:rPr>
          <w:rFonts w:ascii="Times New Roman" w:cs="Times New Roman" w:eastAsia="Times New Roman" w:hAnsi="Times New Roman"/>
          <w:sz w:val="16"/>
          <w:szCs w:val="16"/>
          <w:color w:val="auto"/>
        </w:rPr>
        <w:t>” means any and all contracts relating in whole or in part to the Company IP or IT Assets, to which the Company or any of its Subsidiaries is a party or beneficiary or by which the Company or any of its Subsidiaries, or any Company IP or IT Assets may be bound, which contracts are used, held for use or planned for use in the Company’s business, including all (a) licenses or covenants, including covenants not to sue, to Intellectual Property granted by the Company or any of its Subsidiaries to any third party, (b) licenses or covenants, including covenants not to sue, to Intellectual Property granted to the Company or any of its Subsidiaries by any third party, (c) other contracts between the Company or any of its Subsidiaries and any third party relating to the transfer, development, maintenance or use of Intellectual Property or IT Assets and (d) consents, settlements, and Orders governing the use, validity or enforceability of Intellectual Property or IT Assets.</w:t>
      </w:r>
    </w:p>
    <w:p>
      <w:pPr>
        <w:spacing w:after="0" w:line="166" w:lineRule="exact"/>
        <w:rPr>
          <w:sz w:val="20"/>
          <w:szCs w:val="20"/>
          <w:color w:val="auto"/>
        </w:rPr>
      </w:pPr>
    </w:p>
    <w:p>
      <w:pPr>
        <w:ind w:firstLine="874"/>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xml:space="preserve">” means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the Company and its Subsidiaries taken as a whole;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event, occurrence, state of facts, development, circumstance, change or effect to the extent resulting from the following shall not be taken into account in determining whether a Company Material Adverse Effect has occurred: (i) any failure, in and of itself, to meet internal projections or forecasts for any period ending on or after the date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facts or causes underlying or contributing to such change or failure shall be considered in determining whether a Company Material Adverse Effect has occurred); (ii) changes in U.S. or non-U.S. general economic or political conditions, or in the financial, credit or securities markets in general, including any shutdown of any Governmental Authority; (iii) changes in applicable Law or GAAP or in any interpretation thereof; (iv) changes in the industries in which the Company and its Subsidiaries operate regardless of geographic region (including legal and regulatory changes); (v) acts of civil unrest or war (whether or not declared), armed hostilities or terrorism, or any escalation or worsening of any acts of civil unrest or war (whether or not declared), armed hostilities or terrorism; (vi) earthquakes, hurricanes, tsunamis, tornadoes, floods, mudslides, volcanic eruptions or other natural disasters or any epidemic or pandemic (including the COVID-19 pandemic); (vii) FDA and other regulatory actions, enforcement, requirements or directives (including delay, clinical hold, rejection or additional clinical requirements with respect to any premarket approval application or investigational device exemption application), the scope of marketing approval or intended use statement(s), issuance of warning letters, audit findings, and other exercise or enforcement discretion, pre-or post-approval requirements, limitations or restrictions or rejection or revocation of any accreditations, authorizations, certifications, permits licenses related to the Company’s businesses and products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exception in this clause (vii) shall only apply to the definition of “Company Material Adverse Effect” for the purposes of </w:t>
      </w:r>
      <w:r>
        <w:rPr>
          <w:rFonts w:ascii="Times New Roman" w:cs="Times New Roman" w:eastAsia="Times New Roman" w:hAnsi="Times New Roman"/>
          <w:sz w:val="16"/>
          <w:szCs w:val="16"/>
          <w:u w:val="single" w:color="auto"/>
          <w:color w:val="auto"/>
        </w:rPr>
        <w:t>Section 8.02(a)</w:t>
      </w:r>
      <w:r>
        <w:rPr>
          <w:rFonts w:ascii="Times New Roman" w:cs="Times New Roman" w:eastAsia="Times New Roman" w:hAnsi="Times New Roman"/>
          <w:sz w:val="16"/>
          <w:szCs w:val="16"/>
          <w:color w:val="auto"/>
        </w:rPr>
        <w:t xml:space="preserve"> as applied to the representations and warranties in </w:t>
      </w:r>
      <w:r>
        <w:rPr>
          <w:rFonts w:ascii="Times New Roman" w:cs="Times New Roman" w:eastAsia="Times New Roman" w:hAnsi="Times New Roman"/>
          <w:sz w:val="16"/>
          <w:szCs w:val="16"/>
          <w:u w:val="single" w:color="auto"/>
          <w:color w:val="auto"/>
        </w:rPr>
        <w:t>Section 4.18</w:t>
      </w:r>
      <w:r>
        <w:rPr>
          <w:rFonts w:ascii="Times New Roman" w:cs="Times New Roman" w:eastAsia="Times New Roman" w:hAnsi="Times New Roman"/>
          <w:sz w:val="16"/>
          <w:szCs w:val="16"/>
          <w:color w:val="auto"/>
        </w:rPr>
        <w:t xml:space="preserve"> if the representations and warranties in </w:t>
      </w:r>
      <w:r>
        <w:rPr>
          <w:rFonts w:ascii="Times New Roman" w:cs="Times New Roman" w:eastAsia="Times New Roman" w:hAnsi="Times New Roman"/>
          <w:sz w:val="16"/>
          <w:szCs w:val="16"/>
          <w:u w:val="single" w:color="auto"/>
          <w:color w:val="auto"/>
        </w:rPr>
        <w:t>Section 4.18</w:t>
      </w:r>
      <w:r>
        <w:rPr>
          <w:rFonts w:ascii="Times New Roman" w:cs="Times New Roman" w:eastAsia="Times New Roman" w:hAnsi="Times New Roman"/>
          <w:sz w:val="16"/>
          <w:szCs w:val="16"/>
          <w:color w:val="auto"/>
        </w:rPr>
        <w:t xml:space="preserve"> were true as of the date hereof, disregarding the exceptions set forth in this clause (vii) and clause (viii)); (viii) data and other results from clinical trials (including PATHFINDER, STRIVE and SUMMIT)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exception in this clause (viii) shall only apply to the definition of “Company Material Adverse Effect” for the purposes of </w:t>
      </w:r>
      <w:r>
        <w:rPr>
          <w:rFonts w:ascii="Times New Roman" w:cs="Times New Roman" w:eastAsia="Times New Roman" w:hAnsi="Times New Roman"/>
          <w:sz w:val="16"/>
          <w:szCs w:val="16"/>
          <w:u w:val="single" w:color="auto"/>
          <w:color w:val="auto"/>
        </w:rPr>
        <w:t>Section 8.02(a)</w:t>
      </w:r>
      <w:r>
        <w:rPr>
          <w:rFonts w:ascii="Times New Roman" w:cs="Times New Roman" w:eastAsia="Times New Roman" w:hAnsi="Times New Roman"/>
          <w:sz w:val="16"/>
          <w:szCs w:val="16"/>
          <w:color w:val="auto"/>
        </w:rPr>
        <w:t xml:space="preserve"> as applied to the representations and warranties in </w:t>
      </w:r>
      <w:r>
        <w:rPr>
          <w:rFonts w:ascii="Times New Roman" w:cs="Times New Roman" w:eastAsia="Times New Roman" w:hAnsi="Times New Roman"/>
          <w:sz w:val="16"/>
          <w:szCs w:val="16"/>
          <w:u w:val="single" w:color="auto"/>
          <w:color w:val="auto"/>
        </w:rPr>
        <w:t>Section 4.18</w:t>
      </w:r>
      <w:r>
        <w:rPr>
          <w:rFonts w:ascii="Times New Roman" w:cs="Times New Roman" w:eastAsia="Times New Roman" w:hAnsi="Times New Roman"/>
          <w:sz w:val="16"/>
          <w:szCs w:val="16"/>
          <w:color w:val="auto"/>
        </w:rPr>
        <w:t xml:space="preserve"> if the representations and warranties in </w:t>
      </w:r>
      <w:r>
        <w:rPr>
          <w:rFonts w:ascii="Times New Roman" w:cs="Times New Roman" w:eastAsia="Times New Roman" w:hAnsi="Times New Roman"/>
          <w:sz w:val="16"/>
          <w:szCs w:val="16"/>
          <w:u w:val="single" w:color="auto"/>
          <w:color w:val="auto"/>
        </w:rPr>
        <w:t>Section 4.18</w:t>
      </w:r>
      <w:r>
        <w:rPr>
          <w:rFonts w:ascii="Times New Roman" w:cs="Times New Roman" w:eastAsia="Times New Roman" w:hAnsi="Times New Roman"/>
          <w:sz w:val="16"/>
          <w:szCs w:val="16"/>
          <w:color w:val="auto"/>
        </w:rPr>
        <w:t xml:space="preserve"> were true as of the date hereof, disregarding the exceptions set forth in clause (vii) and this clause (viii)); (ix) any disruptions in Parent’s supply of sequencers and associated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20"/>
          </w:cols>
          <w:pgMar w:left="1080" w:top="254" w:right="1099" w:bottom="1440" w:gutter="0" w:footer="0" w:header="0"/>
        </w:sectPr>
      </w:pPr>
    </w:p>
    <w:bookmarkStart w:id="16" w:name="page17"/>
    <w:bookmarkEnd w:id="16"/>
    <w:p>
      <w:pPr>
        <w:ind w:right="14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reagents to the Company and its Subsidiaries; or (x) the public announcement of this Agreement or the pendency of the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each of clauses (ii) through (vi), the Company and its Subsidiaries, taken as a whole, are not affected disproportionately relative to other participants in the industries in which they operate; or (b) would reasonably be expected to prevent or materially delay the consummation of the Transactions by the Company. Notwithstanding the foregoing, in the case of clauses (a)(vii) and (a)(viii), any event, occurrence, state of facts, development, circumstance, change or effect resulting from intentional fraud by the Company or any of its Subsidiaries may be taken into account in determining whether the condition set forth in </w:t>
      </w:r>
      <w:r>
        <w:rPr>
          <w:rFonts w:ascii="Times New Roman" w:cs="Times New Roman" w:eastAsia="Times New Roman" w:hAnsi="Times New Roman"/>
          <w:sz w:val="16"/>
          <w:szCs w:val="16"/>
          <w:u w:val="single" w:color="auto"/>
          <w:color w:val="auto"/>
        </w:rPr>
        <w:t>Section 8.02(a)</w:t>
      </w:r>
      <w:r>
        <w:rPr>
          <w:rFonts w:ascii="Times New Roman" w:cs="Times New Roman" w:eastAsia="Times New Roman" w:hAnsi="Times New Roman"/>
          <w:sz w:val="16"/>
          <w:szCs w:val="16"/>
          <w:color w:val="auto"/>
        </w:rPr>
        <w:t xml:space="preserve"> has been satisfied.</w:t>
      </w:r>
    </w:p>
    <w:p>
      <w:pPr>
        <w:spacing w:after="0" w:line="165" w:lineRule="exact"/>
        <w:rPr>
          <w:sz w:val="20"/>
          <w:szCs w:val="20"/>
          <w:color w:val="auto"/>
        </w:rPr>
      </w:pPr>
    </w:p>
    <w:p>
      <w:pPr>
        <w:ind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Owned IP</w:t>
      </w:r>
      <w:r>
        <w:rPr>
          <w:rFonts w:ascii="Times New Roman" w:cs="Times New Roman" w:eastAsia="Times New Roman" w:hAnsi="Times New Roman"/>
          <w:sz w:val="16"/>
          <w:szCs w:val="16"/>
          <w:color w:val="auto"/>
        </w:rPr>
        <w:t>” means all Intellectual Property owned or purported to be owned by the Company or any of its Subsidiaries (whether solely or jointly with one or more other Persons) as of the date of this Agreement.</w:t>
      </w:r>
    </w:p>
    <w:p>
      <w:pPr>
        <w:spacing w:after="0" w:line="145" w:lineRule="exact"/>
        <w:rPr>
          <w:sz w:val="20"/>
          <w:szCs w:val="20"/>
          <w:color w:val="auto"/>
        </w:rPr>
      </w:pPr>
    </w:p>
    <w:p>
      <w:pPr>
        <w:ind w:right="160" w:firstLine="874"/>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Permits</w:t>
      </w:r>
      <w:r>
        <w:rPr>
          <w:rFonts w:ascii="Times New Roman" w:cs="Times New Roman" w:eastAsia="Times New Roman" w:hAnsi="Times New Roman"/>
          <w:sz w:val="16"/>
          <w:szCs w:val="16"/>
          <w:color w:val="auto"/>
        </w:rPr>
        <w:t>” means franchises, grants, authorizations, licenses, permits, easements, variances, exceptions, consents, concessions, registrations, clearances, exemptions, certificates, filings, notices, approvals and orders of any Governmental Authority necessary for each of the Company and its Subsidiaries to own, lease and operate their respective properties and assets or to carry on their respective businesses as they are now being conducted.</w:t>
      </w:r>
    </w:p>
    <w:p>
      <w:pPr>
        <w:spacing w:after="0" w:line="161" w:lineRule="exact"/>
        <w:rPr>
          <w:sz w:val="20"/>
          <w:szCs w:val="20"/>
          <w:color w:val="auto"/>
        </w:rPr>
      </w:pPr>
    </w:p>
    <w:p>
      <w:pPr>
        <w:ind w:right="4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Preferred Stock</w:t>
      </w:r>
      <w:r>
        <w:rPr>
          <w:rFonts w:ascii="Times New Roman" w:cs="Times New Roman" w:eastAsia="Times New Roman" w:hAnsi="Times New Roman"/>
          <w:sz w:val="16"/>
          <w:szCs w:val="16"/>
          <w:color w:val="auto"/>
        </w:rPr>
        <w:t>” means, collectively, the Company Series A Preferred Stock, the Company Series B Preferred Stock, the Company Series C Preferred Stock and the Company Series D Preferred Stock.</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Recommendation</w:t>
      </w:r>
      <w:r>
        <w:rPr>
          <w:rFonts w:ascii="Times New Roman" w:cs="Times New Roman" w:eastAsia="Times New Roman" w:hAnsi="Times New Roman"/>
          <w:sz w:val="16"/>
          <w:szCs w:val="16"/>
          <w:color w:val="auto"/>
        </w:rPr>
        <w:t>” means the recommendation of the Company Board that the Company stockholders adopt this Agreement.</w:t>
      </w:r>
    </w:p>
    <w:p>
      <w:pPr>
        <w:spacing w:after="0" w:line="197" w:lineRule="exact"/>
        <w:rPr>
          <w:sz w:val="20"/>
          <w:szCs w:val="20"/>
          <w:color w:val="auto"/>
        </w:rPr>
      </w:pPr>
    </w:p>
    <w:p>
      <w:pPr>
        <w:ind w:right="22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Registration Statement</w:t>
      </w:r>
      <w:r>
        <w:rPr>
          <w:rFonts w:ascii="Times New Roman" w:cs="Times New Roman" w:eastAsia="Times New Roman" w:hAnsi="Times New Roman"/>
          <w:sz w:val="16"/>
          <w:szCs w:val="16"/>
          <w:color w:val="auto"/>
        </w:rPr>
        <w:t>” means the registration statement on Form S-1 (File No. 333-248672) filed by the Company with the SEC on September 9, 2020, including all exhibits thereto.</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Stock Awards</w:t>
      </w:r>
      <w:r>
        <w:rPr>
          <w:rFonts w:ascii="Times New Roman" w:cs="Times New Roman" w:eastAsia="Times New Roman" w:hAnsi="Times New Roman"/>
          <w:sz w:val="16"/>
          <w:szCs w:val="16"/>
          <w:color w:val="auto"/>
        </w:rPr>
        <w:t>” means, collectively, the Class A Restricted Stock Awards.</w:t>
      </w:r>
    </w:p>
    <w:p>
      <w:pPr>
        <w:spacing w:after="0" w:line="197" w:lineRule="exact"/>
        <w:rPr>
          <w:sz w:val="20"/>
          <w:szCs w:val="20"/>
          <w:color w:val="auto"/>
        </w:rPr>
      </w:pPr>
    </w:p>
    <w:p>
      <w:pPr>
        <w:ind w:right="38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RSU Award</w:t>
      </w:r>
      <w:r>
        <w:rPr>
          <w:rFonts w:ascii="Times New Roman" w:cs="Times New Roman" w:eastAsia="Times New Roman" w:hAnsi="Times New Roman"/>
          <w:sz w:val="16"/>
          <w:szCs w:val="16"/>
          <w:color w:val="auto"/>
        </w:rPr>
        <w:t>” means an award of restricted stock units with respect to shares of Company Class A Common Stock granted pursuant to the Company Stock Plan or otherwise, whether subject to service- and/or performance-based vesting criteria.</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Series A Preferred Stock</w:t>
      </w:r>
      <w:r>
        <w:rPr>
          <w:rFonts w:ascii="Times New Roman" w:cs="Times New Roman" w:eastAsia="Times New Roman" w:hAnsi="Times New Roman"/>
          <w:sz w:val="16"/>
          <w:szCs w:val="16"/>
          <w:color w:val="auto"/>
        </w:rPr>
        <w:t>” means the Series A Preferred Stock, par value $0.001 per share, of the Company.</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Series B Preferred Stock</w:t>
      </w:r>
      <w:r>
        <w:rPr>
          <w:rFonts w:ascii="Times New Roman" w:cs="Times New Roman" w:eastAsia="Times New Roman" w:hAnsi="Times New Roman"/>
          <w:sz w:val="16"/>
          <w:szCs w:val="16"/>
          <w:color w:val="auto"/>
        </w:rPr>
        <w:t>” means the Series B Preferred Stock, par value $0.001 per share, of the Company.</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Series C Preferred Stock</w:t>
      </w:r>
      <w:r>
        <w:rPr>
          <w:rFonts w:ascii="Times New Roman" w:cs="Times New Roman" w:eastAsia="Times New Roman" w:hAnsi="Times New Roman"/>
          <w:sz w:val="16"/>
          <w:szCs w:val="16"/>
          <w:color w:val="auto"/>
        </w:rPr>
        <w:t>” means the Series C Preferred Stock, par value $0.001 per share, of the Company.</w:t>
      </w:r>
    </w:p>
    <w:p>
      <w:pPr>
        <w:spacing w:after="0" w:line="1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20"/>
          </w:cols>
          <w:pgMar w:left="1080" w:top="254" w:right="1099" w:bottom="1440" w:gutter="0" w:footer="0" w:header="0"/>
        </w:sectPr>
      </w:pPr>
    </w:p>
    <w:bookmarkStart w:id="17" w:name="page18"/>
    <w:bookmarkEnd w:id="17"/>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Company Series D Preferred Stock</w:t>
      </w:r>
      <w:r>
        <w:rPr>
          <w:rFonts w:ascii="Times New Roman" w:cs="Times New Roman" w:eastAsia="Times New Roman" w:hAnsi="Times New Roman"/>
          <w:sz w:val="16"/>
          <w:szCs w:val="16"/>
          <w:color w:val="auto"/>
        </w:rPr>
        <w:t>” means the Series D Preferred Stock, par value $0.001 per share, of the Company.</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w:t>
      </w:r>
      <w:r>
        <w:rPr>
          <w:rFonts w:ascii="Times New Roman" w:cs="Times New Roman" w:eastAsia="Times New Roman" w:hAnsi="Times New Roman"/>
          <w:sz w:val="16"/>
          <w:szCs w:val="16"/>
          <w:color w:val="auto"/>
        </w:rPr>
        <w:t>” means, collectively, the Company Common Stock and Company Preferred Stock.</w:t>
      </w:r>
    </w:p>
    <w:p>
      <w:pPr>
        <w:spacing w:after="0" w:line="197" w:lineRule="exact"/>
        <w:rPr>
          <w:sz w:val="20"/>
          <w:szCs w:val="20"/>
          <w:color w:val="auto"/>
        </w:rPr>
      </w:pPr>
    </w:p>
    <w:p>
      <w:pPr>
        <w:ind w:right="5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 Option</w:t>
      </w:r>
      <w:r>
        <w:rPr>
          <w:rFonts w:ascii="Times New Roman" w:cs="Times New Roman" w:eastAsia="Times New Roman" w:hAnsi="Times New Roman"/>
          <w:sz w:val="16"/>
          <w:szCs w:val="16"/>
          <w:color w:val="auto"/>
        </w:rPr>
        <w:t>” means an award of unexercised options to purchase shares of Company Class A Common Stock granted pursuant to the Company Stock Plan or otherwise, whether subject to service- and/or performance-based vesting criteria.</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 Plan</w:t>
      </w:r>
      <w:r>
        <w:rPr>
          <w:rFonts w:ascii="Times New Roman" w:cs="Times New Roman" w:eastAsia="Times New Roman" w:hAnsi="Times New Roman"/>
          <w:sz w:val="16"/>
          <w:szCs w:val="16"/>
          <w:color w:val="auto"/>
        </w:rPr>
        <w:t>” means the Company’s 2016 Equity Incentive Plan, as amended and/or amended and restated from time to time.</w:t>
      </w:r>
    </w:p>
    <w:p>
      <w:pPr>
        <w:spacing w:after="0" w:line="197" w:lineRule="exact"/>
        <w:rPr>
          <w:sz w:val="20"/>
          <w:szCs w:val="20"/>
          <w:color w:val="auto"/>
        </w:rPr>
      </w:pPr>
    </w:p>
    <w:p>
      <w:pPr>
        <w:ind w:right="120" w:firstLine="874"/>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Stockholder Approvals</w:t>
      </w:r>
      <w:r>
        <w:rPr>
          <w:rFonts w:ascii="Times New Roman" w:cs="Times New Roman" w:eastAsia="Times New Roman" w:hAnsi="Times New Roman"/>
          <w:sz w:val="16"/>
          <w:szCs w:val="16"/>
          <w:color w:val="auto"/>
        </w:rPr>
        <w:t>” means the adoption of this Agreement and approval of the Transactions by the affirmative vote of, or the execution and delivery to the Company of a written consent by, (a) holders of a majority of the total voting power of Company Common Stock and Company Preferred Stock, voting together as a single class, and (b) holders of a majority of the Company Preferred Stock, voting together as a single class on an as-converted to Class A Common Stock basis.</w:t>
      </w:r>
    </w:p>
    <w:p>
      <w:pPr>
        <w:spacing w:after="0" w:line="161" w:lineRule="exact"/>
        <w:rPr>
          <w:sz w:val="20"/>
          <w:szCs w:val="20"/>
          <w:color w:val="auto"/>
        </w:rPr>
      </w:pPr>
    </w:p>
    <w:p>
      <w:pPr>
        <w:ind w:firstLine="874"/>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Competing Proposal</w:t>
      </w:r>
      <w:r>
        <w:rPr>
          <w:rFonts w:ascii="Times New Roman" w:cs="Times New Roman" w:eastAsia="Times New Roman" w:hAnsi="Times New Roman"/>
          <w:sz w:val="15"/>
          <w:szCs w:val="15"/>
          <w:color w:val="auto"/>
        </w:rPr>
        <w:t>” means any inquiry, proposal or offer from any Person (other than Parent or its Affiliates) relating to, or that would reasonably be expected to lead to, in one transaction or a series of related transactions (other than the Mergers), (a) any merger, consolidation, share exchange, business combination, recapitalization, liquidation, dissolution or other similar transaction involving the Company or any of its Subsidiaries pursuant to which any Person or the shareholders of any Person would own 15% or more of any class of equity securities of the Company or of any resulting parent company of the Company; (b) any sale, lease, license, exchange, transfer or other disposition of, or joint venture involving, assets or businesses that constitute or represent more than 15% of the total revenue, operating income, EBITDA or fair market value of the assets of the Company and its Subsidiaries, taken as a whole (other than sales of inventory and dispositions of non-material assets or licenses, in each case, in the ordinary course of the Company’s business); (c) any sale, exchange, transfer or other disposition of more than 15% of any class of equity securities, or securities convertible into or exchangeable for equity securities, of the Company; (d) any tender offer or exchange offer that, if consummated, would result in any Person becoming the beneficial owner of more than 15% of any class of equity securities of the Company; or (e) any combination of the foregoing.</w:t>
      </w:r>
    </w:p>
    <w:p>
      <w:pPr>
        <w:spacing w:after="0" w:line="154" w:lineRule="exact"/>
        <w:rPr>
          <w:sz w:val="20"/>
          <w:szCs w:val="20"/>
          <w:color w:val="auto"/>
        </w:rPr>
      </w:pPr>
    </w:p>
    <w:p>
      <w:pPr>
        <w:ind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Competing Transaction Agreement</w:t>
      </w:r>
      <w:r>
        <w:rPr>
          <w:rFonts w:ascii="Times New Roman" w:cs="Times New Roman" w:eastAsia="Times New Roman" w:hAnsi="Times New Roman"/>
          <w:sz w:val="16"/>
          <w:szCs w:val="16"/>
          <w:color w:val="auto"/>
        </w:rPr>
        <w:t>” means a binding letter of intent, binding memorandum of understanding, binding agreement in principle, merger agreement, acquisition agreement, option agreement or other contract or agreement which would reasonably be expected to lead to any Competing Proposal (other than an Acceptable Confidentiality Agreement).</w:t>
      </w:r>
    </w:p>
    <w:p>
      <w:pPr>
        <w:spacing w:after="0" w:line="157" w:lineRule="exact"/>
        <w:rPr>
          <w:sz w:val="20"/>
          <w:szCs w:val="20"/>
          <w:color w:val="auto"/>
        </w:rPr>
      </w:pPr>
    </w:p>
    <w:p>
      <w:pPr>
        <w:jc w:val="center"/>
        <w:ind w:left="1520" w:right="440"/>
        <w:spacing w:after="0" w:line="4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Confidentiality Agreement</w:t>
      </w:r>
      <w:r>
        <w:rPr>
          <w:rFonts w:ascii="Times New Roman" w:cs="Times New Roman" w:eastAsia="Times New Roman" w:hAnsi="Times New Roman"/>
          <w:sz w:val="16"/>
          <w:szCs w:val="16"/>
          <w:color w:val="auto"/>
        </w:rPr>
        <w:t>” means the Confidentiality Agreement, dated as of August 11, 2020, between the Company and Parent. 7</w:t>
      </w:r>
    </w:p>
    <w:p>
      <w:pPr>
        <w:sectPr>
          <w:pgSz w:w="11900" w:h="16838" w:orient="portrait"/>
          <w:cols w:equalWidth="0" w:num="1">
            <w:col w:w="9700"/>
          </w:cols>
          <w:pgMar w:left="1080" w:top="254" w:right="1119" w:bottom="1440" w:gutter="0" w:footer="0" w:header="0"/>
        </w:sectPr>
      </w:pPr>
    </w:p>
    <w:bookmarkStart w:id="18" w:name="page19"/>
    <w:bookmarkEnd w:id="18"/>
    <w:p>
      <w:pPr>
        <w:ind w:right="200" w:firstLine="874"/>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loan or credit agreement, bond, debenture, note, mortgage, indenture, lease, supply agreement, license agreement, development agreement or other contract, agreement, obligation, commitment or instrument, in each case, that is legally binding and including all amendments, supplements, restatements or other modifications thereto.</w:t>
      </w:r>
    </w:p>
    <w:p>
      <w:pPr>
        <w:spacing w:after="0" w:line="157" w:lineRule="exact"/>
        <w:rPr>
          <w:sz w:val="20"/>
          <w:szCs w:val="20"/>
          <w:color w:val="auto"/>
        </w:rPr>
      </w:pPr>
    </w:p>
    <w:p>
      <w:pPr>
        <w:ind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(including the terms “</w:t>
      </w:r>
      <w:r>
        <w:rPr>
          <w:rFonts w:ascii="Times New Roman" w:cs="Times New Roman" w:eastAsia="Times New Roman" w:hAnsi="Times New Roman"/>
          <w:sz w:val="16"/>
          <w:szCs w:val="16"/>
          <w:u w:val="single" w:color="auto"/>
          <w:color w:val="auto"/>
        </w:rPr>
        <w:t>controlled by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under common control with</w:t>
      </w:r>
      <w:r>
        <w:rPr>
          <w:rFonts w:ascii="Times New Roman" w:cs="Times New Roman" w:eastAsia="Times New Roman" w:hAnsi="Times New Roman"/>
          <w:sz w:val="16"/>
          <w:szCs w:val="16"/>
          <w:color w:val="auto"/>
        </w:rPr>
        <w:t>”)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p>
    <w:p>
      <w:pPr>
        <w:spacing w:after="0" w:line="157" w:lineRule="exact"/>
        <w:rPr>
          <w:sz w:val="20"/>
          <w:szCs w:val="20"/>
          <w:color w:val="auto"/>
        </w:rPr>
      </w:pPr>
    </w:p>
    <w:p>
      <w:pPr>
        <w:ind w:right="4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Designated Investments</w:t>
      </w:r>
      <w:r>
        <w:rPr>
          <w:rFonts w:ascii="Times New Roman" w:cs="Times New Roman" w:eastAsia="Times New Roman" w:hAnsi="Times New Roman"/>
          <w:sz w:val="16"/>
          <w:szCs w:val="16"/>
          <w:color w:val="auto"/>
        </w:rPr>
        <w:t xml:space="preserve">” means one or more of the following: (a) direct obligations of, or obligations fully guaranteed as to principal and interest by, the United States or any agency or instrumentality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obligations are backed by the full faith and credit of the United States; or (b) a deposit account of Exchange Agent.</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means the General Corporation Law of the State of Delaware.</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DLLCA</w:t>
      </w:r>
      <w:r>
        <w:rPr>
          <w:rFonts w:ascii="Times New Roman" w:cs="Times New Roman" w:eastAsia="Times New Roman" w:hAnsi="Times New Roman"/>
          <w:sz w:val="16"/>
          <w:szCs w:val="16"/>
          <w:color w:val="auto"/>
        </w:rPr>
        <w:t>” means the Delaware Limited Liability Company Act.</w:t>
      </w:r>
    </w:p>
    <w:p>
      <w:pPr>
        <w:spacing w:after="0" w:line="197" w:lineRule="exact"/>
        <w:rPr>
          <w:sz w:val="20"/>
          <w:szCs w:val="20"/>
          <w:color w:val="auto"/>
        </w:rPr>
      </w:pPr>
    </w:p>
    <w:p>
      <w:pPr>
        <w:ind w:right="66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Drag-Along</w:t>
      </w:r>
      <w:r>
        <w:rPr>
          <w:rFonts w:ascii="Times New Roman" w:cs="Times New Roman" w:eastAsia="Times New Roman" w:hAnsi="Times New Roman"/>
          <w:sz w:val="16"/>
          <w:szCs w:val="16"/>
          <w:color w:val="auto"/>
        </w:rPr>
        <w:t>” means the requirement of the Voting Agreement Parties to take certain actions upon the approval of a “Sale of the Company”, as such term is defined in the Voting Agreement, to comply with the requirements of Section 2 of the Voting Agreement.</w:t>
      </w:r>
    </w:p>
    <w:p>
      <w:pPr>
        <w:spacing w:after="0" w:line="145" w:lineRule="exact"/>
        <w:rPr>
          <w:sz w:val="20"/>
          <w:szCs w:val="20"/>
          <w:color w:val="auto"/>
        </w:rPr>
      </w:pPr>
    </w:p>
    <w:p>
      <w:pPr>
        <w:ind w:right="20" w:firstLine="874"/>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Encumbrances</w:t>
      </w:r>
      <w:r>
        <w:rPr>
          <w:rFonts w:ascii="Times New Roman" w:cs="Times New Roman" w:eastAsia="Times New Roman" w:hAnsi="Times New Roman"/>
          <w:sz w:val="15"/>
          <w:szCs w:val="15"/>
          <w:color w:val="auto"/>
        </w:rPr>
        <w:t>” means mortgages, pledges, liens, security interests, hypothecations, conditional and installment sale agreements, encumbrances, charges or other claims to title of third parties or restrictions on ownership or use of any kind, including any easement, reversion interest, right of way or other encumbrance to title, limitations on voting rights or disposition rights, or any option, right of first refusal or right of first offer.</w:t>
      </w:r>
    </w:p>
    <w:p>
      <w:pPr>
        <w:spacing w:after="0" w:line="138" w:lineRule="exact"/>
        <w:rPr>
          <w:sz w:val="20"/>
          <w:szCs w:val="20"/>
          <w:color w:val="auto"/>
        </w:rPr>
      </w:pPr>
    </w:p>
    <w:p>
      <w:pPr>
        <w:ind w:right="1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w:t>
      </w:r>
      <w:r>
        <w:rPr>
          <w:rFonts w:ascii="Times New Roman" w:cs="Times New Roman" w:eastAsia="Times New Roman" w:hAnsi="Times New Roman"/>
          <w:sz w:val="16"/>
          <w:szCs w:val="16"/>
          <w:color w:val="auto"/>
        </w:rPr>
        <w:t>” means any Law relating to pollution or protection of the environment, natural resources, threatened or endangered species or, as it relates to exposure to hazardous or toxic materials, human health and safety.</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Permits</w:t>
      </w:r>
      <w:r>
        <w:rPr>
          <w:rFonts w:ascii="Times New Roman" w:cs="Times New Roman" w:eastAsia="Times New Roman" w:hAnsi="Times New Roman"/>
          <w:sz w:val="16"/>
          <w:szCs w:val="16"/>
          <w:color w:val="auto"/>
        </w:rPr>
        <w:t>” means all permits, licenses and other authorizations required under any Environmental Law.</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 as amended.</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and the rules and regulations promulgated thereunder.</w:t>
      </w:r>
    </w:p>
    <w:p>
      <w:pPr>
        <w:spacing w:after="0" w:line="197" w:lineRule="exact"/>
        <w:rPr>
          <w:sz w:val="20"/>
          <w:szCs w:val="20"/>
          <w:color w:val="auto"/>
        </w:rPr>
      </w:pPr>
    </w:p>
    <w:p>
      <w:pPr>
        <w:ind w:right="32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means the number (rounded to four decimal places) obtained by dividing (x) the Aggregate Stock Consideration by (y) the Company Fully Diluted Share Count.</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00"/>
          </w:cols>
          <w:pgMar w:left="1080" w:top="254" w:right="1119" w:bottom="1440" w:gutter="0" w:footer="0" w:header="0"/>
        </w:sectPr>
      </w:pPr>
    </w:p>
    <w:bookmarkStart w:id="19" w:name="page20"/>
    <w:bookmarkEnd w:id="19"/>
    <w:p>
      <w:pPr>
        <w:ind w:firstLine="874"/>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means all out-of-pocket fees and expenses (including all fees and expenses of counsel, accountants, investment banking firms and other financial institutions, experts and consultants to a party hereto and its Affiliates) actually incurred or accrued by a party hereto or its Affiliates or on its or their behalf or for which it or they are liable in connection with or related to the authorization, preparation, negotiation, execution and performance of the Transactions, the solicitation of stockholder approvals, the filing of any required notices under applicable foreign, federal or state antitrust, competition, fair trade or similar Laws or other similar regulations and all other matters related to the closing of the Transactions, including the Mergers.</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FFCRA</w:t>
      </w:r>
      <w:r>
        <w:rPr>
          <w:rFonts w:ascii="Times New Roman" w:cs="Times New Roman" w:eastAsia="Times New Roman" w:hAnsi="Times New Roman"/>
          <w:sz w:val="16"/>
          <w:szCs w:val="16"/>
          <w:color w:val="auto"/>
        </w:rPr>
        <w:t>” means the Families First Coronavirus Response Act.</w:t>
      </w:r>
    </w:p>
    <w:p>
      <w:pPr>
        <w:spacing w:after="0" w:line="197" w:lineRule="exact"/>
        <w:rPr>
          <w:sz w:val="20"/>
          <w:szCs w:val="20"/>
          <w:color w:val="auto"/>
        </w:rPr>
      </w:pPr>
    </w:p>
    <w:p>
      <w:pPr>
        <w:ind w:firstLine="8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Financing Sources</w:t>
      </w:r>
      <w:r>
        <w:rPr>
          <w:rFonts w:ascii="Times New Roman" w:cs="Times New Roman" w:eastAsia="Times New Roman" w:hAnsi="Times New Roman"/>
          <w:sz w:val="16"/>
          <w:szCs w:val="16"/>
          <w:color w:val="auto"/>
        </w:rPr>
        <w:t>” means the Persons that have committed to provide or have otherwise entered into agreements to provide (such agreements, a “</w:t>
      </w:r>
      <w:r>
        <w:rPr>
          <w:rFonts w:ascii="Times New Roman" w:cs="Times New Roman" w:eastAsia="Times New Roman" w:hAnsi="Times New Roman"/>
          <w:sz w:val="16"/>
          <w:szCs w:val="16"/>
          <w:u w:val="single" w:color="auto"/>
          <w:color w:val="auto"/>
        </w:rPr>
        <w:t>Commitment Letter</w:t>
      </w:r>
      <w:r>
        <w:rPr>
          <w:rFonts w:ascii="Times New Roman" w:cs="Times New Roman" w:eastAsia="Times New Roman" w:hAnsi="Times New Roman"/>
          <w:sz w:val="16"/>
          <w:szCs w:val="16"/>
          <w:color w:val="auto"/>
        </w:rPr>
        <w:t>”) any part of the Financing and any joinder agreements, indentures, credit agreements or other definitive agreements entered into pursuant thereto or relating thereto, and any arrangers, underwriters, initial purchasers, placement agents or administrative agents in connection with the Financing, together with their current and future Affiliates and their and such Affiliates’, officers, directors, employees, attorneys, partners (general or limited), controlling parties, advisors, members, managers, accountants, consultants, agents, representatives and funding sources of each of the foregoing, and their successors and assigns.</w:t>
      </w:r>
    </w:p>
    <w:p>
      <w:pPr>
        <w:spacing w:after="0" w:line="165" w:lineRule="exact"/>
        <w:rPr>
          <w:sz w:val="20"/>
          <w:szCs w:val="20"/>
          <w:color w:val="auto"/>
        </w:rPr>
      </w:pPr>
    </w:p>
    <w:p>
      <w:pPr>
        <w:ind w:right="26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Fraud</w:t>
      </w:r>
      <w:r>
        <w:rPr>
          <w:rFonts w:ascii="Times New Roman" w:cs="Times New Roman" w:eastAsia="Times New Roman" w:hAnsi="Times New Roman"/>
          <w:sz w:val="16"/>
          <w:szCs w:val="16"/>
          <w:color w:val="auto"/>
        </w:rPr>
        <w:t xml:space="preserve">” means common law intentional fraud under Delaware law in the making of the representation and warranties contained in this Agreement or in the certificates contemplated by </w:t>
      </w:r>
      <w:r>
        <w:rPr>
          <w:rFonts w:ascii="Times New Roman" w:cs="Times New Roman" w:eastAsia="Times New Roman" w:hAnsi="Times New Roman"/>
          <w:sz w:val="16"/>
          <w:szCs w:val="16"/>
          <w:u w:val="single" w:color="auto"/>
          <w:color w:val="auto"/>
        </w:rPr>
        <w:t>Section 8.02(c)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8.03(c)</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2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United States generally accepted accounting principles in effect from time to time, applied consistently throughout the periods involved.</w:t>
      </w:r>
    </w:p>
    <w:p>
      <w:pPr>
        <w:spacing w:after="0" w:line="145" w:lineRule="exact"/>
        <w:rPr>
          <w:sz w:val="20"/>
          <w:szCs w:val="20"/>
          <w:color w:val="auto"/>
        </w:rPr>
      </w:pPr>
    </w:p>
    <w:p>
      <w:pPr>
        <w:ind w:right="240" w:firstLine="874"/>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xml:space="preserve">” means any federal, national, foreign, supranational, state, provincial, county, local or other government, governmental, regulatory or administrative authority, agency, instrumentality or commission or any court, tribunal, or judicial or arbitral body of competent jurisdiction. For purposes of </w:t>
      </w:r>
      <w:r>
        <w:rPr>
          <w:rFonts w:ascii="Times New Roman" w:cs="Times New Roman" w:eastAsia="Times New Roman" w:hAnsi="Times New Roman"/>
          <w:sz w:val="16"/>
          <w:szCs w:val="16"/>
          <w:u w:val="single" w:color="auto"/>
          <w:color w:val="auto"/>
        </w:rPr>
        <w:t>Section 4.19</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shall also include any entity controlled by a Governmental Authority.</w:t>
      </w:r>
    </w:p>
    <w:p>
      <w:pPr>
        <w:spacing w:after="0" w:line="161" w:lineRule="exact"/>
        <w:rPr>
          <w:sz w:val="20"/>
          <w:szCs w:val="20"/>
          <w:color w:val="auto"/>
        </w:rPr>
      </w:pPr>
    </w:p>
    <w:p>
      <w:pPr>
        <w:ind w:right="10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Materials</w:t>
      </w:r>
      <w:r>
        <w:rPr>
          <w:rFonts w:ascii="Times New Roman" w:cs="Times New Roman" w:eastAsia="Times New Roman" w:hAnsi="Times New Roman"/>
          <w:sz w:val="16"/>
          <w:szCs w:val="16"/>
          <w:color w:val="auto"/>
        </w:rPr>
        <w:t>” means any petroleum or petroleum products, radioactive materials, medical wastes, asbestos, polychlorinated biphenyls, hazardous or toxic substances and any other chemical, material, substance or waste that is regulated or that forms the basis of liability under any Environmental Law.</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Health Authority</w:t>
      </w:r>
      <w:r>
        <w:rPr>
          <w:rFonts w:ascii="Times New Roman" w:cs="Times New Roman" w:eastAsia="Times New Roman" w:hAnsi="Times New Roman"/>
          <w:sz w:val="16"/>
          <w:szCs w:val="16"/>
          <w:color w:val="auto"/>
        </w:rPr>
        <w:t>” means the Governmental Authorities that administer Health Laws, including the FDA.</w:t>
      </w:r>
    </w:p>
    <w:p>
      <w:pPr>
        <w:spacing w:after="0" w:line="1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80"/>
          </w:cols>
          <w:pgMar w:left="1080" w:top="254" w:right="1139" w:bottom="1440" w:gutter="0" w:footer="0" w:header="0"/>
        </w:sectPr>
      </w:pPr>
    </w:p>
    <w:bookmarkStart w:id="20" w:name="page21"/>
    <w:bookmarkEnd w:id="20"/>
    <w:p>
      <w:pPr>
        <w:ind w:right="120" w:firstLine="874"/>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Health Law</w:t>
      </w:r>
      <w:r>
        <w:rPr>
          <w:rFonts w:ascii="Times New Roman" w:cs="Times New Roman" w:eastAsia="Times New Roman" w:hAnsi="Times New Roman"/>
          <w:sz w:val="16"/>
          <w:szCs w:val="16"/>
          <w:color w:val="auto"/>
        </w:rPr>
        <w:t>” means any Law applicable to the Company’s products and activities, including any Law the purpose of which is to ensure the safety, efficacy and quality of medical, biotechnology, diagnostic and similar products by regulating the research, development, manufacturing and distribution of these products, including applicable Law relating to good laboratory practices, good clinical practices, investigational use, product marketing authorization, manufacturing facilities compliance and approval, good manufacturing practices, labeling, advertising, promotional practices, safety surveillance, record keeping and filing of required reports, including, without limitation, the FDCA.</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HSR Act</w:t>
      </w:r>
      <w:r>
        <w:rPr>
          <w:rFonts w:ascii="Times New Roman" w:cs="Times New Roman" w:eastAsia="Times New Roman" w:hAnsi="Times New Roman"/>
          <w:sz w:val="16"/>
          <w:szCs w:val="16"/>
          <w:color w:val="auto"/>
        </w:rPr>
        <w:t>” means the Hart-Scott-Rodino Antitrust Improvements Act of 1976.</w:t>
      </w:r>
    </w:p>
    <w:p>
      <w:pPr>
        <w:spacing w:after="0" w:line="197" w:lineRule="exact"/>
        <w:rPr>
          <w:sz w:val="20"/>
          <w:szCs w:val="20"/>
          <w:color w:val="auto"/>
        </w:rPr>
      </w:pPr>
    </w:p>
    <w:p>
      <w:pPr>
        <w:ind w:right="180" w:firstLine="8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means, with respect to any Person, all obligations or undertakings by such Person (i) for borrowed money (including deposits or advances of any kind to such Person); (ii) evidenced by bonds, debentures, notes or similar instruments; (iii) under swaps, options, derivatives and other hedging contracts or arrangements that will be payable upon termination thereof (assuming termination on the date of determination); (iv) letters of credit, bank guarantees, and other similar contracts or arrangements entered into by or on behalf of such Person to the extent they have been drawn upon; (v) pursuant to a guarantee of any Indebtedness of a type referred to in clauses (i) through (iii) above, and (v) all Indebtedness of a type referred to in clauses (i) through (iii) above of any Person secured by (or for which the holder of such Indebtedness has a right, contingent or otherwise, to be secured by) any Encumbrance (other than a Permitted Encumbrance) (other than those set forth in clauses (h) and (i) of the definition thereof) on any property or assets owned by the Company or any of its Subsidiaries.</w:t>
      </w:r>
    </w:p>
    <w:p>
      <w:pPr>
        <w:spacing w:after="0" w:line="168" w:lineRule="exact"/>
        <w:rPr>
          <w:sz w:val="20"/>
          <w:szCs w:val="20"/>
          <w:color w:val="auto"/>
        </w:rPr>
      </w:pPr>
    </w:p>
    <w:p>
      <w:pPr>
        <w:ind w:right="420" w:firstLine="874"/>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Intellectual Property</w:t>
      </w:r>
      <w:r>
        <w:rPr>
          <w:rFonts w:ascii="Times New Roman" w:cs="Times New Roman" w:eastAsia="Times New Roman" w:hAnsi="Times New Roman"/>
          <w:sz w:val="15"/>
          <w:szCs w:val="15"/>
          <w:color w:val="auto"/>
        </w:rPr>
        <w:t>” means all rights in or to (a) patents, utility models, statutory invention registrations, registered designs and equivalent thereof, and all applications and pre-grant and post-grant forms of any of the foregoing, including, in each case, any provisionals, substitutions, divisionals, continuations, continuations-in-part, re-examinations, renewals, extensions, reissues, and equivalents thereof in any jurisdiction; (b) registered or unregistered trademarks, trade dress, trade names, brand names, corporate names, service marks, certification marks, designs, logos, slogans and other indications of origin, the goodwill associated with the foregoing and registrations in any jurisdiction of, and applications in any jurisdiction to register, the foregoing, including any extension, modification or renewal of any such registration or application;</w:t>
      </w:r>
    </w:p>
    <w:p>
      <w:pPr>
        <w:spacing w:after="0" w:line="4" w:lineRule="exact"/>
        <w:rPr>
          <w:sz w:val="20"/>
          <w:szCs w:val="20"/>
          <w:color w:val="auto"/>
        </w:rPr>
      </w:pPr>
    </w:p>
    <w:p>
      <w:pPr>
        <w:ind w:firstLine="9"/>
        <w:spacing w:after="0" w:line="249" w:lineRule="auto"/>
        <w:tabs>
          <w:tab w:leader="none" w:pos="21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copyrightable works (including copyrights in Software and Internet websites), whether published or unpublished and copyright registrations, applications for registration, and extensions thereof; (d) rights associated with domain names, uniform resource locators, Internet Protocol addresses, social media handles, and other names, identifiers, and locators associated with Internet addresses, sites, and services; (e) trade secrets, confidential know-how (including all ideas, concepts, research and development) and other proprietary confidential information, whether or not patentable, including inventions, discoveries, prototypes, results, data (including clinical data, pre-clinical data, and post-clinical data), testing procedures, testing results, methods, designs, specifications, know-how and other forms of technology, in each case, that derives economic value, whether actual or potential, from not being generally known to other persons (collectively, “</w:t>
      </w: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(f) Software; and (g) any and all other similar or equivalent intellectual property rights.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00"/>
          </w:cols>
          <w:pgMar w:left="1080" w:top="254" w:right="1119" w:bottom="1440" w:gutter="0" w:footer="0" w:header="0"/>
        </w:sectPr>
      </w:pPr>
    </w:p>
    <w:bookmarkStart w:id="21" w:name="page22"/>
    <w:bookmarkEnd w:id="21"/>
    <w:p>
      <w:pPr>
        <w:ind w:right="200" w:firstLine="874"/>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Intentional Breach</w:t>
      </w:r>
      <w:r>
        <w:rPr>
          <w:rFonts w:ascii="Times New Roman" w:cs="Times New Roman" w:eastAsia="Times New Roman" w:hAnsi="Times New Roman"/>
          <w:sz w:val="16"/>
          <w:szCs w:val="16"/>
          <w:color w:val="auto"/>
        </w:rPr>
        <w:t xml:space="preserve">” means, with respect to any agreement or covenant of a party in this Agreement, an action or omission taken or omitted to be taken by such party in material breach of such agreement or covenant that the breaching party intentionally takes (or fails to take) with knowledge that such action or omission would, or would reasonably be expected to, cause such material breach of such agreement or covenant;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as it applies to the Company, knowledge means the actual knowledge of any of the individuals listed in </w:t>
      </w:r>
      <w:r>
        <w:rPr>
          <w:rFonts w:ascii="Times New Roman" w:cs="Times New Roman" w:eastAsia="Times New Roman" w:hAnsi="Times New Roman"/>
          <w:sz w:val="16"/>
          <w:szCs w:val="16"/>
          <w:u w:val="single" w:color="auto"/>
          <w:color w:val="auto"/>
        </w:rPr>
        <w:t>Section 1.01(a)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Company Disclosure Letter</w:t>
      </w:r>
      <w:r>
        <w:rPr>
          <w:rFonts w:ascii="Times New Roman" w:cs="Times New Roman" w:eastAsia="Times New Roman" w:hAnsi="Times New Roman"/>
          <w:sz w:val="16"/>
          <w:szCs w:val="16"/>
          <w:color w:val="auto"/>
        </w:rPr>
        <w:t xml:space="preserve"> or of the Company Board and (b) as it applies to Parent, First Merger Sub or Second Merger Sub, knowledge means the actual knowledge of Francis A. deSouza, Sam A. Samad and/or Charles E. Dadswell or of the Parent Board.</w:t>
      </w:r>
    </w:p>
    <w:p>
      <w:pPr>
        <w:spacing w:after="0" w:line="165" w:lineRule="exact"/>
        <w:rPr>
          <w:sz w:val="20"/>
          <w:szCs w:val="20"/>
          <w:color w:val="auto"/>
        </w:rPr>
      </w:pPr>
    </w:p>
    <w:p>
      <w:pPr>
        <w:ind w:right="6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Investor Agreements</w:t>
      </w:r>
      <w:r>
        <w:rPr>
          <w:rFonts w:ascii="Times New Roman" w:cs="Times New Roman" w:eastAsia="Times New Roman" w:hAnsi="Times New Roman"/>
          <w:sz w:val="16"/>
          <w:szCs w:val="16"/>
          <w:color w:val="auto"/>
        </w:rPr>
        <w:t>” means, collectively, (a) the Voting Agreement; (b) the Amended and Restated Investors’ Rights Agreement dated November 27, 2019, by and among the Company and certain stockholders of the Company party thereto; and (c) the Amended Right of First Refusal and Co-Sale Agreement dated November 27, 2019, by and among the Company and certain stockholders of the Company party thereto.</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means the United States Internal Revenue Service.</w:t>
      </w:r>
    </w:p>
    <w:p>
      <w:pPr>
        <w:spacing w:after="0" w:line="197" w:lineRule="exact"/>
        <w:rPr>
          <w:sz w:val="20"/>
          <w:szCs w:val="20"/>
          <w:color w:val="auto"/>
        </w:rPr>
      </w:pPr>
    </w:p>
    <w:p>
      <w:pPr>
        <w:ind w:right="20" w:firstLine="8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IT Assets</w:t>
      </w:r>
      <w:r>
        <w:rPr>
          <w:rFonts w:ascii="Times New Roman" w:cs="Times New Roman" w:eastAsia="Times New Roman" w:hAnsi="Times New Roman"/>
          <w:sz w:val="16"/>
          <w:szCs w:val="16"/>
          <w:color w:val="auto"/>
        </w:rPr>
        <w:t>” means all (a) computers (including, servers, firewalls, workstations, desktops, laptops and handheld devices), Software, hardware (whether general or special purpose), networks, firmware, middleware, routers, hubs, switches, data communications lines, data storage devices, information security and telecommunications capabilities, data centers, operating systems and all other information technology equipment and other similar or related items of information technology hardware and infrastructure, including any “Infrastructure-as-a-Service” or “Platform-as-a-Service” or other cloud or hybrid cloud services, and (b) any business systems software or applications (including, CRM, ERP, HR, IT support, and accounting systems), whether hosted in “on prem” and/or in the cloud, or provided as a service (e.g., “Software-as-a-Service”), in each case of both</w:t>
      </w:r>
    </w:p>
    <w:p>
      <w:pPr>
        <w:ind w:firstLine="9"/>
        <w:spacing w:after="0" w:line="256" w:lineRule="auto"/>
        <w:tabs>
          <w:tab w:leader="none" w:pos="21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(b), owned, licensed or used by the Company or any of its Subsidiaries and the documentation, reference and resource materials relating thereto and all contracts and contractual rights required in connection with the foregoing.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 of Parent</w:t>
      </w:r>
      <w:r>
        <w:rPr>
          <w:rFonts w:ascii="Times New Roman" w:cs="Times New Roman" w:eastAsia="Times New Roman" w:hAnsi="Times New Roman"/>
          <w:sz w:val="16"/>
          <w:szCs w:val="16"/>
          <w:color w:val="auto"/>
        </w:rPr>
        <w:t>” means the actual knowledge of Francis A. deSouza, Sam A. Samad and/or Charles E. Dadswell.</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knowledge of the Company</w:t>
      </w:r>
      <w:r>
        <w:rPr>
          <w:rFonts w:ascii="Times New Roman" w:cs="Times New Roman" w:eastAsia="Times New Roman" w:hAnsi="Times New Roman"/>
          <w:sz w:val="15"/>
          <w:szCs w:val="15"/>
          <w:color w:val="auto"/>
        </w:rPr>
        <w:t xml:space="preserve">” means the actual knowledge of the individuals listed in </w:t>
      </w:r>
      <w:r>
        <w:rPr>
          <w:rFonts w:ascii="Times New Roman" w:cs="Times New Roman" w:eastAsia="Times New Roman" w:hAnsi="Times New Roman"/>
          <w:sz w:val="15"/>
          <w:szCs w:val="15"/>
          <w:u w:val="single" w:color="auto"/>
          <w:color w:val="auto"/>
        </w:rPr>
        <w:t>Section 1.01(b) of the Company Disclosure</w:t>
      </w:r>
      <w:r>
        <w:rPr>
          <w:rFonts w:ascii="Times New Roman" w:cs="Times New Roman" w:eastAsia="Times New Roman" w:hAnsi="Times New Roman"/>
          <w:sz w:val="15"/>
          <w:szCs w:val="15"/>
          <w:color w:val="auto"/>
        </w:rPr>
        <w:t xml:space="preserve"> Letter.</w:t>
      </w:r>
    </w:p>
    <w:p>
      <w:pPr>
        <w:spacing w:after="0" w:line="208" w:lineRule="exact"/>
        <w:rPr>
          <w:sz w:val="20"/>
          <w:szCs w:val="20"/>
          <w:color w:val="auto"/>
        </w:rPr>
      </w:pPr>
    </w:p>
    <w:p>
      <w:pPr>
        <w:ind w:right="6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national, supranational, foreign or administrative law (including common law), statute, ordinance, regulation, requirement, rule, code or Order.</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 means the CVR Consideration or the Cash &amp; Stock Consideration, as applicable.</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Global Select Market.</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Non-U.S. Benefit Plan</w:t>
      </w:r>
      <w:r>
        <w:rPr>
          <w:rFonts w:ascii="Times New Roman" w:cs="Times New Roman" w:eastAsia="Times New Roman" w:hAnsi="Times New Roman"/>
          <w:sz w:val="16"/>
          <w:szCs w:val="16"/>
          <w:color w:val="auto"/>
        </w:rPr>
        <w:t>” means a Plan that is not subject exclusively to United States Law.</w:t>
      </w:r>
    </w:p>
    <w:p>
      <w:pPr>
        <w:spacing w:after="0" w:line="1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20"/>
          </w:cols>
          <w:pgMar w:left="1080" w:top="254" w:right="1199" w:bottom="1440" w:gutter="0" w:footer="0" w:header="0"/>
        </w:sectPr>
      </w:pPr>
    </w:p>
    <w:bookmarkStart w:id="22" w:name="page23"/>
    <w:bookmarkEnd w:id="22"/>
    <w:p>
      <w:pPr>
        <w:ind w:right="400" w:firstLine="874"/>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order, judgment, injunction, award, decision, determination, stipulation, ruling, subpoena, writ, decree or verdict entered by or with any Governmental Authority.</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Outside Date</w:t>
      </w:r>
      <w:r>
        <w:rPr>
          <w:rFonts w:ascii="Times New Roman" w:cs="Times New Roman" w:eastAsia="Times New Roman" w:hAnsi="Times New Roman"/>
          <w:sz w:val="16"/>
          <w:szCs w:val="16"/>
          <w:color w:val="auto"/>
        </w:rPr>
        <w:t>” means September 20, 2021.</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Board</w:t>
      </w:r>
      <w:r>
        <w:rPr>
          <w:rFonts w:ascii="Times New Roman" w:cs="Times New Roman" w:eastAsia="Times New Roman" w:hAnsi="Times New Roman"/>
          <w:sz w:val="16"/>
          <w:szCs w:val="16"/>
          <w:color w:val="auto"/>
        </w:rPr>
        <w:t>” means the Board of Directors of Parent.</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Common Stock</w:t>
      </w:r>
      <w:r>
        <w:rPr>
          <w:rFonts w:ascii="Times New Roman" w:cs="Times New Roman" w:eastAsia="Times New Roman" w:hAnsi="Times New Roman"/>
          <w:sz w:val="16"/>
          <w:szCs w:val="16"/>
          <w:color w:val="auto"/>
        </w:rPr>
        <w:t>” means the common stock, par value $0.01 per share, of Parent.</w:t>
      </w:r>
    </w:p>
    <w:p>
      <w:pPr>
        <w:spacing w:after="0" w:line="197" w:lineRule="exact"/>
        <w:rPr>
          <w:sz w:val="20"/>
          <w:szCs w:val="20"/>
          <w:color w:val="auto"/>
        </w:rPr>
      </w:pPr>
    </w:p>
    <w:p>
      <w:pPr>
        <w:ind w:right="12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IP</w:t>
      </w:r>
      <w:r>
        <w:rPr>
          <w:rFonts w:ascii="Times New Roman" w:cs="Times New Roman" w:eastAsia="Times New Roman" w:hAnsi="Times New Roman"/>
          <w:sz w:val="16"/>
          <w:szCs w:val="16"/>
          <w:color w:val="auto"/>
        </w:rPr>
        <w:t>” means all Parent Owned IP together with all Intellectual Property licensed by Parent or any of its Subsidiaries and used, held for use or planned for use in Parent’s business.</w:t>
      </w:r>
    </w:p>
    <w:p>
      <w:pPr>
        <w:spacing w:after="0" w:line="145" w:lineRule="exact"/>
        <w:rPr>
          <w:sz w:val="20"/>
          <w:szCs w:val="20"/>
          <w:color w:val="auto"/>
        </w:rPr>
      </w:pPr>
    </w:p>
    <w:p>
      <w:pPr>
        <w:ind w:firstLine="874"/>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Material Adverse Effect</w:t>
      </w:r>
      <w:r>
        <w:rPr>
          <w:rFonts w:ascii="Times New Roman" w:cs="Times New Roman" w:eastAsia="Times New Roman" w:hAnsi="Times New Roman"/>
          <w:sz w:val="15"/>
          <w:szCs w:val="15"/>
          <w:color w:val="auto"/>
        </w:rPr>
        <w:t xml:space="preserve">” means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Parent and its Subsidiaries taken as a whole;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any event, occurrence, state of facts, development, circumstance, change or effect to the extent resulting from the following shall not be taken into account in determining whether a Parent Material Adverse Effect has occurred: (i) any change in the market price or trading volume of the Parent Common Stock or any failure, in and of itself, to meet internal projections or forecasts or published revenue or earnings predictions for any period ending (or for which revenues or earnings are released) on or after the date of this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facts or causes underlying or contributing to such change or failure shall be considered in determining whether a Parent Material Adverse Effect has occurred);</w:t>
      </w:r>
    </w:p>
    <w:p>
      <w:pPr>
        <w:spacing w:after="0" w:line="5" w:lineRule="exact"/>
        <w:rPr>
          <w:sz w:val="20"/>
          <w:szCs w:val="20"/>
          <w:color w:val="auto"/>
        </w:rPr>
      </w:pPr>
    </w:p>
    <w:p>
      <w:pPr>
        <w:ind w:firstLine="9"/>
        <w:spacing w:after="0" w:line="249" w:lineRule="auto"/>
        <w:tabs>
          <w:tab w:leader="none" w:pos="23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U.S. or non-U.S. general economic or political conditions, or in the financial, credit or securities markets in general, including any shutdown of any Governmental Authority; (iii) changes in applicable Law or GAAP or in any interpretation thereof; (iv) changes in the industries in which Parent and its Subsidiaries operate regardless of geographic region (including legal and regulatory changes); (v) acts of civil unrest or war (whether or not declared), armed hostilities or terrorism, or any escalation or worsening of any acts of civil unrest or war (whether or not declared), armed hostilities or terrorism; (vi) earthquakes, hurricanes, tsunamis, tornadoes, floods, mudslides, volcanic eruptions or other natural disasters or epidemic or pandemic (including the COVID-19 pandemic); (vii) FDA and other regulatory actions, enforcement, requirements or directives (including delay, clinical hold, rejection or additional clinical requirements with respect to any premarket approval application or investigational device exemption application), the scope of marketing approval or intended use statement(s), issuance of warning letters, audit findings, and other exercise or enforcement discretion, pre- or post-approval requirements, limitations or restrictions or rejection or revocation of any accreditations, authorizations, certifications, permits licenses related to Parent’s businesses and products; (viii) data and other results from clinical</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680"/>
          </w:cols>
          <w:pgMar w:left="1080" w:top="254" w:right="11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trials, or (ix) the public announcement of this Agreement or the pendency or consummation of the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each of clauses</w:t>
      </w:r>
    </w:p>
    <w:p>
      <w:pPr>
        <w:spacing w:after="0" w:line="23" w:lineRule="exact"/>
        <w:rPr>
          <w:sz w:val="20"/>
          <w:szCs w:val="20"/>
          <w:color w:val="auto"/>
        </w:rPr>
      </w:pPr>
    </w:p>
    <w:p>
      <w:pPr>
        <w:ind w:firstLine="9"/>
        <w:spacing w:after="0" w:line="250" w:lineRule="auto"/>
        <w:tabs>
          <w:tab w:leader="none" w:pos="23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through (vi), Parent and its Subsidiaries, taken as a whole are not affected disproportionately relative to other participants in the industries in which they operate; or (b) would reasonably be expected to prevent or materially delay the consummation of the Transactions by Parent, First Merger Sub or Second Merger Sub. Notwithstanding the foregoing, in the case of clauses (a)(vii) and (a)(viii), any event, occurrence, state of facts, development, circumstance, change or effect resulting from intentional fraud by Parent or any of its Subsidiaries may be taken into account in determining whether the condition set forth in </w:t>
      </w:r>
      <w:r>
        <w:rPr>
          <w:rFonts w:ascii="Times New Roman" w:cs="Times New Roman" w:eastAsia="Times New Roman" w:hAnsi="Times New Roman"/>
          <w:sz w:val="16"/>
          <w:szCs w:val="16"/>
          <w:u w:val="single" w:color="auto"/>
          <w:color w:val="auto"/>
        </w:rPr>
        <w:t>Section 8.03(a)</w:t>
      </w:r>
      <w:r>
        <w:rPr>
          <w:rFonts w:ascii="Times New Roman" w:cs="Times New Roman" w:eastAsia="Times New Roman" w:hAnsi="Times New Roman"/>
          <w:sz w:val="16"/>
          <w:szCs w:val="16"/>
          <w:color w:val="auto"/>
        </w:rPr>
        <w:t xml:space="preserve"> has been satisfied.</w:t>
      </w:r>
    </w:p>
    <w:p>
      <w:pPr>
        <w:spacing w:after="0" w:line="167" w:lineRule="exact"/>
        <w:rPr>
          <w:sz w:val="20"/>
          <w:szCs w:val="20"/>
          <w:color w:val="auto"/>
        </w:rPr>
      </w:pPr>
    </w:p>
    <w:p>
      <w:pPr>
        <w:ind w:right="6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Owned IP</w:t>
      </w:r>
      <w:r>
        <w:rPr>
          <w:rFonts w:ascii="Times New Roman" w:cs="Times New Roman" w:eastAsia="Times New Roman" w:hAnsi="Times New Roman"/>
          <w:sz w:val="16"/>
          <w:szCs w:val="16"/>
          <w:color w:val="auto"/>
        </w:rPr>
        <w:t>” means all Intellectual Property owned or purported to be owned by Parent or any of its Subsidiaries (whether solely or jointly with one or more other Persons) as of the date of this Agreement.</w:t>
      </w:r>
    </w:p>
    <w:p>
      <w:pPr>
        <w:spacing w:after="0" w:line="145" w:lineRule="exact"/>
        <w:rPr>
          <w:sz w:val="20"/>
          <w:szCs w:val="20"/>
          <w:color w:val="auto"/>
        </w:rPr>
      </w:pPr>
    </w:p>
    <w:p>
      <w:pPr>
        <w:ind w:right="20" w:firstLine="874"/>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Permits</w:t>
      </w:r>
      <w:r>
        <w:rPr>
          <w:rFonts w:ascii="Times New Roman" w:cs="Times New Roman" w:eastAsia="Times New Roman" w:hAnsi="Times New Roman"/>
          <w:sz w:val="16"/>
          <w:szCs w:val="16"/>
          <w:color w:val="auto"/>
        </w:rPr>
        <w:t>” means franchises, grants, authorizations, licenses, permits, easements, variances, exceptions, consents, concessions, registrations, clearances, exemptions, certificates, filings, notices, approvals and orders of any Governmental Authority necessary for Parent and each of its Subsidiaries to own, lease and operate their respective properties and assets or to carry on their respective businesses as they are now being conducted.</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PBGC</w:t>
      </w:r>
      <w:r>
        <w:rPr>
          <w:rFonts w:ascii="Times New Roman" w:cs="Times New Roman" w:eastAsia="Times New Roman" w:hAnsi="Times New Roman"/>
          <w:sz w:val="16"/>
          <w:szCs w:val="16"/>
          <w:color w:val="auto"/>
        </w:rPr>
        <w:t>” means the Pension Benefit Guaranty Corporation.</w:t>
      </w:r>
    </w:p>
    <w:p>
      <w:pPr>
        <w:spacing w:after="0" w:line="197" w:lineRule="exact"/>
        <w:rPr>
          <w:sz w:val="20"/>
          <w:szCs w:val="20"/>
          <w:color w:val="auto"/>
        </w:rPr>
      </w:pPr>
    </w:p>
    <w:p>
      <w:pPr>
        <w:ind w:right="10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Performance-Vesting Award</w:t>
      </w:r>
      <w:r>
        <w:rPr>
          <w:rFonts w:ascii="Times New Roman" w:cs="Times New Roman" w:eastAsia="Times New Roman" w:hAnsi="Times New Roman"/>
          <w:sz w:val="16"/>
          <w:szCs w:val="16"/>
          <w:color w:val="auto"/>
        </w:rPr>
        <w:t>” means any Company Equity Award that, as of immediately prior to the Closing, is outstanding and subject to performance-based vesting criteria.</w:t>
      </w:r>
    </w:p>
    <w:p>
      <w:pPr>
        <w:spacing w:after="0" w:line="145" w:lineRule="exact"/>
        <w:rPr>
          <w:sz w:val="20"/>
          <w:szCs w:val="20"/>
          <w:color w:val="auto"/>
        </w:rPr>
      </w:pPr>
    </w:p>
    <w:p>
      <w:pPr>
        <w:ind w:right="20" w:firstLine="874"/>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Permitted Encumbrances</w:t>
      </w:r>
      <w:r>
        <w:rPr>
          <w:rFonts w:ascii="Times New Roman" w:cs="Times New Roman" w:eastAsia="Times New Roman" w:hAnsi="Times New Roman"/>
          <w:sz w:val="15"/>
          <w:szCs w:val="15"/>
          <w:color w:val="auto"/>
        </w:rPr>
        <w:t>” means (a) statutory Encumbrances for current Taxes, special assessments or other governmental charges not yet due and payable or the amount or validity of which is being contested in good faith by appropriate proceedings and for which appropriate reserves have been established in accordance with GAAP, (b) mechanics’, materialmen’s, carriers’, workers’, repairers’ and similar Encumbrances arising or incurred in the ordinary course of business, (c) zoning, entitlement, building and other land use Laws imposed by governmental agencies having jurisdiction over any real property which are not violated in any material respect by the current use and operation of such real property, (d) deposits or pledges made in connection with, or to secure payment of, worker’s compensation, unemployment insurance, old age pension programs mandated under applicable Laws, (e) covenants, conditions, restrictions, easements, and other similar non-monetary matters of record affecting title to, but not adversely affecting current occupancy or use of, the owned real property in any material respect, (f) restrictions on the transfer of securities arising under federal and state securities Laws, (g) any Encumbrances caused by state statutes or specific provisions of Real Property Leases, in each case, with respect to tenant’s personal property, fixtures and/or leasehold improvements at the subject leased real property, (h) other Encumbrances incurred in the ordinary course of business and which would not reasonably be expected to have an adverse impact on the use of the property so encumbered, and</w:t>
      </w:r>
    </w:p>
    <w:p>
      <w:pPr>
        <w:spacing w:after="0" w:line="1" w:lineRule="exact"/>
        <w:rPr>
          <w:sz w:val="20"/>
          <w:szCs w:val="20"/>
          <w:color w:val="auto"/>
        </w:rPr>
      </w:pPr>
    </w:p>
    <w:p>
      <w:pPr>
        <w:jc w:val="right"/>
        <w:ind w:left="4780" w:right="4760" w:hanging="4771"/>
        <w:spacing w:after="0" w:line="355" w:lineRule="auto"/>
        <w:tabs>
          <w:tab w:leader="none" w:pos="193"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Encumbrances listed in </w:t>
      </w:r>
      <w:r>
        <w:rPr>
          <w:rFonts w:ascii="Times New Roman" w:cs="Times New Roman" w:eastAsia="Times New Roman" w:hAnsi="Times New Roman"/>
          <w:sz w:val="15"/>
          <w:szCs w:val="15"/>
          <w:u w:val="single" w:color="auto"/>
          <w:color w:val="auto"/>
        </w:rPr>
        <w:t>Section 1.01(c) of the Company Disclosure Letter</w:t>
      </w:r>
      <w:r>
        <w:rPr>
          <w:rFonts w:ascii="Times New Roman" w:cs="Times New Roman" w:eastAsia="Times New Roman" w:hAnsi="Times New Roman"/>
          <w:sz w:val="15"/>
          <w:szCs w:val="15"/>
          <w:color w:val="auto"/>
        </w:rPr>
        <w:t>. 13</w:t>
      </w:r>
    </w:p>
    <w:p>
      <w:pPr>
        <w:sectPr>
          <w:pgSz w:w="11900" w:h="16838" w:orient="portrait"/>
          <w:cols w:equalWidth="0" w:num="1">
            <w:col w:w="9700"/>
          </w:cols>
          <w:pgMar w:left="1080" w:top="254" w:right="1119" w:bottom="1440" w:gutter="0" w:footer="0" w:header="0"/>
        </w:sectPr>
      </w:pPr>
    </w:p>
    <w:bookmarkStart w:id="24" w:name="page25"/>
    <w:bookmarkEnd w:id="24"/>
    <w:p>
      <w:pPr>
        <w:ind w:right="280" w:firstLine="874"/>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corporation, partnership, limited partnership, limited liability company, syndicate, person (as defined in Section 13(d)(3) of the Exchange Act), trust, association, entity or Governmental Authority.</w:t>
      </w:r>
    </w:p>
    <w:p>
      <w:pPr>
        <w:spacing w:after="0" w:line="145" w:lineRule="exact"/>
        <w:rPr>
          <w:sz w:val="20"/>
          <w:szCs w:val="20"/>
          <w:color w:val="auto"/>
        </w:rPr>
      </w:pPr>
    </w:p>
    <w:p>
      <w:pPr>
        <w:ind w:firstLine="8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Personal Data</w:t>
      </w:r>
      <w:r>
        <w:rPr>
          <w:rFonts w:ascii="Times New Roman" w:cs="Times New Roman" w:eastAsia="Times New Roman" w:hAnsi="Times New Roman"/>
          <w:sz w:val="16"/>
          <w:szCs w:val="16"/>
          <w:color w:val="auto"/>
        </w:rPr>
        <w:t>” means (a) any information defined as “personal data”, “personally identifiable information” or “personal information” under any Privacy and Data Security Requirement, (b) any information that, alone or in combination with other information, can reasonably be used to identify an individual natural person or relating to an identified or identifiable natural person, directly or indirectly, including name, a unique identification number, government-issued identifier (including Social Security number and driver’s license number) physical address, gender and date of birth; and (c) individually identifiable health information constituting “protected health information” as defined under 45 C.F.R. § 160.103. Personal Data that has been pseudonymized shall also be considered Personal Data to the extent treated as such under any Privacy and Data Security Requirement.</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means each (a) “employee benefit plan” as that term is defined in Section 3(3) of ERISA (whether or not subject to ERISA) and</w:t>
      </w:r>
    </w:p>
    <w:p>
      <w:pPr>
        <w:spacing w:after="0" w:line="23" w:lineRule="exact"/>
        <w:rPr>
          <w:sz w:val="20"/>
          <w:szCs w:val="20"/>
          <w:color w:val="auto"/>
        </w:rPr>
      </w:pPr>
    </w:p>
    <w:p>
      <w:pPr>
        <w:ind w:right="80" w:firstLine="9"/>
        <w:spacing w:after="0" w:line="249" w:lineRule="auto"/>
        <w:tabs>
          <w:tab w:leader="none" w:pos="22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other employment, individual independent contractor, individual consulting, pension, retirement, profit sharing, deferred compensation, stock option, change in control, retention, equity or equity-based compensation, stock purchase, employee stock ownership, severance, vacation, bonus, incentive, disability, medical, vision, dental, health, life insurance, fringe benefit or other compensation or benefit plan, program, agreement, arrangement, policy or contract, in each case, sponsored, maintained or contributed to, or required to be sponsored, maintained or contributed to, by the Company or any of its Subsidiaries, or to which the Company or any of its Subsidiaries is a party or with respect to which the Company or any of its Subsidiaries have any obligation or liability, whether actual or contingent to provide compensation and/or benefits to or for the benefit of any Service Provider (or spouse, dependent or beneficiary thereof), other than any multiemployer plan (within the meaning of Section 3(37) of ERISA) and any statutory plan to which contributions are mandated by a Governmental Authority.</w:t>
      </w:r>
    </w:p>
    <w:p>
      <w:pPr>
        <w:spacing w:after="0" w:line="170" w:lineRule="exact"/>
        <w:rPr>
          <w:sz w:val="20"/>
          <w:szCs w:val="20"/>
          <w:color w:val="auto"/>
        </w:rPr>
      </w:pPr>
    </w:p>
    <w:p>
      <w:pPr>
        <w:ind w:right="140" w:firstLine="874"/>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Privacy and Data Security Requirements</w:t>
      </w:r>
      <w:r>
        <w:rPr>
          <w:rFonts w:ascii="Times New Roman" w:cs="Times New Roman" w:eastAsia="Times New Roman" w:hAnsi="Times New Roman"/>
          <w:sz w:val="16"/>
          <w:szCs w:val="16"/>
          <w:color w:val="auto"/>
        </w:rPr>
        <w:t>” means (a) any Laws regulating the Processing of Personal Data, (b) obligations under all contracts to which the Company or any of its Subsidiaries is a party that relate to Personal Data or protection of the IT Assets and (c) all of the Company’s and its Subsidiaries’ internal and publicly posted policies (including if posted on the Company’s or its Subsidiaries’ products and services) regarding the Processing of Personal Data.</w:t>
      </w:r>
    </w:p>
    <w:p>
      <w:pPr>
        <w:spacing w:after="0" w:line="161" w:lineRule="exact"/>
        <w:rPr>
          <w:sz w:val="20"/>
          <w:szCs w:val="20"/>
          <w:color w:val="auto"/>
        </w:rPr>
      </w:pPr>
    </w:p>
    <w:p>
      <w:pPr>
        <w:jc w:val="both"/>
        <w:ind w:right="20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Process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Processing</w:t>
      </w:r>
      <w:r>
        <w:rPr>
          <w:rFonts w:ascii="Times New Roman" w:cs="Times New Roman" w:eastAsia="Times New Roman" w:hAnsi="Times New Roman"/>
          <w:sz w:val="16"/>
          <w:szCs w:val="16"/>
          <w:color w:val="auto"/>
        </w:rPr>
        <w:t>” with regard to Personal Data means the collection, use, storage, maintenance, retention, transmission, access, processing, recording, distribution, transfer, import, export, protection (including security measures), deletion, disposal or disclosure or other activity regarding data (whether electronically or in any other form or medium).</w:t>
      </w:r>
    </w:p>
    <w:p>
      <w:pPr>
        <w:spacing w:after="0" w:line="157" w:lineRule="exact"/>
        <w:rPr>
          <w:sz w:val="20"/>
          <w:szCs w:val="20"/>
          <w:color w:val="auto"/>
        </w:rPr>
      </w:pPr>
    </w:p>
    <w:p>
      <w:pPr>
        <w:ind w:right="60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Software</w:t>
      </w:r>
      <w:r>
        <w:rPr>
          <w:rFonts w:ascii="Times New Roman" w:cs="Times New Roman" w:eastAsia="Times New Roman" w:hAnsi="Times New Roman"/>
          <w:sz w:val="16"/>
          <w:szCs w:val="16"/>
          <w:color w:val="auto"/>
        </w:rPr>
        <w:t>” means (a) any Software used under a license identified as an open source license by the Open Source Initiative (www.opensource.org), and (b) any other Software that is distributed as freeware, or under similar licensing or distribution models.</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00"/>
          </w:cols>
          <w:pgMar w:left="1080" w:top="254" w:right="1119" w:bottom="1440" w:gutter="0" w:footer="0" w:header="0"/>
        </w:sectPr>
      </w:pPr>
    </w:p>
    <w:bookmarkStart w:id="25" w:name="page26"/>
    <w:bookmarkEnd w:id="25"/>
    <w:p>
      <w:pPr>
        <w:ind w:right="80" w:firstLine="874"/>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Real Property Leases</w:t>
      </w:r>
      <w:r>
        <w:rPr>
          <w:rFonts w:ascii="Times New Roman" w:cs="Times New Roman" w:eastAsia="Times New Roman" w:hAnsi="Times New Roman"/>
          <w:sz w:val="16"/>
          <w:szCs w:val="16"/>
          <w:color w:val="auto"/>
        </w:rPr>
        <w:t>” means all leases, subleases, licenses, occupancy agreements and other agreements under which the Company or any of its Subsidiaries uses or occupies or has the right to use or occupy, now or in the future, any real property (including all guaranties thereof and all material modifications, amendments, supplements, waivers and side letters thereto).</w:t>
      </w:r>
    </w:p>
    <w:p>
      <w:pPr>
        <w:spacing w:after="0" w:line="157" w:lineRule="exact"/>
        <w:rPr>
          <w:sz w:val="20"/>
          <w:szCs w:val="20"/>
          <w:color w:val="auto"/>
        </w:rPr>
      </w:pPr>
    </w:p>
    <w:p>
      <w:pPr>
        <w:ind w:right="4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Registered Company IP</w:t>
      </w:r>
      <w:r>
        <w:rPr>
          <w:rFonts w:ascii="Times New Roman" w:cs="Times New Roman" w:eastAsia="Times New Roman" w:hAnsi="Times New Roman"/>
          <w:sz w:val="16"/>
          <w:szCs w:val="16"/>
          <w:color w:val="auto"/>
        </w:rPr>
        <w:t>” means all Intellectual Property: (a) included in the Company Owned IP or (b) that is exclusively licensed to the Company, in each case (a) and (b), that is the subject of an application, certificate, filing, registration, or other document issued, filed with or recorded by any Governmental Authority or Internet domain name registrar.</w:t>
      </w:r>
    </w:p>
    <w:p>
      <w:pPr>
        <w:spacing w:after="0" w:line="157" w:lineRule="exact"/>
        <w:rPr>
          <w:sz w:val="20"/>
          <w:szCs w:val="20"/>
          <w:color w:val="auto"/>
        </w:rPr>
      </w:pPr>
    </w:p>
    <w:p>
      <w:pPr>
        <w:ind w:right="6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Registered Parent IP</w:t>
      </w:r>
      <w:r>
        <w:rPr>
          <w:rFonts w:ascii="Times New Roman" w:cs="Times New Roman" w:eastAsia="Times New Roman" w:hAnsi="Times New Roman"/>
          <w:sz w:val="16"/>
          <w:szCs w:val="16"/>
          <w:color w:val="auto"/>
        </w:rPr>
        <w:t>” means all Intellectual Property: (a) included in the Parent Owned IP or (b) that is exclusively licensed to Parent, in each case (a) and (b), that is the subject of an application, certificate, filing, registration, or other document issued, filed with or recorded by any Governmental Authority or Internet domain name registrar.</w:t>
      </w:r>
    </w:p>
    <w:p>
      <w:pPr>
        <w:spacing w:after="0" w:line="157" w:lineRule="exact"/>
        <w:rPr>
          <w:sz w:val="20"/>
          <w:szCs w:val="20"/>
          <w:color w:val="auto"/>
        </w:rPr>
      </w:pPr>
    </w:p>
    <w:p>
      <w:pPr>
        <w:ind w:right="5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the S-4 Registration Statement and/or a registration statement on another appropriate form for the registration under the Securities Act of all of the shares of Parent Common Stock to be issued in connection with the Mergers.</w:t>
      </w:r>
    </w:p>
    <w:p>
      <w:pPr>
        <w:spacing w:after="0" w:line="145" w:lineRule="exact"/>
        <w:rPr>
          <w:sz w:val="20"/>
          <w:szCs w:val="20"/>
          <w:color w:val="auto"/>
        </w:rPr>
      </w:pPr>
    </w:p>
    <w:p>
      <w:pPr>
        <w:ind w:right="12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means a Person’s officers, directors, employees, accountants, consultants, legal counsel, investment bankers, advisors, agents and other representatives.</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Securities and Exchange Commission.</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and the rules and regulations promulgated thereunder.</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 Provider</w:t>
      </w:r>
      <w:r>
        <w:rPr>
          <w:rFonts w:ascii="Times New Roman" w:cs="Times New Roman" w:eastAsia="Times New Roman" w:hAnsi="Times New Roman"/>
          <w:sz w:val="16"/>
          <w:szCs w:val="16"/>
          <w:color w:val="auto"/>
        </w:rPr>
        <w:t>” means each director, officer, employee or independent contractor of the Company and each of its Subsidiaries.</w:t>
      </w:r>
    </w:p>
    <w:p>
      <w:pPr>
        <w:spacing w:after="0" w:line="197" w:lineRule="exact"/>
        <w:rPr>
          <w:sz w:val="20"/>
          <w:szCs w:val="20"/>
          <w:color w:val="auto"/>
        </w:rPr>
      </w:pPr>
    </w:p>
    <w:p>
      <w:pPr>
        <w:ind w:right="74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Service-Vesting Award</w:t>
      </w:r>
      <w:r>
        <w:rPr>
          <w:rFonts w:ascii="Times New Roman" w:cs="Times New Roman" w:eastAsia="Times New Roman" w:hAnsi="Times New Roman"/>
          <w:sz w:val="16"/>
          <w:szCs w:val="16"/>
          <w:color w:val="auto"/>
        </w:rPr>
        <w:t>” means each Company Equity Award that is outstanding immediately prior to the Closing other than a Performance-Vesting Award.</w:t>
      </w:r>
    </w:p>
    <w:p>
      <w:pPr>
        <w:spacing w:after="0" w:line="145" w:lineRule="exact"/>
        <w:rPr>
          <w:sz w:val="20"/>
          <w:szCs w:val="20"/>
          <w:color w:val="auto"/>
        </w:rPr>
      </w:pPr>
    </w:p>
    <w:p>
      <w:pPr>
        <w:ind w:firstLine="8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Software</w:t>
      </w:r>
      <w:r>
        <w:rPr>
          <w:rFonts w:ascii="Times New Roman" w:cs="Times New Roman" w:eastAsia="Times New Roman" w:hAnsi="Times New Roman"/>
          <w:sz w:val="16"/>
          <w:szCs w:val="16"/>
          <w:color w:val="auto"/>
        </w:rPr>
        <w:t>” means all computer software, programs (whether in source code, object code, human readable form or other form), applications, algorithms, user interfaces, application programming interfaces, diagnostics, software development tools and kits, templates, menus, analytics and tracking tools, compilers, library functions, version control systems, operating system virtualization environments, databases and compilations, including data and collections of data, whether machine-readable or otherwise, technology supporting the foregoing, together with all boot, compilation, configuration, debugging, performance analysis and runtime files, libraries, data, documentation, including user manuals and training materials, related to any of the foregoing, and any cloud storage containing any of the foregoing.</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SOX</w:t>
      </w:r>
      <w:r>
        <w:rPr>
          <w:rFonts w:ascii="Times New Roman" w:cs="Times New Roman" w:eastAsia="Times New Roman" w:hAnsi="Times New Roman"/>
          <w:sz w:val="16"/>
          <w:szCs w:val="16"/>
          <w:color w:val="auto"/>
        </w:rPr>
        <w:t>” means the Sarbanes-Oxley Act of 2002, and the rules and regulations promulgated thereunder.</w:t>
      </w:r>
    </w:p>
    <w:p>
      <w:pPr>
        <w:spacing w:after="0" w:line="1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680"/>
          </w:cols>
          <w:pgMar w:left="1080" w:top="254" w:right="1139" w:bottom="1440" w:gutter="0" w:footer="0" w:header="0"/>
        </w:sectPr>
      </w:pPr>
    </w:p>
    <w:bookmarkStart w:id="26" w:name="page27"/>
    <w:bookmarkEnd w:id="26"/>
    <w:p>
      <w:pPr>
        <w:ind w:right="100" w:firstLine="874"/>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Subsidiaries</w:t>
      </w:r>
      <w:r>
        <w:rPr>
          <w:rFonts w:ascii="Times New Roman" w:cs="Times New Roman" w:eastAsia="Times New Roman" w:hAnsi="Times New Roman"/>
          <w:sz w:val="16"/>
          <w:szCs w:val="16"/>
          <w:color w:val="auto"/>
        </w:rPr>
        <w:t>” of any specified Person means an Affiliate controlled by such Person, directly or indirectly, through one or more intermediaries.</w:t>
      </w:r>
    </w:p>
    <w:p>
      <w:pPr>
        <w:spacing w:after="0" w:line="145" w:lineRule="exact"/>
        <w:rPr>
          <w:sz w:val="20"/>
          <w:szCs w:val="20"/>
          <w:color w:val="auto"/>
        </w:rPr>
      </w:pPr>
    </w:p>
    <w:p>
      <w:pPr>
        <w:ind w:firstLine="8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Superior Proposal</w:t>
      </w:r>
      <w:r>
        <w:rPr>
          <w:rFonts w:ascii="Times New Roman" w:cs="Times New Roman" w:eastAsia="Times New Roman" w:hAnsi="Times New Roman"/>
          <w:sz w:val="16"/>
          <w:szCs w:val="16"/>
          <w:color w:val="auto"/>
        </w:rPr>
        <w:t>” means an unsolicited written bona fide offer made by a third party with respect to a Competing Proposal which the Company Board reasonably determines, in its good faith judgment, after having received the advice of a financial advisor of nationally recognized reputation and outside legal counsel, to be (a) more favorable to the stockholders of the Company from a financial point of view (after taking into account all of the terms and conditions of such proposal, including the sources and terms of any financing, financing market conditions and the existence of a financing contingency) than the Mergers (after taking into account any changes to the financial terms of this Agreement proposed by Parent in response to such offer or otherwise) and (b) reasonably expected to be consummated on the terms so proposed. For the purposes of the definition of “Superior Proposal”, each reference to “15%” in the definition of “Competing Proposal” shall be replaced with “66 %”.</w:t>
      </w:r>
    </w:p>
    <w:p>
      <w:pPr>
        <w:spacing w:after="0" w:line="166" w:lineRule="exact"/>
        <w:rPr>
          <w:sz w:val="20"/>
          <w:szCs w:val="20"/>
          <w:color w:val="auto"/>
        </w:rPr>
      </w:pPr>
    </w:p>
    <w:p>
      <w:pPr>
        <w:jc w:val="both"/>
        <w:ind w:right="280" w:firstLine="874"/>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any return, declaration, report, election, claim for refund or information return or other statement or form filed or required to be filed with any Governmental Authority relating to Taxes, including any schedule or attachment thereto, and including any amendment thereof.</w:t>
      </w:r>
    </w:p>
    <w:p>
      <w:pPr>
        <w:spacing w:after="0" w:line="157" w:lineRule="exact"/>
        <w:rPr>
          <w:sz w:val="20"/>
          <w:szCs w:val="20"/>
          <w:color w:val="auto"/>
        </w:rPr>
      </w:pPr>
    </w:p>
    <w:p>
      <w:pPr>
        <w:ind w:right="20" w:firstLine="87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Sharing Agreement</w:t>
      </w:r>
      <w:r>
        <w:rPr>
          <w:rFonts w:ascii="Times New Roman" w:cs="Times New Roman" w:eastAsia="Times New Roman" w:hAnsi="Times New Roman"/>
          <w:sz w:val="16"/>
          <w:szCs w:val="16"/>
          <w:color w:val="auto"/>
        </w:rPr>
        <w:t>” means all existing agreements or arrangements (whether or not written) binding the Company or any of its Subsidiaries that provide for the allocation, apportionment, sharing or assignment of any Tax liability or benefit, or the transfer or assignment of income, revenues, receipts or gains for the purpose of determining any Person’s Tax liability, in each case, excluding (i) any such agreement or arrangement between or solely among the Company and its Subsidiaries or (ii) any agreement or arrangement entered into in the ordinary course of business and not primarily related to Taxes.</w:t>
      </w:r>
    </w:p>
    <w:p>
      <w:pPr>
        <w:spacing w:after="0" w:line="165" w:lineRule="exact"/>
        <w:rPr>
          <w:sz w:val="20"/>
          <w:szCs w:val="20"/>
          <w:color w:val="auto"/>
        </w:rPr>
      </w:pPr>
    </w:p>
    <w:p>
      <w:pPr>
        <w:ind w:right="12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all taxes or similar duties, fees or charges or assessments thereof imposed by any Governmental Authority, in each case in the nature of a tax, including any interest, penalties and additions imposed with respect to such amount.</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 day on which shares of Parent Common Stock are traded on the NASDAQ.</w:t>
      </w:r>
    </w:p>
    <w:p>
      <w:pPr>
        <w:spacing w:after="0" w:line="197" w:lineRule="exact"/>
        <w:rPr>
          <w:sz w:val="20"/>
          <w:szCs w:val="20"/>
          <w:color w:val="auto"/>
        </w:rPr>
      </w:pPr>
    </w:p>
    <w:p>
      <w:pPr>
        <w:ind w:right="200" w:firstLine="87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Documents</w:t>
      </w:r>
      <w:r>
        <w:rPr>
          <w:rFonts w:ascii="Times New Roman" w:cs="Times New Roman" w:eastAsia="Times New Roman" w:hAnsi="Times New Roman"/>
          <w:sz w:val="16"/>
          <w:szCs w:val="16"/>
          <w:color w:val="auto"/>
        </w:rPr>
        <w:t>” means, collectively, (a) this Agreement, (b) the Selling Investor Support Agreement, (c) the CVR Agreement, (d) the Drag-Along Consent and (e) the Support Agreements.</w:t>
      </w:r>
    </w:p>
    <w:p>
      <w:pPr>
        <w:spacing w:after="0" w:line="1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Mergers and the other transactions contemplated by this Agreement and by the CVR Agreement.</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Indenture Act</w:t>
      </w:r>
      <w:r>
        <w:rPr>
          <w:rFonts w:ascii="Times New Roman" w:cs="Times New Roman" w:eastAsia="Times New Roman" w:hAnsi="Times New Roman"/>
          <w:sz w:val="16"/>
          <w:szCs w:val="16"/>
          <w:color w:val="auto"/>
        </w:rPr>
        <w:t>” means the Trust Indenture Act of 1939.</w:t>
      </w:r>
    </w:p>
    <w:p>
      <w:pPr>
        <w:spacing w:after="0" w:line="1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20"/>
          </w:cols>
          <w:pgMar w:left="1080" w:top="254" w:right="1099" w:bottom="1440" w:gutter="0" w:footer="0" w:header="0"/>
        </w:sectPr>
      </w:pPr>
    </w:p>
    <w:bookmarkStart w:id="27" w:name="page28"/>
    <w:bookmarkEnd w:id="27"/>
    <w:p>
      <w:pPr>
        <w:ind w:firstLine="874"/>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means the Amended and Restated Voting Agreement dated as of November 27, 2019, by and among the Company and the Voting Agreement Parties, as amended by Amendment No. 1 to the Voting Agreement dated as of April 17, 2020, by and among the Company and the Voting Agreement Parties, and Amendment No. 2 to the Voting Agreement dated as of May 11, 2020, by and among the Company and the Voting Agreement Parties.</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Voting Agreement Parties</w:t>
      </w:r>
      <w:r>
        <w:rPr>
          <w:rFonts w:ascii="Times New Roman" w:cs="Times New Roman" w:eastAsia="Times New Roman" w:hAnsi="Times New Roman"/>
          <w:sz w:val="16"/>
          <w:szCs w:val="16"/>
          <w:color w:val="auto"/>
        </w:rPr>
        <w:t>” means those certain holders of Company Stock that are party to the Voting Agreement.</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u w:val="single" w:color="auto"/>
          <w:color w:val="auto"/>
        </w:rPr>
        <w:t>Other Defined Terms</w:t>
      </w:r>
      <w:r>
        <w:rPr>
          <w:rFonts w:ascii="Times New Roman" w:cs="Times New Roman" w:eastAsia="Times New Roman" w:hAnsi="Times New Roman"/>
          <w:sz w:val="16"/>
          <w:szCs w:val="16"/>
          <w:color w:val="auto"/>
        </w:rPr>
        <w:t>. The following terms have the meanings set forth in the Sections set forth below:</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51"/>
        </w:trPr>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Defined Term</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3"/>
                <w:szCs w:val="13"/>
                <w:color w:val="auto"/>
                <w:w w:val="97"/>
              </w:rPr>
              <w:t>Location of Definition</w:t>
            </w:r>
          </w:p>
        </w:tc>
      </w:tr>
      <w:tr>
        <w:trPr>
          <w:trHeight w:val="166"/>
        </w:trPr>
        <w:tc>
          <w:tcPr>
            <w:tcW w:w="720" w:type="dxa"/>
            <w:vAlign w:val="bottom"/>
            <w:tcBorders>
              <w:top w:val="single" w:sz="8" w:color="auto"/>
            </w:tcBorders>
          </w:tcPr>
          <w:p>
            <w:pPr>
              <w:spacing w:after="0" w:line="166" w:lineRule="exact"/>
              <w:rPr>
                <w:sz w:val="20"/>
                <w:szCs w:val="20"/>
                <w:color w:val="auto"/>
              </w:rPr>
            </w:pPr>
            <w:r>
              <w:rPr>
                <w:rFonts w:ascii="Times New Roman" w:cs="Times New Roman" w:eastAsia="Times New Roman" w:hAnsi="Times New Roman"/>
                <w:sz w:val="16"/>
                <w:szCs w:val="16"/>
                <w:color w:val="auto"/>
              </w:rPr>
              <w:t>Additional</w:t>
            </w:r>
          </w:p>
        </w:tc>
        <w:tc>
          <w:tcPr>
            <w:tcW w:w="258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Termination Payment</w:t>
            </w:r>
          </w:p>
        </w:tc>
        <w:tc>
          <w:tcPr>
            <w:tcW w:w="1300" w:type="dxa"/>
            <w:vAlign w:val="bottom"/>
          </w:tcPr>
          <w:p>
            <w:pPr>
              <w:spacing w:after="0"/>
              <w:rPr>
                <w:sz w:val="14"/>
                <w:szCs w:val="14"/>
                <w:color w:val="auto"/>
              </w:rPr>
            </w:pPr>
          </w:p>
        </w:tc>
        <w:tc>
          <w:tcPr>
            <w:tcW w:w="1140" w:type="dxa"/>
            <w:vAlign w:val="bottom"/>
            <w:tcBorders>
              <w:top w:val="single" w:sz="8" w:color="auto"/>
            </w:tcBorders>
          </w:tcPr>
          <w:p>
            <w:pPr>
              <w:spacing w:after="0" w:line="166" w:lineRule="exact"/>
              <w:rPr>
                <w:sz w:val="20"/>
                <w:szCs w:val="20"/>
                <w:color w:val="auto"/>
              </w:rPr>
            </w:pPr>
            <w:r>
              <w:rPr>
                <w:rFonts w:ascii="Times New Roman" w:cs="Times New Roman" w:eastAsia="Times New Roman" w:hAnsi="Times New Roman"/>
                <w:sz w:val="16"/>
                <w:szCs w:val="16"/>
                <w:color w:val="auto"/>
              </w:rPr>
              <w:t>Section 9.04(b)</w:t>
            </w:r>
          </w:p>
        </w:tc>
        <w:tc>
          <w:tcPr>
            <w:tcW w:w="20" w:type="dxa"/>
            <w:vAlign w:val="bottom"/>
          </w:tcPr>
          <w:p>
            <w:pPr>
              <w:spacing w:after="0"/>
              <w:rPr>
                <w:sz w:val="14"/>
                <w:szCs w:val="14"/>
                <w:color w:val="auto"/>
              </w:rPr>
            </w:pP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Agreement</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Preamble</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Alternative Capital Raise</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w w:val="98"/>
              </w:rPr>
              <w:t>Section 9.04(f)(ii)</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Alternative Cash-Out Awards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3.04(c)</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Alternative Financing</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7.18(d)</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Alternative Rollover Awards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3.04(c)</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Anti-Corruption Laws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4.19(a)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Antitrust Laws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7.07(a)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Appraisal Shares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3.05(a)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Book-Entry Shares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2.04(b)</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&amp; Stock Consideration</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w w:val="97"/>
              </w:rPr>
              <w:t>Section 2.04(a)(ii)</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&amp; Stock Election Share</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w w:val="97"/>
              </w:rPr>
              <w:t>Section 2.04(a)(ii)</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Cash-Out Award</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3.04(b)</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Cash-Out Award Consideration</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3.04(i)</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Cash-Out Deductions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3.04(i)</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Certificates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2.04(b)</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Certificates of Merger</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2.02</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the Company Recommendation</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7.02(d)</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Claims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11.11(a)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2.02</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 Capitalization Schedule</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3.06(a)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 Year VCP</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7.04(d)</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Preamble</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Related Parties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9.03(d)</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Consent Solicitation Statement</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7.01(a)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Continuation End Date</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9.04(a)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Continuation Payment</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9.04(a)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Continuing Employees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7.04(a)</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2.04(a)(i)</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 Agreement</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Preamble</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 Cash-Out Awards</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3.04(c)</w:t>
            </w: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 Certificate</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2.04(a)(i)</w:t>
            </w:r>
          </w:p>
        </w:tc>
      </w:t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 Consideration</w:t>
            </w:r>
          </w:p>
        </w:tc>
        <w:tc>
          <w:tcPr>
            <w:tcW w:w="2460" w:type="dxa"/>
            <w:vAlign w:val="bottom"/>
            <w:gridSpan w:val="3"/>
          </w:tcPr>
          <w:p>
            <w:pPr>
              <w:ind w:left="1300"/>
              <w:spacing w:after="0"/>
              <w:rPr>
                <w:sz w:val="20"/>
                <w:szCs w:val="20"/>
                <w:color w:val="auto"/>
              </w:rPr>
            </w:pPr>
            <w:r>
              <w:rPr>
                <w:rFonts w:ascii="Times New Roman" w:cs="Times New Roman" w:eastAsia="Times New Roman" w:hAnsi="Times New Roman"/>
                <w:sz w:val="16"/>
                <w:szCs w:val="16"/>
                <w:color w:val="auto"/>
              </w:rPr>
              <w:t>Section 2.04(a)(i)</w:t>
            </w:r>
          </w:p>
        </w:tc>
      </w:tr>
      <w:tr>
        <w:trPr>
          <w:trHeight w:val="321"/>
        </w:trPr>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17</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540"/>
          </w:cols>
          <w:pgMar w:left="1080" w:top="254" w:right="127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51"/>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w w:val="95"/>
              </w:rPr>
              <w:t>Defined Term</w:t>
            </w:r>
          </w:p>
        </w:tc>
        <w:tc>
          <w:tcPr>
            <w:tcW w:w="2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Location of Definition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gridSpan w:val="2"/>
          </w:tcPr>
          <w:p>
            <w:pPr>
              <w:spacing w:after="0" w:line="166" w:lineRule="exact"/>
              <w:rPr>
                <w:sz w:val="20"/>
                <w:szCs w:val="20"/>
                <w:color w:val="auto"/>
              </w:rPr>
            </w:pPr>
            <w:r>
              <w:rPr>
                <w:rFonts w:ascii="Times New Roman" w:cs="Times New Roman" w:eastAsia="Times New Roman" w:hAnsi="Times New Roman"/>
                <w:sz w:val="16"/>
                <w:szCs w:val="16"/>
                <w:color w:val="auto"/>
              </w:rPr>
              <w:t>CVR Election Share</w:t>
            </w:r>
          </w:p>
        </w:tc>
        <w:tc>
          <w:tcPr>
            <w:tcW w:w="1480" w:type="dxa"/>
            <w:vAlign w:val="bottom"/>
            <w:vMerge w:val="continue"/>
          </w:tcPr>
          <w:p>
            <w:pPr>
              <w:spacing w:after="0"/>
              <w:rPr>
                <w:sz w:val="14"/>
                <w:szCs w:val="14"/>
                <w:color w:val="auto"/>
              </w:rPr>
            </w:pPr>
          </w:p>
        </w:tc>
        <w:tc>
          <w:tcPr>
            <w:tcW w:w="114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w w:val="99"/>
              </w:rPr>
              <w:t>Section 2.04(a)(i)</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 Holder Representative</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10.01</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 Rollover Awards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3.04(c)</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Designated Person</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11.10</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Drag-Along Consent</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Preamble</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Drag-Along Resolutions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Preamble</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Effective Time</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2.02</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Election Deadline</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3.01(b)</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Election Form</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3.01(a)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Election Period</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3.01(b)</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Award Ratio</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3.04(e)</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Election Form</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3.04(c)</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Issuance</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9.04(c)</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Issuance End Date</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9.04(f)(i)</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Equityholder</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11.01</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Equityholder Released Claims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11.11(a)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Equityholder Releasing Party</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11.11(a)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Exchange Agent</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3.02(a)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3.02(a)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Existing Representation</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11.10</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Export Control Laws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4.19(d)</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FDA</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4.18(a)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FDA Fraud Policy</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4.18(a)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FDCA</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4.18(e)</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Filed Parent SEC Reports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Article V</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4.06(b)</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5.08</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Commitments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5.08</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Offering Documents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7.19(a)(v)</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Certificate of Merger</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2.02</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Merger</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Merger Sub</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Preamble</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Holder</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10.01</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Intended Tax Treatment</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2.08(a)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Letter of Transmittal</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3.01(a)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Mailing Date</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3.01(a)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Material Contracts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4.15(a)</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Money Laundering Laws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4.19(b)</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Plans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7.04(b)</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 Election Awards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3.04(c)</w:t>
            </w:r>
          </w:p>
        </w:tc>
        <w:tc>
          <w:tcPr>
            <w:tcW w:w="0" w:type="dxa"/>
            <w:vAlign w:val="bottom"/>
          </w:tcPr>
          <w:p>
            <w:pPr>
              <w:spacing w:after="0"/>
              <w:rPr>
                <w:sz w:val="1"/>
                <w:szCs w:val="1"/>
                <w:color w:val="auto"/>
              </w:rPr>
            </w:pPr>
          </w:p>
        </w:tc>
      </w:tr>
      <w:tr>
        <w:trPr>
          <w:trHeight w:val="19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 Election Shares</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w w:val="96"/>
              </w:rPr>
              <w:t>Section 2.04(a)(iii)</w:t>
            </w:r>
          </w:p>
        </w:tc>
        <w:tc>
          <w:tcPr>
            <w:tcW w:w="0" w:type="dxa"/>
            <w:vAlign w:val="bottom"/>
          </w:tcPr>
          <w:p>
            <w:pPr>
              <w:spacing w:after="0"/>
              <w:rPr>
                <w:sz w:val="1"/>
                <w:szCs w:val="1"/>
                <w:color w:val="auto"/>
              </w:rPr>
            </w:pPr>
          </w:p>
        </w:tc>
      </w:tr>
      <w:tr>
        <w:trPr>
          <w:trHeight w:val="207"/>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Notice of Adverse Recommendation</w:t>
            </w:r>
          </w:p>
        </w:tc>
        <w:tc>
          <w:tcPr>
            <w:tcW w:w="2680" w:type="dxa"/>
            <w:vAlign w:val="bottom"/>
            <w:gridSpan w:val="3"/>
          </w:tcPr>
          <w:p>
            <w:pPr>
              <w:ind w:left="1480"/>
              <w:spacing w:after="0"/>
              <w:rPr>
                <w:sz w:val="20"/>
                <w:szCs w:val="20"/>
                <w:color w:val="auto"/>
              </w:rPr>
            </w:pPr>
            <w:r>
              <w:rPr>
                <w:rFonts w:ascii="Times New Roman" w:cs="Times New Roman" w:eastAsia="Times New Roman" w:hAnsi="Times New Roman"/>
                <w:sz w:val="16"/>
                <w:szCs w:val="16"/>
                <w:color w:val="auto"/>
              </w:rPr>
              <w:t>Section 7.02(d)</w:t>
            </w:r>
          </w:p>
        </w:tc>
        <w:tc>
          <w:tcPr>
            <w:tcW w:w="0" w:type="dxa"/>
            <w:vAlign w:val="bottom"/>
          </w:tcPr>
          <w:p>
            <w:pPr>
              <w:spacing w:after="0"/>
              <w:rPr>
                <w:sz w:val="1"/>
                <w:szCs w:val="1"/>
                <w:color w:val="auto"/>
              </w:rPr>
            </w:pPr>
          </w:p>
        </w:tc>
      </w:tr>
      <w:tr>
        <w:trPr>
          <w:trHeight w:val="321"/>
        </w:trPr>
        <w:tc>
          <w:tcPr>
            <w:tcW w:w="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0" w:right="1440"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151"/>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Defined Term</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3"/>
                <w:szCs w:val="13"/>
                <w:color w:val="auto"/>
                <w:w w:val="97"/>
              </w:rPr>
              <w:t>Location of Definition</w:t>
            </w:r>
          </w:p>
        </w:tc>
      </w:tr>
      <w:tr>
        <w:trPr>
          <w:trHeight w:val="166"/>
        </w:trPr>
        <w:tc>
          <w:tcPr>
            <w:tcW w:w="720" w:type="dxa"/>
            <w:vAlign w:val="bottom"/>
            <w:tcBorders>
              <w:top w:val="single" w:sz="8" w:color="auto"/>
            </w:tcBorders>
          </w:tcPr>
          <w:p>
            <w:pPr>
              <w:spacing w:after="0" w:line="166" w:lineRule="exact"/>
              <w:rPr>
                <w:sz w:val="20"/>
                <w:szCs w:val="20"/>
                <w:color w:val="auto"/>
              </w:rPr>
            </w:pPr>
            <w:r>
              <w:rPr>
                <w:rFonts w:ascii="Times New Roman" w:cs="Times New Roman" w:eastAsia="Times New Roman" w:hAnsi="Times New Roman"/>
                <w:sz w:val="16"/>
                <w:szCs w:val="16"/>
                <w:color w:val="auto"/>
              </w:rPr>
              <w:t>Parent</w:t>
            </w: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Borders>
              <w:top w:val="single" w:sz="8" w:color="auto"/>
            </w:tcBorders>
          </w:tcPr>
          <w:p>
            <w:pPr>
              <w:spacing w:after="0" w:line="166" w:lineRule="exact"/>
              <w:rPr>
                <w:sz w:val="20"/>
                <w:szCs w:val="20"/>
                <w:color w:val="auto"/>
              </w:rPr>
            </w:pPr>
            <w:r>
              <w:rPr>
                <w:rFonts w:ascii="Times New Roman" w:cs="Times New Roman" w:eastAsia="Times New Roman" w:hAnsi="Times New Roman"/>
                <w:sz w:val="16"/>
                <w:szCs w:val="16"/>
                <w:color w:val="auto"/>
              </w:rPr>
              <w:t>Preamble</w:t>
            </w:r>
          </w:p>
        </w:tc>
        <w:tc>
          <w:tcPr>
            <w:tcW w:w="20" w:type="dxa"/>
            <w:vAlign w:val="bottom"/>
          </w:tcPr>
          <w:p>
            <w:pPr>
              <w:spacing w:after="0"/>
              <w:rPr>
                <w:sz w:val="14"/>
                <w:szCs w:val="14"/>
                <w:color w:val="auto"/>
              </w:rPr>
            </w:pP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Awards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3.04(g)</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Equity Awards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7.04(e)</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Related Parties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9.03(d)</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Restricted Stock</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3.04(f)</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SEC Reports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5.09(a)</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Parent Stock Options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3.04(d)</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Permitted Restrictions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7.07(a)</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Post-Closing Bonus Plan</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7.04(a)</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Post-Closing Covenants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11.01</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Pre-Closing Designated Persons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11.10</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Pre-Closing Privileges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11.10</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Prior Company Counsel</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11.10</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R&amp;D Sponsor</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4.12(j)</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Reduction Amount</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9.04(c)</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Regulatory Termination Fee</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w w:val="97"/>
              </w:rPr>
              <w:t>Section 9.03(a)(ii)</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Released Parties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11.11(a)</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Required Information</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w w:val="97"/>
              </w:rPr>
              <w:t>Section 7.19(a)(ii)</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Restraint</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8.01(c)</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Rollover Awards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3.04(b)</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Rollover Performance-Based Award</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3.04(b)</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Rollover Service-Based Award</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3.04(a)</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S-4 Effectiveness Time</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7.01(b)</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S-4 Registration Statement</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7.01(a)</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Sanctioned Person</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4.19(c)</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Sanctions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4.19(c)</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 Certificate of Merger</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2.02</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 Effective Time</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2.02</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 Merger</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Recitals</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 Merger Sub</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Preamble</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1542</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11.11(c)</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Investor Support Agreement</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Recitals</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Investors</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Recitals</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Social Security Act</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4.18(f)</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Consideration</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2.04(a)(i)</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Support Agreement</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7.13(b)</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Surviving Corporation</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Recitals</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Surviving Entity</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Recitals</w:t>
            </w:r>
          </w:p>
        </w:tc>
      </w:tr>
      <w:tr>
        <w:trPr>
          <w:trHeight w:val="190"/>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Date</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Section 9.04(c)</w:t>
            </w:r>
          </w:p>
        </w:tc>
      </w:tr>
      <w:tr>
        <w:trPr>
          <w:trHeight w:val="207"/>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Trustee</w:t>
            </w:r>
          </w:p>
        </w:tc>
        <w:tc>
          <w:tcPr>
            <w:tcW w:w="2660" w:type="dxa"/>
            <w:vAlign w:val="bottom"/>
            <w:gridSpan w:val="3"/>
          </w:tcPr>
          <w:p>
            <w:pPr>
              <w:ind w:left="1500"/>
              <w:spacing w:after="0"/>
              <w:rPr>
                <w:sz w:val="20"/>
                <w:szCs w:val="20"/>
                <w:color w:val="auto"/>
              </w:rPr>
            </w:pPr>
            <w:r>
              <w:rPr>
                <w:rFonts w:ascii="Times New Roman" w:cs="Times New Roman" w:eastAsia="Times New Roman" w:hAnsi="Times New Roman"/>
                <w:sz w:val="16"/>
                <w:szCs w:val="16"/>
                <w:color w:val="auto"/>
              </w:rPr>
              <w:t>Preamble</w:t>
            </w:r>
          </w:p>
        </w:tc>
      </w:tr>
      <w:tr>
        <w:trPr>
          <w:trHeight w:val="321"/>
        </w:trPr>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19</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250" w:right="1440" w:bottom="1440" w:gutter="0" w:footer="0" w:header="0"/>
        </w:sectPr>
      </w:pPr>
    </w:p>
    <w:bookmarkStart w:id="30" w:name="page31"/>
    <w:bookmarkEnd w:id="30"/>
    <w:p>
      <w:pPr>
        <w:ind w:right="40" w:firstLine="874"/>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1.03 </w:t>
      </w:r>
      <w:r>
        <w:rPr>
          <w:rFonts w:ascii="Times New Roman" w:cs="Times New Roman" w:eastAsia="Times New Roman" w:hAnsi="Times New Roman"/>
          <w:sz w:val="16"/>
          <w:szCs w:val="16"/>
          <w:u w:val="single" w:color="auto"/>
          <w:color w:val="auto"/>
        </w:rPr>
        <w:t>Interpretation; Headings</w:t>
      </w:r>
      <w:r>
        <w:rPr>
          <w:rFonts w:ascii="Times New Roman" w:cs="Times New Roman" w:eastAsia="Times New Roman" w:hAnsi="Times New Roman"/>
          <w:sz w:val="16"/>
          <w:szCs w:val="16"/>
          <w:color w:val="auto"/>
        </w:rPr>
        <w:t>.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 As used herein, the term “made available” means, with respect to any document, that such document was in the Company’s electronic data room relating to the transactions contemplated by this Agreement prior to 5:00 pm Pacific Daylight Time on the day prior to the date of this Agreement or otherwise provided via electronic means. When reference is made to an Article, Section, Schedule or Exhibit, such reference is to an Article or Section of, or Schedule or Exhibit to, this Agreement unless otherwise indicated. The table of contents and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MERGERS</w:t>
      </w:r>
    </w:p>
    <w:p>
      <w:pPr>
        <w:spacing w:after="0" w:line="1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u w:val="single" w:color="auto"/>
          <w:color w:val="auto"/>
        </w:rPr>
        <w:t>The Mergers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160" w:firstLine="883"/>
        <w:spacing w:after="0" w:line="255" w:lineRule="auto"/>
        <w:tabs>
          <w:tab w:leader="none" w:pos="109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terms and subject to the satisfaction or written waiver (where permissible)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and in accordance with the applicable provisions of the DGCL and this Agreement, at the Effective Time, First Merger Sub shall be merged with and into the Company. As a result of the First Merger, the separate corporate existence of First Merger Sub shall cease and the Company shall continue as the Surviving Corporation and, following the First Merger, shall be a wholly owned Subsidiary of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references to the Company for periods after the Effective Time until the Second Effective Time shall include the Surviving Corporation).</w:t>
      </w:r>
    </w:p>
    <w:p>
      <w:pPr>
        <w:spacing w:after="0" w:line="69" w:lineRule="exact"/>
        <w:rPr>
          <w:rFonts w:ascii="Times New Roman" w:cs="Times New Roman" w:eastAsia="Times New Roman" w:hAnsi="Times New Roman"/>
          <w:sz w:val="16"/>
          <w:szCs w:val="16"/>
          <w:color w:val="auto"/>
        </w:rPr>
      </w:pPr>
    </w:p>
    <w:p>
      <w:pPr>
        <w:ind w:firstLine="883"/>
        <w:spacing w:after="0" w:line="255" w:lineRule="auto"/>
        <w:tabs>
          <w:tab w:leader="none" w:pos="109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terms and subject to the satisfaction or written waiver (where permissible)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and in accordance with the applicable provisions of the DGCL, the DLLCA and this Agreement, at the Second Effective Time, the Surviving Corporation shall be merged with and into Second Merger Sub. As a result of the Second Merger, the separate corporate existence of the Surviving Corporation shall cease and Second Merger Sub shall continue as the Surviving Entity and, following the Second Merger, shall be a wholly owned Subsidiary of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references to the Company for periods after the Second Effective Time shall include the Surviving Entity).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720"/>
          </w:cols>
          <w:pgMar w:left="1080" w:top="254" w:right="1099" w:bottom="1440" w:gutter="0" w:footer="0" w:header="0"/>
        </w:sectPr>
      </w:pPr>
    </w:p>
    <w:bookmarkStart w:id="31" w:name="page32"/>
    <w:bookmarkEnd w:id="31"/>
    <w:p>
      <w:pPr>
        <w:ind w:firstLine="874"/>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2.02 </w:t>
      </w:r>
      <w:r>
        <w:rPr>
          <w:rFonts w:ascii="Times New Roman" w:cs="Times New Roman" w:eastAsia="Times New Roman" w:hAnsi="Times New Roman"/>
          <w:sz w:val="16"/>
          <w:szCs w:val="16"/>
          <w:u w:val="single" w:color="auto"/>
          <w:color w:val="auto"/>
        </w:rPr>
        <w:t>Closing; Effective Times</w:t>
      </w:r>
      <w:r>
        <w:rPr>
          <w:rFonts w:ascii="Times New Roman" w:cs="Times New Roman" w:eastAsia="Times New Roman" w:hAnsi="Times New Roman"/>
          <w:sz w:val="16"/>
          <w:szCs w:val="16"/>
          <w:color w:val="auto"/>
        </w:rPr>
        <w:t>. The closing of the Transactions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on the third Business Day after the satisfaction or written waiver (where permissible)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those conditions that by their terms are to be satisfied at the Closing, but subject to the satisfaction or written waiver (where permissible) of those conditions at the Closing), unless another date is agreed to in writing by Parent and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if all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shall no longer be satisfied or waived (where permissible) on such third Business Day, then the Closing shall take place on the first Business Day on which all such conditions shall again have been satisfied or waived (where permissible) unless another time is agreed to in writing by Parent and the Company. The Closing shall be effected by the electronic exchange of signatures by electronic transmission, or by such other means or at such other place as the parties shall agree. Subject to the terms and conditions of this Agreement, as soon as practicable on the Closing Date, the parties hereto shall cause the First Merger to be effected by filing a certificate of merger (the “</w:t>
      </w:r>
      <w:r>
        <w:rPr>
          <w:rFonts w:ascii="Times New Roman" w:cs="Times New Roman" w:eastAsia="Times New Roman" w:hAnsi="Times New Roman"/>
          <w:sz w:val="16"/>
          <w:szCs w:val="16"/>
          <w:u w:val="single" w:color="auto"/>
          <w:color w:val="auto"/>
        </w:rPr>
        <w:t>First Certificate of Merger</w:t>
      </w:r>
      <w:r>
        <w:rPr>
          <w:rFonts w:ascii="Times New Roman" w:cs="Times New Roman" w:eastAsia="Times New Roman" w:hAnsi="Times New Roman"/>
          <w:sz w:val="16"/>
          <w:szCs w:val="16"/>
          <w:color w:val="auto"/>
        </w:rPr>
        <w:t>”) with the Secretary of State of the State of Delaware, in such form and containing such information as is required by, and executed in accordance with, the relevant provisions of the DGCL. The First Merger shall become effective at the date and time of such filing of the Certificate of Merger, or such later time as may be agreed by each of the parties hereto and specified in the First Certificate of Merger (such time being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As soon as practicable following the Effective Time and in any case on the same day as the Effective Time, the parties hereto shall cause the Second Merger to be effected by filing a certificate of merger (the “</w:t>
      </w:r>
      <w:r>
        <w:rPr>
          <w:rFonts w:ascii="Times New Roman" w:cs="Times New Roman" w:eastAsia="Times New Roman" w:hAnsi="Times New Roman"/>
          <w:sz w:val="16"/>
          <w:szCs w:val="16"/>
          <w:u w:val="single" w:color="auto"/>
          <w:color w:val="auto"/>
        </w:rPr>
        <w:t>Second Certificate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and, together with the First Certificate of Merger, the “</w:t>
      </w:r>
      <w:r>
        <w:rPr>
          <w:rFonts w:ascii="Times New Roman" w:cs="Times New Roman" w:eastAsia="Times New Roman" w:hAnsi="Times New Roman"/>
          <w:sz w:val="16"/>
          <w:szCs w:val="16"/>
          <w:u w:val="single" w:color="auto"/>
          <w:color w:val="auto"/>
        </w:rPr>
        <w:t>Certificates of Merger</w:t>
      </w:r>
      <w:r>
        <w:rPr>
          <w:rFonts w:ascii="Times New Roman" w:cs="Times New Roman" w:eastAsia="Times New Roman" w:hAnsi="Times New Roman"/>
          <w:sz w:val="16"/>
          <w:szCs w:val="16"/>
          <w:color w:val="auto"/>
        </w:rPr>
        <w:t>”) with the Secretary of State of the State of Delaware, in such form and containing such information as is required by, and executed in accordance with, the relevant provisions of the DGCL and the DLLCA. The Second Merger shall become effective at the date and time of such filing of the Second Certificate of Merger, or such later time as may be agreed by each of the parties hereto and specified in the Second Certificate of Merger (such time being the “</w:t>
      </w:r>
      <w:r>
        <w:rPr>
          <w:rFonts w:ascii="Times New Roman" w:cs="Times New Roman" w:eastAsia="Times New Roman" w:hAnsi="Times New Roman"/>
          <w:sz w:val="16"/>
          <w:szCs w:val="16"/>
          <w:u w:val="single" w:color="auto"/>
          <w:color w:val="auto"/>
        </w:rPr>
        <w:t>Second Effective Time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u w:val="single" w:color="auto"/>
          <w:color w:val="auto"/>
        </w:rPr>
        <w:t>Effect of the Mergers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40" w:firstLine="883"/>
        <w:spacing w:after="0" w:line="254" w:lineRule="auto"/>
        <w:tabs>
          <w:tab w:leader="none" w:pos="109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the effect of the First Merger shall be as provided in this Agreement, the First Certificate of Merger and in the applicable provisions of the DGCL. Without limiting the generality of the foregoing, and subject thereto, at the Effective Time, all the property, rights, privileges, agreements, powers and franchises, debts, liabilities, duties and obligations of First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First Merger Sub and the Company set forth in this Agreement to be performed after the Effective Time.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700"/>
          </w:cols>
          <w:pgMar w:left="1080" w:top="254" w:right="1119" w:bottom="1440" w:gutter="0" w:footer="0" w:header="0"/>
        </w:sectPr>
      </w:pPr>
    </w:p>
    <w:bookmarkStart w:id="32" w:name="page33"/>
    <w:bookmarkEnd w:id="32"/>
    <w:p>
      <w:pPr>
        <w:ind w:firstLine="883"/>
        <w:spacing w:after="0" w:line="254" w:lineRule="auto"/>
        <w:tabs>
          <w:tab w:leader="none" w:pos="109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At the Second Effective Time, the effect of the Second Merger shall be as provided in this Agreement, the Second Certificate of Merger and in the applicable provisions of the DGCL and the DLLCA. Without limiting the generality of the foregoing, and subject thereto, at the Second Effective Time, all the property, rights, privileges, agreements, powers and franchises, debts, liabilities, duties and obligations of Second Merger Sub and the Surviving Corporation shall become the property, rights, privileges, agreements, powers and franchises, debts, liabilities, duties and obligations of the Surviving Entity, which shall include the assumption by the Surviving Entity of any and all agreements, covenants, duties and obligations of the Surviving Entity and the Surviving Corporation set forth in this Agreement to be performed after the Second Effective Time.</w:t>
      </w:r>
    </w:p>
    <w:p>
      <w:pPr>
        <w:spacing w:after="0" w:line="165" w:lineRule="exact"/>
        <w:rPr>
          <w:sz w:val="20"/>
          <w:szCs w:val="20"/>
          <w:color w:val="auto"/>
        </w:rPr>
      </w:pPr>
    </w:p>
    <w:p>
      <w:pPr>
        <w:ind w:right="20"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u w:val="single" w:color="auto"/>
          <w:color w:val="auto"/>
        </w:rPr>
        <w:t>Effect of the First Merger; Conversion of Securities</w:t>
      </w:r>
      <w:r>
        <w:rPr>
          <w:rFonts w:ascii="Times New Roman" w:cs="Times New Roman" w:eastAsia="Times New Roman" w:hAnsi="Times New Roman"/>
          <w:sz w:val="16"/>
          <w:szCs w:val="16"/>
          <w:color w:val="auto"/>
        </w:rPr>
        <w:t xml:space="preserve">. (a) At the Effective Time, by virtue of the First Merger and without any action on the part of Parent, First Merger Sub, the Company or any holders of Company Stock, each share of Company Class A Common Stock, Company Class B Common Stock, Company Series A Preferred Stock, Company Series B Preferred Stock, Company Series C Preferred Stock and Company Series D Preferred Stock issued and outstanding immediately prior to the Effective Time (other than Appraisal Shares, Company Restricted Stock Awards and any shares of Company Stock to be canceled pursuant to </w:t>
      </w:r>
      <w:r>
        <w:rPr>
          <w:rFonts w:ascii="Times New Roman" w:cs="Times New Roman" w:eastAsia="Times New Roman" w:hAnsi="Times New Roman"/>
          <w:sz w:val="16"/>
          <w:szCs w:val="16"/>
          <w:u w:val="single" w:color="auto"/>
          <w:color w:val="auto"/>
        </w:rPr>
        <w:t>Section 2.04(c)</w:t>
      </w:r>
      <w:r>
        <w:rPr>
          <w:rFonts w:ascii="Times New Roman" w:cs="Times New Roman" w:eastAsia="Times New Roman" w:hAnsi="Times New Roman"/>
          <w:sz w:val="16"/>
          <w:szCs w:val="16"/>
          <w:color w:val="auto"/>
        </w:rPr>
        <w:t>) shall be converted automatically into the right to receive, in accordance with Section 251(b)(5) of the DGCL and the terms of this Agreement, the following consideration at the election of the holder thereof:</w:t>
      </w:r>
    </w:p>
    <w:p>
      <w:pPr>
        <w:spacing w:after="0" w:line="69" w:lineRule="exact"/>
        <w:rPr>
          <w:sz w:val="20"/>
          <w:szCs w:val="20"/>
          <w:color w:val="auto"/>
        </w:rPr>
      </w:pPr>
    </w:p>
    <w:p>
      <w:pPr>
        <w:ind w:left="400" w:right="220" w:firstLine="836"/>
        <w:spacing w:after="0" w:line="274" w:lineRule="auto"/>
        <w:tabs>
          <w:tab w:leader="none" w:pos="142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share of Company Stock with respect to which an election to receive a combination of cash, Parent Common Stock and a CVR has been effectively made and not revoked pursuant to </w:t>
      </w:r>
      <w:r>
        <w:rPr>
          <w:rFonts w:ascii="Times New Roman" w:cs="Times New Roman" w:eastAsia="Times New Roman" w:hAnsi="Times New Roman"/>
          <w:sz w:val="15"/>
          <w:szCs w:val="15"/>
          <w:u w:val="single" w:color="auto"/>
          <w:color w:val="auto"/>
        </w:rPr>
        <w:t>Section 3.01</w:t>
      </w:r>
      <w:r>
        <w:rPr>
          <w:rFonts w:ascii="Times New Roman" w:cs="Times New Roman" w:eastAsia="Times New Roman" w:hAnsi="Times New Roman"/>
          <w:sz w:val="15"/>
          <w:szCs w:val="15"/>
          <w:color w:val="auto"/>
        </w:rPr>
        <w:t xml:space="preserve"> (each, a “</w:t>
      </w:r>
      <w:r>
        <w:rPr>
          <w:rFonts w:ascii="Times New Roman" w:cs="Times New Roman" w:eastAsia="Times New Roman" w:hAnsi="Times New Roman"/>
          <w:sz w:val="15"/>
          <w:szCs w:val="15"/>
          <w:u w:val="single" w:color="auto"/>
          <w:color w:val="auto"/>
        </w:rPr>
        <w:t>CVR Election Share</w:t>
      </w:r>
      <w:r>
        <w:rPr>
          <w:rFonts w:ascii="Times New Roman" w:cs="Times New Roman" w:eastAsia="Times New Roman" w:hAnsi="Times New Roman"/>
          <w:sz w:val="15"/>
          <w:szCs w:val="15"/>
          <w:color w:val="auto"/>
        </w:rPr>
        <w:t>”) shall be converted into the right to receive (A) the Cash Consideration, without interest, (B) the number of validly issued, fully paid and non-assessable shares of Parent Common Stock equal to the Exchange Ratio (the “</w:t>
      </w:r>
      <w:r>
        <w:rPr>
          <w:rFonts w:ascii="Times New Roman" w:cs="Times New Roman" w:eastAsia="Times New Roman" w:hAnsi="Times New Roman"/>
          <w:sz w:val="15"/>
          <w:szCs w:val="15"/>
          <w:u w:val="single" w:color="auto"/>
          <w:color w:val="auto"/>
        </w:rPr>
        <w:t>Stock Consideration</w:t>
      </w:r>
      <w:r>
        <w:rPr>
          <w:rFonts w:ascii="Times New Roman" w:cs="Times New Roman" w:eastAsia="Times New Roman" w:hAnsi="Times New Roman"/>
          <w:sz w:val="15"/>
          <w:szCs w:val="15"/>
          <w:color w:val="auto"/>
        </w:rPr>
        <w:t xml:space="preserve">”), subject to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 and (C) one contingent value right issued by Parent subject to and in accordance with the CVR Agreement (a “</w:t>
      </w:r>
      <w:r>
        <w:rPr>
          <w:rFonts w:ascii="Times New Roman" w:cs="Times New Roman" w:eastAsia="Times New Roman" w:hAnsi="Times New Roman"/>
          <w:sz w:val="15"/>
          <w:szCs w:val="15"/>
          <w:u w:val="single" w:color="auto"/>
          <w:color w:val="auto"/>
        </w:rPr>
        <w:t>CVR</w:t>
      </w:r>
      <w:r>
        <w:rPr>
          <w:rFonts w:ascii="Times New Roman" w:cs="Times New Roman" w:eastAsia="Times New Roman" w:hAnsi="Times New Roman"/>
          <w:sz w:val="15"/>
          <w:szCs w:val="15"/>
          <w:color w:val="auto"/>
        </w:rPr>
        <w:t>”) (collectively, the “</w:t>
      </w:r>
      <w:r>
        <w:rPr>
          <w:rFonts w:ascii="Times New Roman" w:cs="Times New Roman" w:eastAsia="Times New Roman" w:hAnsi="Times New Roman"/>
          <w:sz w:val="15"/>
          <w:szCs w:val="15"/>
          <w:u w:val="single" w:color="auto"/>
          <w:color w:val="auto"/>
        </w:rPr>
        <w:t>CVR Consideration</w:t>
      </w:r>
      <w:r>
        <w:rPr>
          <w:rFonts w:ascii="Times New Roman" w:cs="Times New Roman" w:eastAsia="Times New Roman" w:hAnsi="Times New Roman"/>
          <w:sz w:val="15"/>
          <w:szCs w:val="15"/>
          <w:color w:val="auto"/>
        </w:rPr>
        <w:t>”). Each CVR issued as Merger Consideration hereunder will be substantially in the form attached as Annex A to the CVR Agreement (the “</w:t>
      </w:r>
      <w:r>
        <w:rPr>
          <w:rFonts w:ascii="Times New Roman" w:cs="Times New Roman" w:eastAsia="Times New Roman" w:hAnsi="Times New Roman"/>
          <w:sz w:val="15"/>
          <w:szCs w:val="15"/>
          <w:u w:val="single" w:color="auto"/>
          <w:color w:val="auto"/>
        </w:rPr>
        <w:t>CVR Certificate</w:t>
      </w:r>
      <w:r>
        <w:rPr>
          <w:rFonts w:ascii="Times New Roman" w:cs="Times New Roman" w:eastAsia="Times New Roman" w:hAnsi="Times New Roman"/>
          <w:sz w:val="15"/>
          <w:szCs w:val="15"/>
          <w:color w:val="auto"/>
        </w:rPr>
        <w:t>”).</w:t>
      </w:r>
    </w:p>
    <w:p>
      <w:pPr>
        <w:spacing w:after="0" w:line="56" w:lineRule="exact"/>
        <w:rPr>
          <w:rFonts w:ascii="Times New Roman" w:cs="Times New Roman" w:eastAsia="Times New Roman" w:hAnsi="Times New Roman"/>
          <w:sz w:val="15"/>
          <w:szCs w:val="15"/>
          <w:color w:val="auto"/>
        </w:rPr>
      </w:pPr>
    </w:p>
    <w:p>
      <w:pPr>
        <w:ind w:left="400" w:right="220" w:firstLine="836"/>
        <w:spacing w:after="0" w:line="258" w:lineRule="auto"/>
        <w:tabs>
          <w:tab w:leader="none" w:pos="147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share of Company Stock with respect to which an election to receive the Alternative Consideration in lieu of receiving a CVR has been effectively made and not revoked pursuant to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u w:val="single" w:color="auto"/>
          <w:color w:val="auto"/>
        </w:rPr>
        <w:t>Cash &amp; Stock Election Share</w:t>
      </w:r>
      <w:r>
        <w:rPr>
          <w:rFonts w:ascii="Times New Roman" w:cs="Times New Roman" w:eastAsia="Times New Roman" w:hAnsi="Times New Roman"/>
          <w:sz w:val="16"/>
          <w:szCs w:val="16"/>
          <w:color w:val="auto"/>
        </w:rPr>
        <w:t xml:space="preserve">”) shall be converted into the right to receive (A) the Cash Consideration, without interest, (B) the Stock Consideration, subject to </w:t>
      </w:r>
      <w:r>
        <w:rPr>
          <w:rFonts w:ascii="Times New Roman" w:cs="Times New Roman" w:eastAsia="Times New Roman" w:hAnsi="Times New Roman"/>
          <w:sz w:val="16"/>
          <w:szCs w:val="16"/>
          <w:u w:val="single" w:color="auto"/>
          <w:color w:val="auto"/>
        </w:rPr>
        <w:t>Section 3.02(e)</w:t>
      </w:r>
      <w:r>
        <w:rPr>
          <w:rFonts w:ascii="Times New Roman" w:cs="Times New Roman" w:eastAsia="Times New Roman" w:hAnsi="Times New Roman"/>
          <w:sz w:val="16"/>
          <w:szCs w:val="16"/>
          <w:color w:val="auto"/>
        </w:rPr>
        <w:t>, and (C) the Alternative Consideration (collectively, the “</w:t>
      </w:r>
      <w:r>
        <w:rPr>
          <w:rFonts w:ascii="Times New Roman" w:cs="Times New Roman" w:eastAsia="Times New Roman" w:hAnsi="Times New Roman"/>
          <w:sz w:val="16"/>
          <w:szCs w:val="16"/>
          <w:u w:val="single" w:color="auto"/>
          <w:color w:val="auto"/>
        </w:rPr>
        <w:t>Cash &amp; Stock Consideration</w:t>
      </w:r>
      <w:r>
        <w:rPr>
          <w:rFonts w:ascii="Times New Roman" w:cs="Times New Roman" w:eastAsia="Times New Roman" w:hAnsi="Times New Roman"/>
          <w:sz w:val="16"/>
          <w:szCs w:val="16"/>
          <w:color w:val="auto"/>
        </w:rPr>
        <w:t>”).</w:t>
      </w:r>
    </w:p>
    <w:p>
      <w:pPr>
        <w:spacing w:after="0" w:line="65" w:lineRule="exact"/>
        <w:rPr>
          <w:rFonts w:ascii="Times New Roman" w:cs="Times New Roman" w:eastAsia="Times New Roman" w:hAnsi="Times New Roman"/>
          <w:sz w:val="16"/>
          <w:szCs w:val="16"/>
          <w:color w:val="auto"/>
        </w:rPr>
      </w:pPr>
    </w:p>
    <w:p>
      <w:pPr>
        <w:ind w:left="400" w:right="60" w:firstLine="836"/>
        <w:spacing w:after="0" w:line="278" w:lineRule="auto"/>
        <w:tabs>
          <w:tab w:leader="none" w:pos="151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Company Stock with respect to which no election has been effectively made in accordance with Section 3.01 (the “</w:t>
      </w:r>
      <w:r>
        <w:rPr>
          <w:rFonts w:ascii="Times New Roman" w:cs="Times New Roman" w:eastAsia="Times New Roman" w:hAnsi="Times New Roman"/>
          <w:sz w:val="16"/>
          <w:szCs w:val="16"/>
          <w:u w:val="single" w:color="auto"/>
          <w:color w:val="auto"/>
        </w:rPr>
        <w:t>No Election Shares</w:t>
      </w:r>
      <w:r>
        <w:rPr>
          <w:rFonts w:ascii="Times New Roman" w:cs="Times New Roman" w:eastAsia="Times New Roman" w:hAnsi="Times New Roman"/>
          <w:sz w:val="16"/>
          <w:szCs w:val="16"/>
          <w:color w:val="auto"/>
        </w:rPr>
        <w:t>”) shall be converted into the right to receive the CVR Consideration.</w:t>
      </w:r>
    </w:p>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680"/>
          </w:cols>
          <w:pgMar w:left="1080" w:top="254" w:right="1139" w:bottom="1440" w:gutter="0" w:footer="0" w:header="0"/>
        </w:sectPr>
      </w:pPr>
    </w:p>
    <w:bookmarkStart w:id="33" w:name="page34"/>
    <w:bookmarkEnd w:id="33"/>
    <w:p>
      <w:pPr>
        <w:ind w:right="80" w:firstLine="883"/>
        <w:spacing w:after="0" w:line="252" w:lineRule="auto"/>
        <w:tabs>
          <w:tab w:leader="none" w:pos="109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Except as set forth in </w:t>
      </w:r>
      <w:r>
        <w:rPr>
          <w:rFonts w:ascii="Times New Roman" w:cs="Times New Roman" w:eastAsia="Times New Roman" w:hAnsi="Times New Roman"/>
          <w:sz w:val="16"/>
          <w:szCs w:val="16"/>
          <w:u w:val="single" w:color="auto"/>
          <w:color w:val="auto"/>
        </w:rPr>
        <w:t>Section 2.04(c)</w:t>
      </w:r>
      <w:r>
        <w:rPr>
          <w:rFonts w:ascii="Times New Roman" w:cs="Times New Roman" w:eastAsia="Times New Roman" w:hAnsi="Times New Roman"/>
          <w:sz w:val="16"/>
          <w:szCs w:val="16"/>
          <w:color w:val="auto"/>
        </w:rPr>
        <w:t xml:space="preserve">, by virtue of the First Merger, each share of Company Stock, when converted in accordance with </w:t>
      </w: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shall cease to be outstanding and shall automatically be cancelled and cease to exist, and each holder of a certificate or certificates that immediately prior to the Effective Time represented outstanding shares of Company Stock (“</w:t>
      </w:r>
      <w:r>
        <w:rPr>
          <w:rFonts w:ascii="Times New Roman" w:cs="Times New Roman" w:eastAsia="Times New Roman" w:hAnsi="Times New Roman"/>
          <w:sz w:val="16"/>
          <w:szCs w:val="16"/>
          <w:u w:val="single" w:color="auto"/>
          <w:color w:val="auto"/>
        </w:rPr>
        <w:t>Certificates</w:t>
      </w:r>
      <w:r>
        <w:rPr>
          <w:rFonts w:ascii="Times New Roman" w:cs="Times New Roman" w:eastAsia="Times New Roman" w:hAnsi="Times New Roman"/>
          <w:sz w:val="16"/>
          <w:szCs w:val="16"/>
          <w:color w:val="auto"/>
        </w:rPr>
        <w:t>”) and each holder of shares of Company Stock outstanding immediately prior to the Effective Time that are not represented by Certificates (“</w:t>
      </w:r>
      <w:r>
        <w:rPr>
          <w:rFonts w:ascii="Times New Roman" w:cs="Times New Roman" w:eastAsia="Times New Roman" w:hAnsi="Times New Roman"/>
          <w:sz w:val="16"/>
          <w:szCs w:val="16"/>
          <w:u w:val="single" w:color="auto"/>
          <w:color w:val="auto"/>
        </w:rPr>
        <w:t>Book-Entry Shares</w:t>
      </w:r>
      <w:r>
        <w:rPr>
          <w:rFonts w:ascii="Times New Roman" w:cs="Times New Roman" w:eastAsia="Times New Roman" w:hAnsi="Times New Roman"/>
          <w:sz w:val="16"/>
          <w:szCs w:val="16"/>
          <w:color w:val="auto"/>
        </w:rPr>
        <w:t xml:space="preserve">”) shall thereafter cease to have any rights with respect to such shares of Company Stock except (i) the right to receive, as applicable, the Merger Consideration, any dividends pursuant to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 xml:space="preserve"> and cash in lieu of any fractional shares payable pursuant to </w:t>
      </w:r>
      <w:r>
        <w:rPr>
          <w:rFonts w:ascii="Times New Roman" w:cs="Times New Roman" w:eastAsia="Times New Roman" w:hAnsi="Times New Roman"/>
          <w:sz w:val="16"/>
          <w:szCs w:val="16"/>
          <w:u w:val="single" w:color="auto"/>
          <w:color w:val="auto"/>
        </w:rPr>
        <w:t>Section 3.02(e)</w:t>
      </w:r>
      <w:r>
        <w:rPr>
          <w:rFonts w:ascii="Times New Roman" w:cs="Times New Roman" w:eastAsia="Times New Roman" w:hAnsi="Times New Roman"/>
          <w:sz w:val="16"/>
          <w:szCs w:val="16"/>
          <w:color w:val="auto"/>
        </w:rPr>
        <w:t xml:space="preserve">, in each case to be issued or paid, without interest, in consideration therefor upon surrender of such Certificate or transfer of the Book-Entry Shares in accordance with </w:t>
      </w:r>
      <w:r>
        <w:rPr>
          <w:rFonts w:ascii="Times New Roman" w:cs="Times New Roman" w:eastAsia="Times New Roman" w:hAnsi="Times New Roman"/>
          <w:sz w:val="16"/>
          <w:szCs w:val="16"/>
          <w:u w:val="single" w:color="auto"/>
          <w:color w:val="auto"/>
        </w:rPr>
        <w:t>Section 3.02(b)</w:t>
      </w:r>
      <w:r>
        <w:rPr>
          <w:rFonts w:ascii="Times New Roman" w:cs="Times New Roman" w:eastAsia="Times New Roman" w:hAnsi="Times New Roman"/>
          <w:sz w:val="16"/>
          <w:szCs w:val="16"/>
          <w:color w:val="auto"/>
        </w:rPr>
        <w:t xml:space="preserve"> (or in the case of a lost, stolen or destroyed Certificate, </w:t>
      </w:r>
      <w:r>
        <w:rPr>
          <w:rFonts w:ascii="Times New Roman" w:cs="Times New Roman" w:eastAsia="Times New Roman" w:hAnsi="Times New Roman"/>
          <w:sz w:val="16"/>
          <w:szCs w:val="16"/>
          <w:u w:val="single" w:color="auto"/>
          <w:color w:val="auto"/>
        </w:rPr>
        <w:t>Section 3.02(j)</w:t>
      </w:r>
      <w:r>
        <w:rPr>
          <w:rFonts w:ascii="Times New Roman" w:cs="Times New Roman" w:eastAsia="Times New Roman" w:hAnsi="Times New Roman"/>
          <w:sz w:val="16"/>
          <w:szCs w:val="16"/>
          <w:color w:val="auto"/>
        </w:rPr>
        <w:t>) or (ii) as provided by Law.</w:t>
      </w:r>
    </w:p>
    <w:p>
      <w:pPr>
        <w:spacing w:after="0" w:line="72" w:lineRule="exact"/>
        <w:rPr>
          <w:rFonts w:ascii="Times New Roman" w:cs="Times New Roman" w:eastAsia="Times New Roman" w:hAnsi="Times New Roman"/>
          <w:sz w:val="16"/>
          <w:szCs w:val="16"/>
          <w:color w:val="auto"/>
        </w:rPr>
      </w:pPr>
    </w:p>
    <w:p>
      <w:pPr>
        <w:ind w:firstLine="883"/>
        <w:spacing w:after="0" w:line="263" w:lineRule="auto"/>
        <w:tabs>
          <w:tab w:leader="none" w:pos="109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by virtue of the First Merger and without any action on the part of Parent, First Merger Sub, the Company or any holders of Company Stock, each share of Company Stock held in the treasury of the Company immediately prior to the Effective Time shall automatically be cancelled and retired and cease to exist without any conversion thereof, and no payment shall be made with respect thereto.</w:t>
      </w:r>
    </w:p>
    <w:p>
      <w:pPr>
        <w:spacing w:after="0" w:line="61" w:lineRule="exact"/>
        <w:rPr>
          <w:rFonts w:ascii="Times New Roman" w:cs="Times New Roman" w:eastAsia="Times New Roman" w:hAnsi="Times New Roman"/>
          <w:sz w:val="16"/>
          <w:szCs w:val="16"/>
          <w:color w:val="auto"/>
        </w:rPr>
      </w:pPr>
    </w:p>
    <w:p>
      <w:pPr>
        <w:ind w:right="200" w:firstLine="883"/>
        <w:spacing w:after="0" w:line="263" w:lineRule="auto"/>
        <w:tabs>
          <w:tab w:leader="none" w:pos="109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issued and outstanding share of capital stock of First Merger Sub, par value $0.01 per share, shall, by virtue of the First Merger and without any action on the part of Parent, First Merger Sub or the Company, be converted into and become one validly issued, fully paid and non-assessable share of Class A Common Stock, par value $0.001 per share, of the Surviving Corporation.</w:t>
      </w:r>
    </w:p>
    <w:p>
      <w:pPr>
        <w:spacing w:after="0" w:line="157" w:lineRule="exact"/>
        <w:rPr>
          <w:sz w:val="20"/>
          <w:szCs w:val="20"/>
          <w:color w:val="auto"/>
        </w:rPr>
      </w:pPr>
    </w:p>
    <w:p>
      <w:pPr>
        <w:ind w:right="20" w:firstLine="874"/>
        <w:spacing w:after="0" w:line="253"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u w:val="single" w:color="auto"/>
          <w:color w:val="auto"/>
        </w:rPr>
        <w:t>Effect of the Second Merger; Conversion of Securities</w:t>
      </w:r>
      <w:r>
        <w:rPr>
          <w:rFonts w:ascii="Times New Roman" w:cs="Times New Roman" w:eastAsia="Times New Roman" w:hAnsi="Times New Roman"/>
          <w:sz w:val="16"/>
          <w:szCs w:val="16"/>
          <w:color w:val="auto"/>
        </w:rPr>
        <w:t>. Upon the terms and subject to the conditions of this Agreement, at the Second Effective Time, by virtue of the Second Merger and without any action on the part of any party hereto or any holders of Company Stock or the holders of any shares of capital stock of Parent, the Surviving Corporation or Second Merger Sub: (a) each share of Class A Common Stock of the Surviving Corporation issued and outstanding immediately prior to the Second Effective Time shall be cancelled and shall cease to exist without any conversion thereof or payment therefor; and (b) each limited liability company interest of Second Merger Sub issued and outstanding immediately prior to the Second Effective Time shall not be affected and shall remain outstanding as a limited liability company interest of the Surviving Entity, which shall constitute one hundred percent (100%) of the outstanding equity of the Surviving Entity.</w:t>
      </w:r>
    </w:p>
    <w:p>
      <w:pPr>
        <w:spacing w:after="0" w:line="166" w:lineRule="exact"/>
        <w:rPr>
          <w:sz w:val="20"/>
          <w:szCs w:val="20"/>
          <w:color w:val="auto"/>
        </w:rPr>
      </w:pPr>
    </w:p>
    <w:p>
      <w:pPr>
        <w:ind w:right="460"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u w:val="single" w:color="auto"/>
          <w:color w:val="auto"/>
        </w:rPr>
        <w:t>Certificate of Incorporation; Bylaws; Certificate of Formation; Operating Agreement</w:t>
      </w:r>
      <w:r>
        <w:rPr>
          <w:rFonts w:ascii="Times New Roman" w:cs="Times New Roman" w:eastAsia="Times New Roman" w:hAnsi="Times New Roman"/>
          <w:sz w:val="16"/>
          <w:szCs w:val="16"/>
          <w:color w:val="auto"/>
        </w:rPr>
        <w:t>. (a) At the Effective Time, the Company’s certificate of incorporation in effect immediately prior to the Effective Time shall continue to be the certificate of incorporation of the Surviving Corporation until thereafter amended as provided therein or by applicable Law.</w:t>
      </w:r>
    </w:p>
    <w:p>
      <w:pPr>
        <w:spacing w:after="0" w:line="62" w:lineRule="exact"/>
        <w:rPr>
          <w:sz w:val="20"/>
          <w:szCs w:val="20"/>
          <w:color w:val="auto"/>
        </w:rPr>
      </w:pPr>
    </w:p>
    <w:p>
      <w:pPr>
        <w:ind w:right="240" w:firstLine="883"/>
        <w:spacing w:after="0" w:line="263" w:lineRule="auto"/>
        <w:tabs>
          <w:tab w:leader="none" w:pos="109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the bylaws of Company as in effect immediately prior to the Effective Time shall be amended and restated to read in their entirety as the bylaws of First Merger Sub as in effect immediately prior to the Effective Time, except that all references therein to First Merger Sub shall be replaced by references to the Surviving Corporation, until thereafter amended as provided therein or by applicable Law.</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720"/>
          </w:cols>
          <w:pgMar w:left="1080" w:top="254" w:right="1099" w:bottom="1440" w:gutter="0" w:footer="0" w:header="0"/>
        </w:sectPr>
      </w:pPr>
    </w:p>
    <w:bookmarkStart w:id="34" w:name="page35"/>
    <w:bookmarkEnd w:id="34"/>
    <w:p>
      <w:pPr>
        <w:jc w:val="both"/>
        <w:ind w:right="120" w:firstLine="883"/>
        <w:spacing w:after="0" w:line="263" w:lineRule="auto"/>
        <w:tabs>
          <w:tab w:leader="none" w:pos="109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At the Second Effective Time, the certificate of formation and operating agreement of Second Merger Sub in effect immediately prior to the Second Effective Time shall continue to be the certificate of formation and operating agreement of the Surviving Entity until thereafter amended as provided therein or by applicable Law, except that the name of the Surviving Entity shall be “GRAIL, LLC”.</w:t>
      </w:r>
    </w:p>
    <w:p>
      <w:pPr>
        <w:spacing w:after="0" w:line="157" w:lineRule="exact"/>
        <w:rPr>
          <w:sz w:val="20"/>
          <w:szCs w:val="20"/>
          <w:color w:val="auto"/>
        </w:rPr>
      </w:pPr>
    </w:p>
    <w:p>
      <w:pPr>
        <w:ind w:firstLine="874"/>
        <w:spacing w:after="0" w:line="252"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u w:val="single" w:color="auto"/>
          <w:color w:val="auto"/>
        </w:rPr>
        <w:t>Directors and Officers of the Surviving Corporation and the Surviving Entity</w:t>
      </w:r>
      <w:r>
        <w:rPr>
          <w:rFonts w:ascii="Times New Roman" w:cs="Times New Roman" w:eastAsia="Times New Roman" w:hAnsi="Times New Roman"/>
          <w:sz w:val="16"/>
          <w:szCs w:val="16"/>
          <w:color w:val="auto"/>
        </w:rPr>
        <w:t>. The parties shall take all requisite action so that, from and after the Effective Time, the directors of First Merger Sub immediately prior to the Effective Time shall be the directors of the Surviving Corporation, each to hold office in accordance with the certificate of incorporation and bylaws of the Surviving Corporation and until their respective successors are duly elected and qualified or until such director’s earlier death, resignation or removal, and the officers of First Merger Sub immediately prior to the Effective Time shall be the officers of the Surviving Corporation, each until their respective successors are duly elected and qualified or until such officer’s earlier death, resignation or removal. The parties shall take all requisite action so that, from and after the Second Effective Time, the officers of Second Merger Sub immediately prior to the Second Effective Time shall be the officers of the Surviving Entity, as set forth in the operating agreement of the Surviving Entity, each until their respective successors are duly elected and qualified or until such officer’s earlier death, resignation or removal.</w:t>
      </w:r>
    </w:p>
    <w:p>
      <w:pPr>
        <w:spacing w:after="0" w:line="165" w:lineRule="exact"/>
        <w:rPr>
          <w:sz w:val="20"/>
          <w:szCs w:val="20"/>
          <w:color w:val="auto"/>
        </w:rPr>
      </w:pPr>
    </w:p>
    <w:p>
      <w:pPr>
        <w:jc w:val="both"/>
        <w:ind w:right="100" w:firstLine="874"/>
        <w:spacing w:after="0" w:line="270" w:lineRule="auto"/>
        <w:rPr>
          <w:sz w:val="20"/>
          <w:szCs w:val="20"/>
          <w:color w:val="auto"/>
        </w:rPr>
      </w:pPr>
      <w:r>
        <w:rPr>
          <w:rFonts w:ascii="Times New Roman" w:cs="Times New Roman" w:eastAsia="Times New Roman" w:hAnsi="Times New Roman"/>
          <w:sz w:val="15"/>
          <w:szCs w:val="15"/>
          <w:color w:val="auto"/>
        </w:rPr>
        <w:t xml:space="preserve">Section 2.08 </w:t>
      </w:r>
      <w:r>
        <w:rPr>
          <w:rFonts w:ascii="Times New Roman" w:cs="Times New Roman" w:eastAsia="Times New Roman" w:hAnsi="Times New Roman"/>
          <w:sz w:val="15"/>
          <w:szCs w:val="15"/>
          <w:u w:val="single" w:color="auto"/>
          <w:color w:val="auto"/>
        </w:rPr>
        <w:t>Intended Tax Treatment</w:t>
      </w:r>
      <w:r>
        <w:rPr>
          <w:rFonts w:ascii="Times New Roman" w:cs="Times New Roman" w:eastAsia="Times New Roman" w:hAnsi="Times New Roman"/>
          <w:sz w:val="15"/>
          <w:szCs w:val="15"/>
          <w:color w:val="auto"/>
        </w:rPr>
        <w:t>. (a) For U.S. federal income tax purposes (and for purposes of any applicable state or local Tax that follows the U.S. federal income tax treatment), the parties hereto intend that (i) the First Merger and the Second Merger, taken together, will constitute an integrated transaction that qualifies as a “reorganization” within the meaning of Section 368(a) of the Code, and (ii) this Agreement will constitute a “plan of reorganization” for the purposes of Section 368 of the Code and Treasury Regulations Sections 1.368-2(g) and 1.368-3(a) (clauses (i) and</w:t>
      </w:r>
    </w:p>
    <w:p>
      <w:pPr>
        <w:spacing w:after="0" w:line="2" w:lineRule="exact"/>
        <w:rPr>
          <w:sz w:val="20"/>
          <w:szCs w:val="20"/>
          <w:color w:val="auto"/>
        </w:rPr>
      </w:pPr>
    </w:p>
    <w:p>
      <w:pPr>
        <w:ind w:left="240" w:hanging="231"/>
        <w:spacing w:after="0"/>
        <w:tabs>
          <w:tab w:leader="none" w:pos="2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collectively, the “</w:t>
      </w:r>
      <w:r>
        <w:rPr>
          <w:rFonts w:ascii="Times New Roman" w:cs="Times New Roman" w:eastAsia="Times New Roman" w:hAnsi="Times New Roman"/>
          <w:sz w:val="16"/>
          <w:szCs w:val="16"/>
          <w:u w:val="single" w:color="auto"/>
          <w:color w:val="auto"/>
        </w:rPr>
        <w:t>Intended Tax Treatment</w:t>
      </w:r>
      <w:r>
        <w:rPr>
          <w:rFonts w:ascii="Times New Roman" w:cs="Times New Roman" w:eastAsia="Times New Roman" w:hAnsi="Times New Roman"/>
          <w:sz w:val="16"/>
          <w:szCs w:val="16"/>
          <w:color w:val="auto"/>
        </w:rPr>
        <w:t>”).</w:t>
      </w:r>
    </w:p>
    <w:p>
      <w:pPr>
        <w:spacing w:after="0" w:line="84" w:lineRule="exact"/>
        <w:rPr>
          <w:rFonts w:ascii="Times New Roman" w:cs="Times New Roman" w:eastAsia="Times New Roman" w:hAnsi="Times New Roman"/>
          <w:sz w:val="16"/>
          <w:szCs w:val="16"/>
          <w:color w:val="auto"/>
        </w:rPr>
      </w:pPr>
    </w:p>
    <w:p>
      <w:pPr>
        <w:ind w:right="120" w:firstLine="883"/>
        <w:spacing w:after="0" w:line="258" w:lineRule="auto"/>
        <w:tabs>
          <w:tab w:leader="none" w:pos="1098"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 long as the conditions set forth on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are satisfied, then (i) each party hereto will agree to prepare and file all Tax Returns consistent with the position that the Mergers qualify for the Intended Tax Treatment, and (ii) no party shall take any position on any Tax Return or during the course of any audit, litigation or other proceeding with respect to Taxes that is inconsistent with the Intended Tax Treatment, except, in each case, as otherwise required by a final determination by a taxing authority or a change in applicable Law after the date of this Agreement.</w:t>
      </w:r>
    </w:p>
    <w:p>
      <w:pPr>
        <w:spacing w:after="0" w:line="65" w:lineRule="exact"/>
        <w:rPr>
          <w:rFonts w:ascii="Times New Roman" w:cs="Times New Roman" w:eastAsia="Times New Roman" w:hAnsi="Times New Roman"/>
          <w:sz w:val="16"/>
          <w:szCs w:val="16"/>
          <w:color w:val="auto"/>
        </w:rPr>
      </w:pPr>
    </w:p>
    <w:p>
      <w:pPr>
        <w:ind w:right="60" w:firstLine="883"/>
        <w:spacing w:after="0" w:line="258" w:lineRule="auto"/>
        <w:tabs>
          <w:tab w:leader="none" w:pos="109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shall cooperate with each other and their respective counsel and use their reasonable best efforts to cause the conditions set forth on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to be satisfied. Neither the Company nor Parent shall, or shall cause or permit any of their respective Subsidiaries to, take or omit to take any reasonable action not required or contemplated by this Agreement, as a result of which the Mergers would reasonably be expected to fail to qualify for the Intended Tax Treatment.</w:t>
      </w:r>
    </w:p>
    <w:p>
      <w:pPr>
        <w:spacing w:after="0" w:line="65" w:lineRule="exact"/>
        <w:rPr>
          <w:rFonts w:ascii="Times New Roman" w:cs="Times New Roman" w:eastAsia="Times New Roman" w:hAnsi="Times New Roman"/>
          <w:sz w:val="16"/>
          <w:szCs w:val="16"/>
          <w:color w:val="auto"/>
        </w:rPr>
      </w:pPr>
    </w:p>
    <w:p>
      <w:pPr>
        <w:ind w:right="80" w:firstLine="883"/>
        <w:spacing w:after="0" w:line="263" w:lineRule="auto"/>
        <w:tabs>
          <w:tab w:leader="none" w:pos="1098"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reasonably promptly notify the Company, and the Company shall reasonably promptly notify the Parent, in each case if such party becomes aware of any non-public fact or circumstance that would reasonably be likely to prevent or impede the Mergers from qualifying for the Intended Tax Treatment.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700"/>
          </w:cols>
          <w:pgMar w:left="1080" w:top="254" w:right="111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III</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DELIVERY OF MERGER CONSIDERATION</w:t>
      </w:r>
    </w:p>
    <w:p>
      <w:pPr>
        <w:spacing w:after="0" w:line="199" w:lineRule="exact"/>
        <w:rPr>
          <w:sz w:val="20"/>
          <w:szCs w:val="20"/>
          <w:color w:val="auto"/>
        </w:rPr>
      </w:pPr>
    </w:p>
    <w:p>
      <w:pPr>
        <w:ind w:firstLine="874"/>
        <w:spacing w:after="0" w:line="252"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u w:val="single" w:color="auto"/>
          <w:color w:val="auto"/>
        </w:rPr>
        <w:t>Election Procedures</w:t>
      </w:r>
      <w:r>
        <w:rPr>
          <w:rFonts w:ascii="Times New Roman" w:cs="Times New Roman" w:eastAsia="Times New Roman" w:hAnsi="Times New Roman"/>
          <w:sz w:val="16"/>
          <w:szCs w:val="16"/>
          <w:color w:val="auto"/>
        </w:rPr>
        <w:t>. (a) Not less than 30 days prior to the anticipated Effective Time (the “</w:t>
      </w:r>
      <w:r>
        <w:rPr>
          <w:rFonts w:ascii="Times New Roman" w:cs="Times New Roman" w:eastAsia="Times New Roman" w:hAnsi="Times New Roman"/>
          <w:sz w:val="16"/>
          <w:szCs w:val="16"/>
          <w:u w:val="single" w:color="auto"/>
          <w:color w:val="auto"/>
        </w:rPr>
        <w:t>Mailing Date</w:t>
      </w:r>
      <w:r>
        <w:rPr>
          <w:rFonts w:ascii="Times New Roman" w:cs="Times New Roman" w:eastAsia="Times New Roman" w:hAnsi="Times New Roman"/>
          <w:sz w:val="16"/>
          <w:szCs w:val="16"/>
          <w:color w:val="auto"/>
        </w:rPr>
        <w:t xml:space="preserve">”), Parent will cause to be mailed to each record holder of shares of Company Stock (other than shares of Company Stock cancelled pursuant to </w:t>
      </w:r>
      <w:r>
        <w:rPr>
          <w:rFonts w:ascii="Times New Roman" w:cs="Times New Roman" w:eastAsia="Times New Roman" w:hAnsi="Times New Roman"/>
          <w:sz w:val="16"/>
          <w:szCs w:val="16"/>
          <w:u w:val="single" w:color="auto"/>
          <w:color w:val="auto"/>
        </w:rPr>
        <w:t>Section 2.04(c)</w:t>
      </w:r>
      <w:r>
        <w:rPr>
          <w:rFonts w:ascii="Times New Roman" w:cs="Times New Roman" w:eastAsia="Times New Roman" w:hAnsi="Times New Roman"/>
          <w:sz w:val="16"/>
          <w:szCs w:val="16"/>
          <w:color w:val="auto"/>
        </w:rPr>
        <w:t>) as of five Business Days prior to the Mailing Date: (x) an election form in such form consistent with the terms of this Agreement as Parent shall specify (which such form shall be reasonably acceptable to the Company) (the “</w:t>
      </w:r>
      <w:r>
        <w:rPr>
          <w:rFonts w:ascii="Times New Roman" w:cs="Times New Roman" w:eastAsia="Times New Roman" w:hAnsi="Times New Roman"/>
          <w:sz w:val="16"/>
          <w:szCs w:val="16"/>
          <w:u w:val="single" w:color="auto"/>
          <w:color w:val="auto"/>
        </w:rPr>
        <w:t>Election Form</w:t>
      </w:r>
      <w:r>
        <w:rPr>
          <w:rFonts w:ascii="Times New Roman" w:cs="Times New Roman" w:eastAsia="Times New Roman" w:hAnsi="Times New Roman"/>
          <w:sz w:val="16"/>
          <w:szCs w:val="16"/>
          <w:color w:val="auto"/>
        </w:rPr>
        <w:t>”) and (y) a letter of transmittal which shall specify that delivery shall be effected, and risk of loss and title to the shares of Company Stock shall be deemed to pass, only upon proper delivery of the Certificates (or affidavits of loss in lieu thereof together with the required indemnity) or transfer of the Book-Entry Shares to the Exchange Agent, and shall be in a customary form and have such other provisions as are reasonably acceptable to the Company and Parent, including instructions for use in effecting the surrender or transfer (the “</w:t>
      </w:r>
      <w:r>
        <w:rPr>
          <w:rFonts w:ascii="Times New Roman" w:cs="Times New Roman" w:eastAsia="Times New Roman" w:hAnsi="Times New Roman"/>
          <w:sz w:val="16"/>
          <w:szCs w:val="16"/>
          <w:u w:val="single" w:color="auto"/>
          <w:color w:val="auto"/>
        </w:rPr>
        <w:t>Letter of Transmittal</w:t>
      </w:r>
      <w:r>
        <w:rPr>
          <w:rFonts w:ascii="Times New Roman" w:cs="Times New Roman" w:eastAsia="Times New Roman" w:hAnsi="Times New Roman"/>
          <w:sz w:val="16"/>
          <w:szCs w:val="16"/>
          <w:color w:val="auto"/>
        </w:rPr>
        <w:t>”). The Election Form shall state the procedures for electing the Merger Consideration and shall specify the number of shares of Parent Common Stock and/or amount of cash that comprise the Alternative Consideration as determined by Parent.</w:t>
      </w:r>
    </w:p>
    <w:p>
      <w:pPr>
        <w:spacing w:after="0" w:line="70" w:lineRule="exact"/>
        <w:rPr>
          <w:sz w:val="20"/>
          <w:szCs w:val="20"/>
          <w:color w:val="auto"/>
        </w:rPr>
      </w:pPr>
    </w:p>
    <w:p>
      <w:pPr>
        <w:ind w:right="40" w:firstLine="883"/>
        <w:spacing w:after="0" w:line="270" w:lineRule="auto"/>
        <w:tabs>
          <w:tab w:leader="none" w:pos="109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Election Form will permit each holder of shares of Company Stock to specify (i) the number of shares of Company Stock with respect to which such holder elects to receive the CVR Consideration, (ii) the number of shares of Company Stock with respect to which such holder elects to receive the Cash &amp; Stock Consideration or (iii) that such holder makes no election with respect to such holder’s shares of Company Stock. Any shares of Company Stock with respect to which the Exchange Agent does not receive a properly completed Election Form during the period (the “</w:t>
      </w:r>
      <w:r>
        <w:rPr>
          <w:rFonts w:ascii="Times New Roman" w:cs="Times New Roman" w:eastAsia="Times New Roman" w:hAnsi="Times New Roman"/>
          <w:sz w:val="15"/>
          <w:szCs w:val="15"/>
          <w:u w:val="single" w:color="auto"/>
          <w:color w:val="auto"/>
        </w:rPr>
        <w:t>Election Period</w:t>
      </w:r>
      <w:r>
        <w:rPr>
          <w:rFonts w:ascii="Times New Roman" w:cs="Times New Roman" w:eastAsia="Times New Roman" w:hAnsi="Times New Roman"/>
          <w:sz w:val="15"/>
          <w:szCs w:val="15"/>
          <w:color w:val="auto"/>
        </w:rPr>
        <w:t>”) from the Mailing Date to 5:00 p.m., Eastern time, on the date which Parent and the Company shall agree is as near as practicable to three Business Days preceding the Closing Date, or such other date as Parent and the Company will, prior to the Closing, mutually agree (the “</w:t>
      </w:r>
      <w:r>
        <w:rPr>
          <w:rFonts w:ascii="Times New Roman" w:cs="Times New Roman" w:eastAsia="Times New Roman" w:hAnsi="Times New Roman"/>
          <w:sz w:val="15"/>
          <w:szCs w:val="15"/>
          <w:u w:val="single" w:color="auto"/>
          <w:color w:val="auto"/>
        </w:rPr>
        <w:t>Election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Deadline</w:t>
      </w:r>
      <w:r>
        <w:rPr>
          <w:rFonts w:ascii="Times New Roman" w:cs="Times New Roman" w:eastAsia="Times New Roman" w:hAnsi="Times New Roman"/>
          <w:sz w:val="15"/>
          <w:szCs w:val="15"/>
          <w:color w:val="auto"/>
        </w:rPr>
        <w:t>”), will be deemed to be No Election Shares. Parent and the Company shall publicly announce the date of the Election Deadline at least three Business Days prior to the Election Deadline. If the Closing Date is delayed to a subsequent date, the Election Deadline shall be similarly delayed to a subsequent date, and Parent and the Company shall promptly announce any such delay and, when determined, the rescheduled Election Deadline.</w:t>
      </w:r>
    </w:p>
    <w:p>
      <w:pPr>
        <w:spacing w:after="0" w:line="62" w:lineRule="exact"/>
        <w:rPr>
          <w:rFonts w:ascii="Times New Roman" w:cs="Times New Roman" w:eastAsia="Times New Roman" w:hAnsi="Times New Roman"/>
          <w:sz w:val="15"/>
          <w:szCs w:val="15"/>
          <w:color w:val="auto"/>
        </w:rPr>
      </w:pPr>
    </w:p>
    <w:p>
      <w:pPr>
        <w:ind w:firstLine="883"/>
        <w:spacing w:after="0" w:line="258" w:lineRule="auto"/>
        <w:tabs>
          <w:tab w:leader="none" w:pos="109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direct the Exchange Agent to make Election Forms available as may be reasonably requested from time to time by all Persons who become holders of record of Company Stock between the date that is five Business Days prior to the Mailing Date and the Election Deadline, and the Company shall provide to the Exchange Agent all information reasonably necessary for the Exchange Agent to perform as specified in this Agreement and as specified in any agreement between Parent and/or the Company and the Exchange Agent.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720"/>
          </w:cols>
          <w:pgMar w:left="1080" w:top="252" w:right="1099" w:bottom="1440" w:gutter="0" w:footer="0" w:header="0"/>
        </w:sectPr>
      </w:pPr>
    </w:p>
    <w:bookmarkStart w:id="36" w:name="page37"/>
    <w:bookmarkEnd w:id="36"/>
    <w:p>
      <w:pPr>
        <w:ind w:firstLine="883"/>
        <w:spacing w:after="0" w:line="251" w:lineRule="auto"/>
        <w:tabs>
          <w:tab w:leader="none" w:pos="109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Any election made pursuant to this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will have been properly made only if the Exchange Agent will have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of Company Stock represented by such Election Form will be deemed to be No Election Shares, except to the extent a subsequent election is properly made during the Election Period. Any termination of this Agreement in accordance with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shall result in the revocation of all Election Forms delivered to the Exchange Agent on or prior to the date of such termination. Subject to the terms of this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Parent, First Merger Sub, Second Merger Sub, the Company or the Exchange Agent will be under any obligation to notify any Person of any defect in an Election Form.</w:t>
      </w:r>
    </w:p>
    <w:p>
      <w:pPr>
        <w:spacing w:after="0" w:line="170" w:lineRule="exact"/>
        <w:rPr>
          <w:sz w:val="20"/>
          <w:szCs w:val="20"/>
          <w:color w:val="auto"/>
        </w:rPr>
      </w:pPr>
    </w:p>
    <w:p>
      <w:pPr>
        <w:ind w:right="20" w:firstLine="874"/>
        <w:spacing w:after="0" w:line="267" w:lineRule="auto"/>
        <w:rPr>
          <w:sz w:val="20"/>
          <w:szCs w:val="20"/>
          <w:color w:val="auto"/>
        </w:rPr>
      </w:pPr>
      <w:r>
        <w:rPr>
          <w:rFonts w:ascii="Times New Roman" w:cs="Times New Roman" w:eastAsia="Times New Roman" w:hAnsi="Times New Roman"/>
          <w:sz w:val="15"/>
          <w:szCs w:val="15"/>
          <w:color w:val="auto"/>
        </w:rPr>
        <w:t xml:space="preserve">Section 3.02 </w:t>
      </w:r>
      <w:r>
        <w:rPr>
          <w:rFonts w:ascii="Times New Roman" w:cs="Times New Roman" w:eastAsia="Times New Roman" w:hAnsi="Times New Roman"/>
          <w:sz w:val="15"/>
          <w:szCs w:val="15"/>
          <w:u w:val="single" w:color="auto"/>
          <w:color w:val="auto"/>
        </w:rPr>
        <w:t>Exchange of Certificates</w:t>
      </w:r>
      <w:r>
        <w:rPr>
          <w:rFonts w:ascii="Times New Roman" w:cs="Times New Roman" w:eastAsia="Times New Roman" w:hAnsi="Times New Roman"/>
          <w:sz w:val="15"/>
          <w:szCs w:val="15"/>
          <w:color w:val="auto"/>
        </w:rPr>
        <w:t xml:space="preserve">. (a) </w:t>
      </w:r>
      <w:r>
        <w:rPr>
          <w:rFonts w:ascii="Times New Roman" w:cs="Times New Roman" w:eastAsia="Times New Roman" w:hAnsi="Times New Roman"/>
          <w:sz w:val="15"/>
          <w:szCs w:val="15"/>
          <w:u w:val="single" w:color="auto"/>
          <w:color w:val="auto"/>
        </w:rPr>
        <w:t>Exchange Agent</w:t>
      </w:r>
      <w:r>
        <w:rPr>
          <w:rFonts w:ascii="Times New Roman" w:cs="Times New Roman" w:eastAsia="Times New Roman" w:hAnsi="Times New Roman"/>
          <w:sz w:val="15"/>
          <w:szCs w:val="15"/>
          <w:color w:val="auto"/>
        </w:rPr>
        <w:t>. Prior to the Mailing Date, Parent shall designate a commercial bank or trust company reasonably acceptable to the Company to act as agent (the “</w:t>
      </w:r>
      <w:r>
        <w:rPr>
          <w:rFonts w:ascii="Times New Roman" w:cs="Times New Roman" w:eastAsia="Times New Roman" w:hAnsi="Times New Roman"/>
          <w:sz w:val="15"/>
          <w:szCs w:val="15"/>
          <w:u w:val="single" w:color="auto"/>
          <w:color w:val="auto"/>
        </w:rPr>
        <w:t>Exchange Agent</w:t>
      </w:r>
      <w:r>
        <w:rPr>
          <w:rFonts w:ascii="Times New Roman" w:cs="Times New Roman" w:eastAsia="Times New Roman" w:hAnsi="Times New Roman"/>
          <w:sz w:val="15"/>
          <w:szCs w:val="15"/>
          <w:color w:val="auto"/>
        </w:rPr>
        <w:t xml:space="preserve">”) for the exchange of shares of Company Stock in accordance with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Parent shall deposit, or shall cause to be deposited, with the Exchange Agent, for the benefit of the holders of shares of Company Stock (other than shares of Company Stock cancelled pursuant to </w:t>
      </w:r>
      <w:r>
        <w:rPr>
          <w:rFonts w:ascii="Times New Roman" w:cs="Times New Roman" w:eastAsia="Times New Roman" w:hAnsi="Times New Roman"/>
          <w:sz w:val="15"/>
          <w:szCs w:val="15"/>
          <w:u w:val="single" w:color="auto"/>
          <w:color w:val="auto"/>
        </w:rPr>
        <w:t>Section 2.04(c),</w:t>
      </w:r>
      <w:r>
        <w:rPr>
          <w:rFonts w:ascii="Times New Roman" w:cs="Times New Roman" w:eastAsia="Times New Roman" w:hAnsi="Times New Roman"/>
          <w:sz w:val="15"/>
          <w:szCs w:val="15"/>
          <w:color w:val="auto"/>
        </w:rPr>
        <w:t xml:space="preserve"> Company Restricted Stock Awards and Appraisal Shares), for exchange in accordance with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at or prior to the Effective Time, (i) book-entry shares representing the aggregate Stock Consideration and any shares of Parent Common Stock included in the aggregate Alternative Consideration (excluding any portion of the aggregate Stock Consideration or Alternative Consideration deliverable in respect of shares of Company Stock owned directly or indirectly by Parent, First Merger Sub or Second Merger Sub and any part of the aggregate Stock Consideration in respect of which cash is to be paid in lieu of fractional shares pursuant to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 and</w:t>
      </w:r>
    </w:p>
    <w:p>
      <w:pPr>
        <w:spacing w:after="0" w:line="5" w:lineRule="exact"/>
        <w:rPr>
          <w:sz w:val="20"/>
          <w:szCs w:val="20"/>
          <w:color w:val="auto"/>
        </w:rPr>
      </w:pPr>
    </w:p>
    <w:p>
      <w:pPr>
        <w:ind w:right="160" w:firstLine="9"/>
        <w:spacing w:after="0" w:line="264" w:lineRule="auto"/>
        <w:tabs>
          <w:tab w:leader="none" w:pos="233"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cash in an amount sufficient to pay the aggregate Cash Consideration and the cash portion, if any, of the Alternative Consideration (excluding any Cash Consideration and the cash portion, if any, of the Alternative Consideration payable in respect of shares of Company Stock owned directly or indirectly by Parent, First Merger Sub or Second Merger Sub), plus any cash to be paid in lieu of any fractional shares pursuant to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 and</w:t>
      </w:r>
    </w:p>
    <w:p>
      <w:pPr>
        <w:spacing w:after="0" w:line="1" w:lineRule="exact"/>
        <w:rPr>
          <w:rFonts w:ascii="Times New Roman" w:cs="Times New Roman" w:eastAsia="Times New Roman" w:hAnsi="Times New Roman"/>
          <w:sz w:val="15"/>
          <w:szCs w:val="15"/>
          <w:color w:val="auto"/>
        </w:rPr>
      </w:pPr>
    </w:p>
    <w:p>
      <w:pPr>
        <w:ind w:firstLine="9"/>
        <w:spacing w:after="0" w:line="249" w:lineRule="auto"/>
        <w:tabs>
          <w:tab w:leader="none" w:pos="27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CVR Certificates representing the aggregate number of CVRs issuable pursuant to the CVR Agreement, in the case of each of clauses (i), (ii) and (iii), payable or deliverable pursuant to </w:t>
      </w: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xml:space="preserve">. In addition, Parent shall deposit, or cause to be deposited, with the Exchange Agent, as necessary from time to time at or after the Closing any dividends or distributions payable pursuant to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 xml:space="preserve">. All shares of Parent Common Stock, cash (including any cash to be paid in lieu of any fractional shares pursuant to </w:t>
      </w:r>
      <w:r>
        <w:rPr>
          <w:rFonts w:ascii="Times New Roman" w:cs="Times New Roman" w:eastAsia="Times New Roman" w:hAnsi="Times New Roman"/>
          <w:sz w:val="16"/>
          <w:szCs w:val="16"/>
          <w:u w:val="single" w:color="auto"/>
          <w:color w:val="auto"/>
        </w:rPr>
        <w:t>Section 3.02(e)</w:t>
      </w:r>
      <w:r>
        <w:rPr>
          <w:rFonts w:ascii="Times New Roman" w:cs="Times New Roman" w:eastAsia="Times New Roman" w:hAnsi="Times New Roman"/>
          <w:sz w:val="16"/>
          <w:szCs w:val="16"/>
          <w:color w:val="auto"/>
        </w:rPr>
        <w:t xml:space="preserve">) and CVR Certificates, together with any dividends or distributions with respect thereto pursuant to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 deposited with or provided to the Exchange Agent by or on behalf of Parent, shall be referred to in this Agreement as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 xml:space="preserve">”. For avoidance of doubt, Parent shall not be required to deposit any funds related to any CVR with the Trustee unless and until such deposit is required pursuant to the terms of the CVR Agreement. The cash portion of the Exchange Fund shall be invested by the Exchange Agent as directed by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Exchange Fund shall only be invested into Designated Investments. Any interest or other income from such investments shall be paid to and become income of Parent. Except as contemplated by </w:t>
      </w:r>
      <w:r>
        <w:rPr>
          <w:rFonts w:ascii="Times New Roman" w:cs="Times New Roman" w:eastAsia="Times New Roman" w:hAnsi="Times New Roman"/>
          <w:sz w:val="16"/>
          <w:szCs w:val="16"/>
          <w:u w:val="single" w:color="auto"/>
          <w:color w:val="auto"/>
        </w:rPr>
        <w:t>Section 3.02(g)</w:t>
      </w:r>
      <w:r>
        <w:rPr>
          <w:rFonts w:ascii="Times New Roman" w:cs="Times New Roman" w:eastAsia="Times New Roman" w:hAnsi="Times New Roman"/>
          <w:sz w:val="16"/>
          <w:szCs w:val="16"/>
          <w:color w:val="auto"/>
        </w:rPr>
        <w:t xml:space="preserve">, the Exchange Fund shall not be used for any purpose other than as specified in this </w:t>
      </w:r>
      <w:r>
        <w:rPr>
          <w:rFonts w:ascii="Times New Roman" w:cs="Times New Roman" w:eastAsia="Times New Roman" w:hAnsi="Times New Roman"/>
          <w:sz w:val="16"/>
          <w:szCs w:val="16"/>
          <w:u w:val="single" w:color="auto"/>
          <w:color w:val="auto"/>
        </w:rPr>
        <w:t>Section 3.02(a)</w:t>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20"/>
          </w:cols>
          <w:pgMar w:left="1080" w:top="254" w:right="1099" w:bottom="1440" w:gutter="0" w:footer="0" w:header="0"/>
        </w:sectPr>
      </w:pPr>
    </w:p>
    <w:bookmarkStart w:id="37" w:name="page38"/>
    <w:bookmarkEnd w:id="37"/>
    <w:p>
      <w:pPr>
        <w:ind w:left="-60" w:right="180" w:firstLine="883"/>
        <w:spacing w:after="0" w:line="255" w:lineRule="auto"/>
        <w:tabs>
          <w:tab w:leader="none" w:pos="103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Exchange Procedures</w:t>
      </w:r>
      <w:r>
        <w:rPr>
          <w:rFonts w:ascii="Times New Roman" w:cs="Times New Roman" w:eastAsia="Times New Roman" w:hAnsi="Times New Roman"/>
          <w:sz w:val="16"/>
          <w:szCs w:val="16"/>
          <w:color w:val="auto"/>
        </w:rPr>
        <w:t xml:space="preserve">. (i) As promptly as practicable after the Effective Time, the parties shall cause the Exchange Agent to mail to each holder of record of shares of Company Stock as of the Effective Time who is entitled to receive the Merger Consideration pursuant to </w:t>
      </w: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as set forth on the Closing Capitalization Schedule if such holder of shares of Company Stock has not already returned a valid, duly completed Letter of Transmittal: (A) a Letter of Transmittal and (B) instructions for use in effecting the surrender of the Certificates or transfer of the Book-Entry Shares pursuant to such letter of transmittal.</w:t>
      </w:r>
    </w:p>
    <w:p>
      <w:pPr>
        <w:spacing w:after="0" w:line="69" w:lineRule="exact"/>
        <w:rPr>
          <w:rFonts w:ascii="Times New Roman" w:cs="Times New Roman" w:eastAsia="Times New Roman" w:hAnsi="Times New Roman"/>
          <w:sz w:val="16"/>
          <w:szCs w:val="16"/>
          <w:color w:val="auto"/>
        </w:rPr>
      </w:pPr>
    </w:p>
    <w:p>
      <w:pPr>
        <w:ind w:left="340" w:firstLine="836"/>
        <w:spacing w:after="0" w:line="267" w:lineRule="auto"/>
        <w:tabs>
          <w:tab w:leader="none" w:pos="1412"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Promptly following the later of (x) the Effective Time and (y) (A) delivery to the Exchange Agent of a letter of transmittal properly completed and validly executed in accordance with the instructions thereto and (B) with respect to holders of Certificates, surrender to the Exchange Agent of a Certificate for cancellation, in each case, together with such other documents as may be reasonably requested, the holder of such shares of Company Stock shall be entitled to receive in exchange therefor (I) cash in the amount equal to the Cash Consideration and, if applicable, the cash portion, if any, of the Alternative Consideration that such holder has the right to receive pursuant to </w:t>
      </w:r>
      <w:r>
        <w:rPr>
          <w:rFonts w:ascii="Times New Roman" w:cs="Times New Roman" w:eastAsia="Times New Roman" w:hAnsi="Times New Roman"/>
          <w:sz w:val="15"/>
          <w:szCs w:val="15"/>
          <w:u w:val="single" w:color="auto"/>
          <w:color w:val="auto"/>
        </w:rPr>
        <w:t>Section 2.04(a)</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(in each case, rounded to the nearest cent); (II) book-entry shares representing the Stock Consideration and, if applicable, any shares of Parent Common Stock included in the Alternative Consideration that such holder has the right to receive pursuant to </w:t>
      </w:r>
      <w:r>
        <w:rPr>
          <w:rFonts w:ascii="Times New Roman" w:cs="Times New Roman" w:eastAsia="Times New Roman" w:hAnsi="Times New Roman"/>
          <w:sz w:val="15"/>
          <w:szCs w:val="15"/>
          <w:u w:val="single" w:color="auto"/>
          <w:color w:val="auto"/>
        </w:rPr>
        <w:t>Section 2.04(a)</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(III) if applicable, CVRs in the amount that such holder has the right to receive pursuant to </w:t>
      </w:r>
      <w:r>
        <w:rPr>
          <w:rFonts w:ascii="Times New Roman" w:cs="Times New Roman" w:eastAsia="Times New Roman" w:hAnsi="Times New Roman"/>
          <w:sz w:val="15"/>
          <w:szCs w:val="15"/>
          <w:u w:val="single" w:color="auto"/>
          <w:color w:val="auto"/>
        </w:rPr>
        <w:t>Section 2.04(a)</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(subject to and in accordance with the CVR Agreement); (IV) cash in lieu of any fractional shares of Parent Common Stock such holder is entitled to receive pursuant to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 xml:space="preserve"> (rounded to the nearest cent) and (V) any dividends or other distributions such holder is entitled to receive pursuant to </w:t>
      </w:r>
      <w:r>
        <w:rPr>
          <w:rFonts w:ascii="Times New Roman" w:cs="Times New Roman" w:eastAsia="Times New Roman" w:hAnsi="Times New Roman"/>
          <w:sz w:val="15"/>
          <w:szCs w:val="15"/>
          <w:u w:val="single" w:color="auto"/>
          <w:color w:val="auto"/>
        </w:rPr>
        <w:t>Section 3.02(c)</w:t>
      </w:r>
      <w:r>
        <w:rPr>
          <w:rFonts w:ascii="Times New Roman" w:cs="Times New Roman" w:eastAsia="Times New Roman" w:hAnsi="Times New Roman"/>
          <w:sz w:val="15"/>
          <w:szCs w:val="15"/>
          <w:color w:val="auto"/>
        </w:rPr>
        <w:t xml:space="preserve">; and the Certificates or Book-Entry Shares so surrendered shall forthwith be cancelled. In the event of a transfer of ownership of shares of Company Stock which is not registered in the transfer records of the Company, (I) cash in the amount equal to the Cash Consideration and, if applicable, the cash portion, if any, of the Alternative Consideration that such holder has the right to receive pursuant to </w:t>
      </w:r>
      <w:r>
        <w:rPr>
          <w:rFonts w:ascii="Times New Roman" w:cs="Times New Roman" w:eastAsia="Times New Roman" w:hAnsi="Times New Roman"/>
          <w:sz w:val="15"/>
          <w:szCs w:val="15"/>
          <w:u w:val="single" w:color="auto"/>
          <w:color w:val="auto"/>
        </w:rPr>
        <w:t>Section 2.04(a)</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(in each case, rounded to the nearest cent); (II) book-entry shares representing the Stock Consideration and, if applicable, any shares of Parent Common Stock included in the Alternative Consideration that such holder has the right to receive pursuant to </w:t>
      </w:r>
      <w:r>
        <w:rPr>
          <w:rFonts w:ascii="Times New Roman" w:cs="Times New Roman" w:eastAsia="Times New Roman" w:hAnsi="Times New Roman"/>
          <w:sz w:val="15"/>
          <w:szCs w:val="15"/>
          <w:u w:val="single" w:color="auto"/>
          <w:color w:val="auto"/>
        </w:rPr>
        <w:t>Section 2.04(a)</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(III), if applicable, CVRs in the amount that such holder has the right to receive pursuant to </w:t>
      </w:r>
      <w:r>
        <w:rPr>
          <w:rFonts w:ascii="Times New Roman" w:cs="Times New Roman" w:eastAsia="Times New Roman" w:hAnsi="Times New Roman"/>
          <w:sz w:val="15"/>
          <w:szCs w:val="15"/>
          <w:u w:val="single" w:color="auto"/>
          <w:color w:val="auto"/>
        </w:rPr>
        <w:t>Section 2.04(a)</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(subject to and in accordance with the CVR Agreement); (IV) cash in lieu of any fractional shares of Parent Common Stock such holder is entitled to receive pursuant to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 xml:space="preserve"> (rounded to the nearest cent) and (V) any dividends or other distributions such holder is entitled to receive pursuant to </w:t>
      </w:r>
      <w:r>
        <w:rPr>
          <w:rFonts w:ascii="Times New Roman" w:cs="Times New Roman" w:eastAsia="Times New Roman" w:hAnsi="Times New Roman"/>
          <w:sz w:val="15"/>
          <w:szCs w:val="15"/>
          <w:u w:val="single" w:color="auto"/>
          <w:color w:val="auto"/>
        </w:rPr>
        <w:t>Section 3.02(c)</w:t>
      </w:r>
      <w:r>
        <w:rPr>
          <w:rFonts w:ascii="Times New Roman" w:cs="Times New Roman" w:eastAsia="Times New Roman" w:hAnsi="Times New Roman"/>
          <w:sz w:val="15"/>
          <w:szCs w:val="15"/>
          <w:color w:val="auto"/>
        </w:rPr>
        <w:t xml:space="preserve"> may be issued to a transferee if the Certificate or Book-Entry Shares representing such shares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600"/>
          </w:cols>
          <w:pgMar w:left="1140" w:top="254" w:right="1159" w:bottom="1440" w:gutter="0" w:footer="0" w:header="0"/>
        </w:sectPr>
      </w:pPr>
    </w:p>
    <w:bookmarkStart w:id="38" w:name="page39"/>
    <w:bookmarkEnd w:id="38"/>
    <w:p>
      <w:pPr>
        <w:ind w:left="380" w:right="2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of Company Stock are presented to the Exchange Agent, accompanied by all documents required to evidence and effect such transfer and by evidence that any applicable stock transfer Taxes have been paid. Until surrendered as contemplated by </w:t>
      </w: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3.02</w:t>
      </w:r>
      <w:r>
        <w:rPr>
          <w:rFonts w:ascii="Times New Roman" w:cs="Times New Roman" w:eastAsia="Times New Roman" w:hAnsi="Times New Roman"/>
          <w:sz w:val="16"/>
          <w:szCs w:val="16"/>
          <w:color w:val="auto"/>
        </w:rPr>
        <w:t xml:space="preserve">, each Certificate or Book-Entry Share shall be deemed at all times after the Effective Time to represent only the right to receive upon such surrender, in each case, without interest, the Merger Consideration, cash in lieu of any fractional shares of Parent Common Stock the holder of such Certificate or Book-Entry Share is entitled to receive pursuant to </w:t>
      </w:r>
      <w:r>
        <w:rPr>
          <w:rFonts w:ascii="Times New Roman" w:cs="Times New Roman" w:eastAsia="Times New Roman" w:hAnsi="Times New Roman"/>
          <w:sz w:val="16"/>
          <w:szCs w:val="16"/>
          <w:u w:val="single" w:color="auto"/>
          <w:color w:val="auto"/>
        </w:rPr>
        <w:t>Section 3.02(e)</w:t>
      </w:r>
      <w:r>
        <w:rPr>
          <w:rFonts w:ascii="Times New Roman" w:cs="Times New Roman" w:eastAsia="Times New Roman" w:hAnsi="Times New Roman"/>
          <w:sz w:val="16"/>
          <w:szCs w:val="16"/>
          <w:color w:val="auto"/>
        </w:rPr>
        <w:t xml:space="preserve"> and any dividends or other distributions such holder is entitled to receive pursuant to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left="-20" w:firstLine="883"/>
        <w:spacing w:after="0" w:line="271" w:lineRule="auto"/>
        <w:tabs>
          <w:tab w:leader="none" w:pos="1069"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Distributions with Respect to Unexchanged Shares of Parent Common Stock</w:t>
      </w:r>
      <w:r>
        <w:rPr>
          <w:rFonts w:ascii="Times New Roman" w:cs="Times New Roman" w:eastAsia="Times New Roman" w:hAnsi="Times New Roman"/>
          <w:sz w:val="15"/>
          <w:szCs w:val="15"/>
          <w:color w:val="auto"/>
        </w:rPr>
        <w:t xml:space="preserve">. No dividends or other distributions declared or paid with a record date after the Effective Time with respect to the Parent Common Stock (and no cash payment in lieu of fractional shares of Parent Common Stock pursuant to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 xml:space="preserve">) shall be paid to the holder of any unsurrendered Certificate or Book-Entry Share until the holder of such Certificate or Book-Entry Share shall surrender such Certificate or Book-Entry Share in accordance with </w:t>
      </w:r>
      <w:r>
        <w:rPr>
          <w:rFonts w:ascii="Times New Roman" w:cs="Times New Roman" w:eastAsia="Times New Roman" w:hAnsi="Times New Roman"/>
          <w:sz w:val="15"/>
          <w:szCs w:val="15"/>
          <w:u w:val="single" w:color="auto"/>
          <w:color w:val="auto"/>
        </w:rPr>
        <w:t>Section 3.02(b)</w:t>
      </w:r>
      <w:r>
        <w:rPr>
          <w:rFonts w:ascii="Times New Roman" w:cs="Times New Roman" w:eastAsia="Times New Roman" w:hAnsi="Times New Roman"/>
          <w:sz w:val="15"/>
          <w:szCs w:val="15"/>
          <w:color w:val="auto"/>
        </w:rPr>
        <w:t xml:space="preserve">. Subject to the effect of escheat, Tax or other applicable Laws, following surrender of any such Certificate or Book-Entry Share in accordance with </w:t>
      </w:r>
      <w:r>
        <w:rPr>
          <w:rFonts w:ascii="Times New Roman" w:cs="Times New Roman" w:eastAsia="Times New Roman" w:hAnsi="Times New Roman"/>
          <w:sz w:val="15"/>
          <w:szCs w:val="15"/>
          <w:u w:val="single" w:color="auto"/>
          <w:color w:val="auto"/>
        </w:rPr>
        <w:t>Section 3.02(b)</w:t>
      </w:r>
      <w:r>
        <w:rPr>
          <w:rFonts w:ascii="Times New Roman" w:cs="Times New Roman" w:eastAsia="Times New Roman" w:hAnsi="Times New Roman"/>
          <w:sz w:val="15"/>
          <w:szCs w:val="15"/>
          <w:color w:val="auto"/>
        </w:rPr>
        <w:t xml:space="preserve">, there shall be paid to the record holder of shares of Parent Common Stock issued in exchange therefor, without interest, at the appropriate payment date (or, if previously paid, promptly), the amount of dividends or other distributions with a record date after the Effective Time but prior to surrender payable with respect to such shares of Parent Common Stock and the amount of any cash payable in lieu of fractional shares of Parent Common Stock pursuant to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w:t>
      </w:r>
    </w:p>
    <w:p>
      <w:pPr>
        <w:spacing w:after="0" w:line="155" w:lineRule="exact"/>
        <w:rPr>
          <w:rFonts w:ascii="Times New Roman" w:cs="Times New Roman" w:eastAsia="Times New Roman" w:hAnsi="Times New Roman"/>
          <w:sz w:val="15"/>
          <w:szCs w:val="15"/>
          <w:color w:val="auto"/>
        </w:rPr>
      </w:pPr>
    </w:p>
    <w:p>
      <w:pPr>
        <w:ind w:left="-20" w:firstLine="883"/>
        <w:spacing w:after="0" w:line="258" w:lineRule="auto"/>
        <w:tabs>
          <w:tab w:leader="none" w:pos="107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Further Rights in Company Stock</w:t>
      </w:r>
      <w:r>
        <w:rPr>
          <w:rFonts w:ascii="Times New Roman" w:cs="Times New Roman" w:eastAsia="Times New Roman" w:hAnsi="Times New Roman"/>
          <w:sz w:val="16"/>
          <w:szCs w:val="16"/>
          <w:color w:val="auto"/>
        </w:rPr>
        <w:t xml:space="preserve">. All Merger Consideration issued or paid upon surrender of Certificates or transfer of Book-Entry Shares in accordance with the terms of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(including any cash paid pursuant to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3.02(e)</w:t>
      </w:r>
      <w:r>
        <w:rPr>
          <w:rFonts w:ascii="Times New Roman" w:cs="Times New Roman" w:eastAsia="Times New Roman" w:hAnsi="Times New Roman"/>
          <w:sz w:val="16"/>
          <w:szCs w:val="16"/>
          <w:color w:val="auto"/>
        </w:rPr>
        <w:t>) shall be deemed to have been issued or paid, as the case may be, in full satisfaction of all rights pertaining to the shares of Company Stock formerly represented by such Certificates or Book-Entry Shares.</w:t>
      </w:r>
    </w:p>
    <w:p>
      <w:pPr>
        <w:spacing w:after="0" w:line="160" w:lineRule="exact"/>
        <w:rPr>
          <w:rFonts w:ascii="Times New Roman" w:cs="Times New Roman" w:eastAsia="Times New Roman" w:hAnsi="Times New Roman"/>
          <w:sz w:val="16"/>
          <w:szCs w:val="16"/>
          <w:color w:val="auto"/>
        </w:rPr>
      </w:pPr>
    </w:p>
    <w:p>
      <w:pPr>
        <w:ind w:left="-20" w:right="20" w:firstLine="883"/>
        <w:spacing w:after="0" w:line="271" w:lineRule="auto"/>
        <w:tabs>
          <w:tab w:leader="none" w:pos="1069"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Fractional Shares</w:t>
      </w:r>
      <w:r>
        <w:rPr>
          <w:rFonts w:ascii="Times New Roman" w:cs="Times New Roman" w:eastAsia="Times New Roman" w:hAnsi="Times New Roman"/>
          <w:sz w:val="15"/>
          <w:szCs w:val="15"/>
          <w:color w:val="auto"/>
        </w:rPr>
        <w:t xml:space="preserve">. No fractional shares of Parent Common Stock shall be issued as Stock Consideration or Alternative Consideration, but in lieu thereof each holder of Company Stock otherwise entitled to a fractional share of Parent Common Stock will be entitled to receive, from the Exchange Agent in accordance with the provisions of this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 xml:space="preserve">, a cash payment in lieu of such fractional share of Parent Common Stock in an amount equal to the amount of such fractional share (expressed as a decimal) multiplied by the Average Parent Stock Price. The parties hereto acknowledge that payment of such cash consideration in lieu of issuing fractional shares of Parent Common Stock was not separately bargained-for consideration but merely represents a mechanical rounding off for purposes of avoiding the expense and inconvenience to Parent that would otherwise be caused by the issuance of fractional shares of Parent Common Stock. Such amounts payable to holders of shares of Company Stock shall be without interest, rounded down to the nearest whole cent and subject to the amount of any withholding Taxes as contemplated in </w:t>
      </w:r>
      <w:r>
        <w:rPr>
          <w:rFonts w:ascii="Times New Roman" w:cs="Times New Roman" w:eastAsia="Times New Roman" w:hAnsi="Times New Roman"/>
          <w:sz w:val="15"/>
          <w:szCs w:val="15"/>
          <w:u w:val="single" w:color="auto"/>
          <w:color w:val="auto"/>
        </w:rPr>
        <w:t>Section 3.02(i)</w:t>
      </w:r>
      <w:r>
        <w:rPr>
          <w:rFonts w:ascii="Times New Roman" w:cs="Times New Roman" w:eastAsia="Times New Roman" w:hAnsi="Times New Roman"/>
          <w:sz w:val="15"/>
          <w:szCs w:val="15"/>
          <w:color w:val="auto"/>
        </w:rPr>
        <w: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00"/>
          </w:cols>
          <w:pgMar w:left="1100" w:top="254" w:right="1099" w:bottom="1440" w:gutter="0" w:footer="0" w:header="0"/>
        </w:sectPr>
      </w:pPr>
    </w:p>
    <w:bookmarkStart w:id="39" w:name="page40"/>
    <w:bookmarkEnd w:id="39"/>
    <w:p>
      <w:pPr>
        <w:ind w:left="-20" w:right="80" w:firstLine="883"/>
        <w:spacing w:after="0" w:line="253" w:lineRule="auto"/>
        <w:tabs>
          <w:tab w:leader="none" w:pos="105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Adjustments to Stock Consideration</w:t>
      </w:r>
      <w:r>
        <w:rPr>
          <w:rFonts w:ascii="Times New Roman" w:cs="Times New Roman" w:eastAsia="Times New Roman" w:hAnsi="Times New Roman"/>
          <w:sz w:val="16"/>
          <w:szCs w:val="16"/>
          <w:color w:val="auto"/>
        </w:rPr>
        <w:t xml:space="preserve">. The calculation of the Aggregate Stock Consideration and aggregate shares of Parent Common Stock, if any, payable as Alternative Consideration shall be equitably adjusted to reflect appropriately the effect of any stock split, reverse stock split, stock dividend (including any dividend or distribution of securities of a Subsidiary of Parent or the Company or of securities convertible into Parent Common Stock or Company Stock), recapitalization, reclassification, combination, exchange of shares or other like change with respect to Parent Common Stock or Company Stock with a record date occurring on or after the date hereof and prior to the Effective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3.02(f)</w:t>
      </w:r>
      <w:r>
        <w:rPr>
          <w:rFonts w:ascii="Times New Roman" w:cs="Times New Roman" w:eastAsia="Times New Roman" w:hAnsi="Times New Roman"/>
          <w:sz w:val="16"/>
          <w:szCs w:val="16"/>
          <w:color w:val="auto"/>
        </w:rPr>
        <w:t xml:space="preserve"> shall be construed to permit the Company or Parent to take any of the foregoing actions with respect to Company Stock or Parent Common Stock, as applicable, to the extent otherwise prohibited by the terms of this Agreement, including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6.02</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20" w:right="20" w:firstLine="883"/>
        <w:spacing w:after="0" w:line="254" w:lineRule="auto"/>
        <w:tabs>
          <w:tab w:leader="none" w:pos="107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xml:space="preserve">. Any portion of the Exchange Fund (including proceeds of any investment thereof) that remains undistributed to the holders of shares of Company Stock on the date that is 12 months after the Effective Time shall be delivered to Parent, upon demand, and any holders of shares of Company Stock who have not theretofore complied with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shall thereafter look only to Parent for the Merger Consideration to which they are entitled pursuant to </w:t>
      </w: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xml:space="preserve">, any cash in lieu of fractional shares of Parent Common Stock to which they are entitled pursuant to </w:t>
      </w:r>
      <w:r>
        <w:rPr>
          <w:rFonts w:ascii="Times New Roman" w:cs="Times New Roman" w:eastAsia="Times New Roman" w:hAnsi="Times New Roman"/>
          <w:sz w:val="16"/>
          <w:szCs w:val="16"/>
          <w:u w:val="single" w:color="auto"/>
          <w:color w:val="auto"/>
        </w:rPr>
        <w:t>Section 3.02(e)</w:t>
      </w:r>
      <w:r>
        <w:rPr>
          <w:rFonts w:ascii="Times New Roman" w:cs="Times New Roman" w:eastAsia="Times New Roman" w:hAnsi="Times New Roman"/>
          <w:sz w:val="16"/>
          <w:szCs w:val="16"/>
          <w:color w:val="auto"/>
        </w:rPr>
        <w:t xml:space="preserve"> and any dividends or other distributions with respect to the Parent Common Stock to which they are entitled pursuant to </w:t>
      </w: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jc w:val="both"/>
        <w:ind w:left="-20" w:right="200" w:firstLine="883"/>
        <w:spacing w:after="0" w:line="263" w:lineRule="auto"/>
        <w:tabs>
          <w:tab w:leader="none" w:pos="107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Liability</w:t>
      </w:r>
      <w:r>
        <w:rPr>
          <w:rFonts w:ascii="Times New Roman" w:cs="Times New Roman" w:eastAsia="Times New Roman" w:hAnsi="Times New Roman"/>
          <w:sz w:val="16"/>
          <w:szCs w:val="16"/>
          <w:color w:val="auto"/>
        </w:rPr>
        <w:t>. None of the Exchange Agent, Parent, the Surviving Corporation or the Surviving Entity shall be liable to any holder of shares of Company Stock for any Merger Consideration from the Exchange Fund (or dividends or other distributions with respect to Parent Common Stock) or other cash delivered to a public official pursuant to any abandoned property, escheat or similar Law.</w:t>
      </w:r>
    </w:p>
    <w:p>
      <w:pPr>
        <w:spacing w:after="0" w:line="61" w:lineRule="exact"/>
        <w:rPr>
          <w:rFonts w:ascii="Times New Roman" w:cs="Times New Roman" w:eastAsia="Times New Roman" w:hAnsi="Times New Roman"/>
          <w:sz w:val="16"/>
          <w:szCs w:val="16"/>
          <w:color w:val="auto"/>
        </w:rPr>
      </w:pPr>
    </w:p>
    <w:p>
      <w:pPr>
        <w:ind w:left="-20" w:right="160" w:firstLine="883"/>
        <w:spacing w:after="0" w:line="254" w:lineRule="auto"/>
        <w:tabs>
          <w:tab w:leader="none" w:pos="104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Each of the Surviving Corporation, the Surviving Entity, the Exchange Agent, Parent, First Merger Sub and Second Merger Sub shall be entitled to deduct and withhold from any amounts otherwise payable pursuant to this Agreement or the CVR Agreement such amount as it is required to deduct and withhold with respect to the making of such payment under the Code, the rules or regulations promulgated thereunder, any provision of applicable state, local or foreign Tax Law or any other Law. To the extent that amounts are so deducted or withheld, such deducted or withheld amounts shall be treated for purposes of this Agreement and the CVR Agreement as having been paid to the Person in respect of which such deduction and withholding was made.</w:t>
      </w:r>
    </w:p>
    <w:p>
      <w:pPr>
        <w:spacing w:after="0" w:line="69" w:lineRule="exact"/>
        <w:rPr>
          <w:rFonts w:ascii="Times New Roman" w:cs="Times New Roman" w:eastAsia="Times New Roman" w:hAnsi="Times New Roman"/>
          <w:sz w:val="16"/>
          <w:szCs w:val="16"/>
          <w:color w:val="auto"/>
        </w:rPr>
      </w:pPr>
    </w:p>
    <w:p>
      <w:pPr>
        <w:ind w:left="-20" w:firstLine="883"/>
        <w:spacing w:after="0" w:line="274" w:lineRule="auto"/>
        <w:tabs>
          <w:tab w:leader="none" w:pos="1043"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Lost Certificates</w:t>
      </w:r>
      <w:r>
        <w:rPr>
          <w:rFonts w:ascii="Times New Roman" w:cs="Times New Roman" w:eastAsia="Times New Roman" w:hAnsi="Times New Roman"/>
          <w:sz w:val="15"/>
          <w:szCs w:val="15"/>
          <w:color w:val="auto"/>
        </w:rPr>
        <w:t xml:space="preserve">. If any Certificate shall have been lost, stolen or destroyed, upon the making of an affidavit of that fact by the Person claiming such Certificate to be lost, stolen or destroyed and, if required by Parent, providing an indemnity agreement in customary form reasonably acceptable to Parent against any claim that may be made against Parent with respect to such Certificate, the Exchange Agent will issue in exchange for such lost, stolen or destroyed Certificate the Merger Consideration with respect to the shares of Company Stock formerly represented by such Certificate to which the holder thereof is entitled pursuant to </w:t>
      </w:r>
      <w:r>
        <w:rPr>
          <w:rFonts w:ascii="Times New Roman" w:cs="Times New Roman" w:eastAsia="Times New Roman" w:hAnsi="Times New Roman"/>
          <w:sz w:val="15"/>
          <w:szCs w:val="15"/>
          <w:u w:val="single" w:color="auto"/>
          <w:color w:val="auto"/>
        </w:rPr>
        <w:t>Section 2.04(a)</w:t>
      </w:r>
      <w:r>
        <w:rPr>
          <w:rFonts w:ascii="Times New Roman" w:cs="Times New Roman" w:eastAsia="Times New Roman" w:hAnsi="Times New Roman"/>
          <w:sz w:val="15"/>
          <w:szCs w:val="15"/>
          <w:color w:val="auto"/>
        </w:rPr>
        <w:t xml:space="preserve">, any cash in lieu of fractional shares of Parent Common Stock to which the holder thereof is entitled pursuant to </w:t>
      </w:r>
      <w:r>
        <w:rPr>
          <w:rFonts w:ascii="Times New Roman" w:cs="Times New Roman" w:eastAsia="Times New Roman" w:hAnsi="Times New Roman"/>
          <w:sz w:val="15"/>
          <w:szCs w:val="15"/>
          <w:u w:val="single" w:color="auto"/>
          <w:color w:val="auto"/>
        </w:rPr>
        <w:t>Section 3.02(e)</w:t>
      </w:r>
      <w:r>
        <w:rPr>
          <w:rFonts w:ascii="Times New Roman" w:cs="Times New Roman" w:eastAsia="Times New Roman" w:hAnsi="Times New Roman"/>
          <w:sz w:val="15"/>
          <w:szCs w:val="15"/>
          <w:color w:val="auto"/>
        </w:rPr>
        <w:t xml:space="preserve"> and any dividends or other distributions to which the holder thereof is entitled pursuant to </w:t>
      </w:r>
      <w:r>
        <w:rPr>
          <w:rFonts w:ascii="Times New Roman" w:cs="Times New Roman" w:eastAsia="Times New Roman" w:hAnsi="Times New Roman"/>
          <w:sz w:val="15"/>
          <w:szCs w:val="15"/>
          <w:u w:val="single" w:color="auto"/>
          <w:color w:val="auto"/>
        </w:rPr>
        <w:t>Section 3.02(c)</w:t>
      </w:r>
      <w:r>
        <w:rPr>
          <w:rFonts w:ascii="Times New Roman" w:cs="Times New Roman" w:eastAsia="Times New Roman" w:hAnsi="Times New Roman"/>
          <w:sz w:val="15"/>
          <w:szCs w:val="15"/>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680"/>
          </w:cols>
          <w:pgMar w:left="1100" w:top="254" w:right="1119" w:bottom="1440" w:gutter="0" w:footer="0" w:header="0"/>
        </w:sectPr>
      </w:pPr>
    </w:p>
    <w:bookmarkStart w:id="40" w:name="page41"/>
    <w:bookmarkEnd w:id="40"/>
    <w:p>
      <w:pPr>
        <w:ind w:right="20" w:firstLine="874"/>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3.03 </w:t>
      </w:r>
      <w:r>
        <w:rPr>
          <w:rFonts w:ascii="Times New Roman" w:cs="Times New Roman" w:eastAsia="Times New Roman" w:hAnsi="Times New Roman"/>
          <w:sz w:val="16"/>
          <w:szCs w:val="16"/>
          <w:u w:val="single" w:color="auto"/>
          <w:color w:val="auto"/>
        </w:rPr>
        <w:t>Stock Transfer Books</w:t>
      </w:r>
      <w:r>
        <w:rPr>
          <w:rFonts w:ascii="Times New Roman" w:cs="Times New Roman" w:eastAsia="Times New Roman" w:hAnsi="Times New Roman"/>
          <w:sz w:val="16"/>
          <w:szCs w:val="16"/>
          <w:color w:val="auto"/>
        </w:rPr>
        <w:t xml:space="preserve">. At the Effective Time, the stock transfer books of the Company shall be closed and there shall be no further registration of transfers of shares of Company Stock thereafter on the records of the Company. On or after the Effective Time, any Certificates or Book-Entry Shares presented to the Exchange Agent or Parent for any reason shall be cancelled and exchanged for the Merger Consideration with respect to the shares of Company Stock formerly represented by such Certificates or Book-Entry Shares to which the holders thereof are entitled pursuant to </w:t>
      </w: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xml:space="preserve">, any cash in lieu of fractional shares of Parent Common Stock to which the holders of such Certificates or Book-Entry Shares are entitled pursuant to </w:t>
      </w:r>
      <w:r>
        <w:rPr>
          <w:rFonts w:ascii="Times New Roman" w:cs="Times New Roman" w:eastAsia="Times New Roman" w:hAnsi="Times New Roman"/>
          <w:sz w:val="16"/>
          <w:szCs w:val="16"/>
          <w:u w:val="single" w:color="auto"/>
          <w:color w:val="auto"/>
        </w:rPr>
        <w:t>Section 3.02(e)</w:t>
      </w:r>
      <w:r>
        <w:rPr>
          <w:rFonts w:ascii="Times New Roman" w:cs="Times New Roman" w:eastAsia="Times New Roman" w:hAnsi="Times New Roman"/>
          <w:sz w:val="16"/>
          <w:szCs w:val="16"/>
          <w:color w:val="auto"/>
        </w:rPr>
        <w:t xml:space="preserve"> and any dividends or other distributions to which the holders thereof are entitled pursuant to</w:t>
      </w:r>
    </w:p>
    <w:p>
      <w:pPr>
        <w:spacing w:after="0"/>
        <w:rPr>
          <w:sz w:val="20"/>
          <w:szCs w:val="20"/>
          <w:color w:val="auto"/>
        </w:rPr>
      </w:pPr>
      <w:r>
        <w:rPr>
          <w:rFonts w:ascii="Times New Roman" w:cs="Times New Roman" w:eastAsia="Times New Roman" w:hAnsi="Times New Roman"/>
          <w:sz w:val="16"/>
          <w:szCs w:val="16"/>
          <w:u w:val="single" w:color="auto"/>
          <w:color w:val="auto"/>
        </w:rPr>
        <w:t>Section 3.02(c)</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ind w:right="40" w:firstLine="874"/>
        <w:spacing w:after="0" w:line="252" w:lineRule="auto"/>
        <w:rPr>
          <w:sz w:val="20"/>
          <w:szCs w:val="20"/>
          <w:color w:val="auto"/>
        </w:rPr>
      </w:pPr>
      <w:r>
        <w:rPr>
          <w:rFonts w:ascii="Times New Roman" w:cs="Times New Roman" w:eastAsia="Times New Roman" w:hAnsi="Times New Roman"/>
          <w:sz w:val="16"/>
          <w:szCs w:val="16"/>
          <w:color w:val="auto"/>
        </w:rPr>
        <w:t xml:space="preserve">Section 3.04 </w:t>
      </w:r>
      <w:r>
        <w:rPr>
          <w:rFonts w:ascii="Times New Roman" w:cs="Times New Roman" w:eastAsia="Times New Roman" w:hAnsi="Times New Roman"/>
          <w:sz w:val="16"/>
          <w:szCs w:val="16"/>
          <w:u w:val="single" w:color="auto"/>
          <w:color w:val="auto"/>
        </w:rPr>
        <w:t>Company Equity Awards</w:t>
      </w:r>
      <w:r>
        <w:rPr>
          <w:rFonts w:ascii="Times New Roman" w:cs="Times New Roman" w:eastAsia="Times New Roman" w:hAnsi="Times New Roman"/>
          <w:sz w:val="16"/>
          <w:szCs w:val="16"/>
          <w:color w:val="auto"/>
        </w:rPr>
        <w:t>. (a) Immediately prior to, and contingent on, the Effective Time, a number of options, shares of Company Stock or restricted stock units, as applicable, subject to each Service-Vesting Award that is unvested as of immediately prior to the Effective Time equal to the number of options, shares or units, as applicable, that would have vested on or prior to the third anniversary of the Effective Time if the applicable holder of such Service-Vesting Award satisfied all applicable service-based vesting criteria through such third anniversary shall vest, with such vesting applied to the options, shares or units, as applicable, that have the longest remaining vesting periods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in reverse chronological order, as illustrated in the examples set forth on </w:t>
      </w:r>
      <w:r>
        <w:rPr>
          <w:rFonts w:ascii="Times New Roman" w:cs="Times New Roman" w:eastAsia="Times New Roman" w:hAnsi="Times New Roman"/>
          <w:sz w:val="16"/>
          <w:szCs w:val="16"/>
          <w:u w:val="single" w:color="auto"/>
          <w:color w:val="auto"/>
        </w:rPr>
        <w:t>Section 3.04(a) of the Company Disclosure Letter</w:t>
      </w:r>
      <w:r>
        <w:rPr>
          <w:rFonts w:ascii="Times New Roman" w:cs="Times New Roman" w:eastAsia="Times New Roman" w:hAnsi="Times New Roman"/>
          <w:sz w:val="16"/>
          <w:szCs w:val="16"/>
          <w:color w:val="auto"/>
        </w:rPr>
        <w:t xml:space="preserve">). Any Service-Vesting Award (or portion thereof) that remains unvested following the application of the accelerated vesting provided for in this </w:t>
      </w:r>
      <w:r>
        <w:rPr>
          <w:rFonts w:ascii="Times New Roman" w:cs="Times New Roman" w:eastAsia="Times New Roman" w:hAnsi="Times New Roman"/>
          <w:sz w:val="16"/>
          <w:szCs w:val="16"/>
          <w:u w:val="single" w:color="auto"/>
          <w:color w:val="auto"/>
        </w:rPr>
        <w:t>Section 3.04(a)</w:t>
      </w:r>
      <w:r>
        <w:rPr>
          <w:rFonts w:ascii="Times New Roman" w:cs="Times New Roman" w:eastAsia="Times New Roman" w:hAnsi="Times New Roman"/>
          <w:sz w:val="16"/>
          <w:szCs w:val="16"/>
          <w:color w:val="auto"/>
        </w:rPr>
        <w:t>, shall be referred to as a “</w:t>
      </w:r>
      <w:r>
        <w:rPr>
          <w:rFonts w:ascii="Times New Roman" w:cs="Times New Roman" w:eastAsia="Times New Roman" w:hAnsi="Times New Roman"/>
          <w:sz w:val="16"/>
          <w:szCs w:val="16"/>
          <w:u w:val="single" w:color="auto"/>
          <w:color w:val="auto"/>
        </w:rPr>
        <w:t>Rollover Service-Based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Award</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right="20" w:firstLine="883"/>
        <w:spacing w:after="0" w:line="267" w:lineRule="auto"/>
        <w:tabs>
          <w:tab w:leader="none" w:pos="1098"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Immediately prior to, and contingent on, the Effective Time, a number of options, shares of Company Stock or restricted stock units, as applicable, subject to each Performance-Vesting Award that is unvested as of immediately prior to the Effective Time equal to the number of options, shares or units, as applicable, (rounded up to the nearest whole option, share or unit, as applicable) that would have vested based on achievement of the performance-based vesting criteria applicable to such Performance-Vesting Award shall vest as set forth on </w:t>
      </w:r>
      <w:r>
        <w:rPr>
          <w:rFonts w:ascii="Times New Roman" w:cs="Times New Roman" w:eastAsia="Times New Roman" w:hAnsi="Times New Roman"/>
          <w:sz w:val="15"/>
          <w:szCs w:val="15"/>
          <w:u w:val="single" w:color="auto"/>
          <w:color w:val="auto"/>
        </w:rPr>
        <w:t>Section 3.04(b)(i) of the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Disclosure Letter</w:t>
      </w:r>
      <w:r>
        <w:rPr>
          <w:rFonts w:ascii="Times New Roman" w:cs="Times New Roman" w:eastAsia="Times New Roman" w:hAnsi="Times New Roman"/>
          <w:sz w:val="15"/>
          <w:szCs w:val="15"/>
          <w:color w:val="auto"/>
        </w:rPr>
        <w:t xml:space="preserve">. Any Performance-Vesting Award (or portion thereof) that remains unvested following the application of the vesting described in this </w:t>
      </w:r>
      <w:r>
        <w:rPr>
          <w:rFonts w:ascii="Times New Roman" w:cs="Times New Roman" w:eastAsia="Times New Roman" w:hAnsi="Times New Roman"/>
          <w:sz w:val="15"/>
          <w:szCs w:val="15"/>
          <w:u w:val="single" w:color="auto"/>
          <w:color w:val="auto"/>
        </w:rPr>
        <w:t>Section 3.04(b)</w:t>
      </w:r>
      <w:r>
        <w:rPr>
          <w:rFonts w:ascii="Times New Roman" w:cs="Times New Roman" w:eastAsia="Times New Roman" w:hAnsi="Times New Roman"/>
          <w:sz w:val="15"/>
          <w:szCs w:val="15"/>
          <w:color w:val="auto"/>
        </w:rPr>
        <w:t>, shall be referred to as a “</w:t>
      </w:r>
      <w:r>
        <w:rPr>
          <w:rFonts w:ascii="Times New Roman" w:cs="Times New Roman" w:eastAsia="Times New Roman" w:hAnsi="Times New Roman"/>
          <w:sz w:val="15"/>
          <w:szCs w:val="15"/>
          <w:u w:val="single" w:color="auto"/>
          <w:color w:val="auto"/>
        </w:rPr>
        <w:t>Rollover Performance-Based Award</w:t>
      </w:r>
      <w:r>
        <w:rPr>
          <w:rFonts w:ascii="Times New Roman" w:cs="Times New Roman" w:eastAsia="Times New Roman" w:hAnsi="Times New Roman"/>
          <w:sz w:val="15"/>
          <w:szCs w:val="15"/>
          <w:color w:val="auto"/>
        </w:rPr>
        <w:t>” and, together with the Rollover Service-Based Awards, the “</w:t>
      </w:r>
      <w:r>
        <w:rPr>
          <w:rFonts w:ascii="Times New Roman" w:cs="Times New Roman" w:eastAsia="Times New Roman" w:hAnsi="Times New Roman"/>
          <w:sz w:val="15"/>
          <w:szCs w:val="15"/>
          <w:u w:val="single" w:color="auto"/>
          <w:color w:val="auto"/>
        </w:rPr>
        <w:t>Rollover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Awards</w:t>
      </w:r>
      <w:r>
        <w:rPr>
          <w:rFonts w:ascii="Times New Roman" w:cs="Times New Roman" w:eastAsia="Times New Roman" w:hAnsi="Times New Roman"/>
          <w:sz w:val="15"/>
          <w:szCs w:val="15"/>
          <w:color w:val="auto"/>
        </w:rPr>
        <w:t>”. For purposes of this Agreement, the term “</w:t>
      </w:r>
      <w:r>
        <w:rPr>
          <w:rFonts w:ascii="Times New Roman" w:cs="Times New Roman" w:eastAsia="Times New Roman" w:hAnsi="Times New Roman"/>
          <w:sz w:val="15"/>
          <w:szCs w:val="15"/>
          <w:u w:val="single" w:color="auto"/>
          <w:color w:val="auto"/>
        </w:rPr>
        <w:t>Cash-Out Award</w:t>
      </w:r>
      <w:r>
        <w:rPr>
          <w:rFonts w:ascii="Times New Roman" w:cs="Times New Roman" w:eastAsia="Times New Roman" w:hAnsi="Times New Roman"/>
          <w:sz w:val="15"/>
          <w:szCs w:val="15"/>
          <w:color w:val="auto"/>
        </w:rPr>
        <w:t xml:space="preserve">” shall mean any Company Equity Award (or portion thereof) that is outstanding and vested as of immediately prior to the Effective Time (including, for the avoidance of doubt, any such Company Equity Award (or portion thereof) that (x) vests as a result of the application of </w:t>
      </w:r>
      <w:r>
        <w:rPr>
          <w:rFonts w:ascii="Times New Roman" w:cs="Times New Roman" w:eastAsia="Times New Roman" w:hAnsi="Times New Roman"/>
          <w:sz w:val="15"/>
          <w:szCs w:val="15"/>
          <w:u w:val="single" w:color="auto"/>
          <w:color w:val="auto"/>
        </w:rPr>
        <w:t>Sections 3.04(a)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or (y) vested in the ordinary course prior to the application of </w:t>
      </w:r>
      <w:r>
        <w:rPr>
          <w:rFonts w:ascii="Times New Roman" w:cs="Times New Roman" w:eastAsia="Times New Roman" w:hAnsi="Times New Roman"/>
          <w:sz w:val="15"/>
          <w:szCs w:val="15"/>
          <w:u w:val="single" w:color="auto"/>
          <w:color w:val="auto"/>
        </w:rPr>
        <w:t>Sections 3.04(a)</w:t>
      </w:r>
      <w:r>
        <w:rPr>
          <w:rFonts w:ascii="Times New Roman" w:cs="Times New Roman" w:eastAsia="Times New Roman" w:hAnsi="Times New Roman"/>
          <w:sz w:val="15"/>
          <w:szCs w:val="15"/>
          <w:color w:val="auto"/>
        </w:rPr>
        <w:t xml:space="preserve"> and</w:t>
      </w:r>
    </w:p>
    <w:p>
      <w:pPr>
        <w:spacing w:after="0" w:line="3" w:lineRule="exact"/>
        <w:rPr>
          <w:rFonts w:ascii="Times New Roman" w:cs="Times New Roman" w:eastAsia="Times New Roman" w:hAnsi="Times New Roman"/>
          <w:sz w:val="15"/>
          <w:szCs w:val="15"/>
          <w:color w:val="auto"/>
        </w:rPr>
      </w:pPr>
    </w:p>
    <w:p>
      <w:pPr>
        <w:ind w:firstLine="9"/>
        <w:spacing w:after="0" w:line="256" w:lineRule="auto"/>
        <w:tabs>
          <w:tab w:leader="none" w:pos="224" w:val="left"/>
        </w:tabs>
        <w:numPr>
          <w:ilvl w:val="0"/>
          <w:numId w:val="26"/>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or on an accelerated basis in connection with (and on or prior to) the Effective Time (a “</w:t>
      </w:r>
      <w:r>
        <w:rPr>
          <w:rFonts w:ascii="Times New Roman" w:cs="Times New Roman" w:eastAsia="Times New Roman" w:hAnsi="Times New Roman"/>
          <w:sz w:val="16"/>
          <w:szCs w:val="16"/>
          <w:u w:val="single" w:color="auto"/>
          <w:color w:val="auto"/>
        </w:rPr>
        <w:t>Single-Trigger Award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3.04(b)(ii) of the 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Disclosure Letter</w:t>
      </w:r>
      <w:r>
        <w:rPr>
          <w:rFonts w:ascii="Times New Roman" w:cs="Times New Roman" w:eastAsia="Times New Roman" w:hAnsi="Times New Roman"/>
          <w:sz w:val="16"/>
          <w:szCs w:val="16"/>
          <w:color w:val="auto"/>
        </w:rPr>
        <w:t xml:space="preserve"> sets forth, to the Company’s knowledge, all Single-Trigger Awards.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700"/>
          </w:cols>
          <w:pgMar w:left="1080" w:top="254" w:right="1119" w:bottom="1440" w:gutter="0" w:footer="0" w:header="0"/>
        </w:sectPr>
      </w:pPr>
    </w:p>
    <w:bookmarkStart w:id="41" w:name="page42"/>
    <w:bookmarkEnd w:id="41"/>
    <w:p>
      <w:pPr>
        <w:ind w:left="-40" w:firstLine="883"/>
        <w:spacing w:after="0" w:line="250" w:lineRule="auto"/>
        <w:tabs>
          <w:tab w:leader="none" w:pos="105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On the Mailing Date, Parent will cause to be provided to each holder of Company Equity Awards an election form in such form consistent with the terms of this Agreement as Parent shall specify (which such form shall be reasonably acceptable to the Company) (the “</w:t>
      </w:r>
      <w:r>
        <w:rPr>
          <w:rFonts w:ascii="Times New Roman" w:cs="Times New Roman" w:eastAsia="Times New Roman" w:hAnsi="Times New Roman"/>
          <w:sz w:val="16"/>
          <w:szCs w:val="16"/>
          <w:u w:val="single" w:color="auto"/>
          <w:color w:val="auto"/>
        </w:rPr>
        <w:t>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Election Form</w:t>
      </w:r>
      <w:r>
        <w:rPr>
          <w:rFonts w:ascii="Times New Roman" w:cs="Times New Roman" w:eastAsia="Times New Roman" w:hAnsi="Times New Roman"/>
          <w:sz w:val="16"/>
          <w:szCs w:val="16"/>
          <w:color w:val="auto"/>
        </w:rPr>
        <w:t>”). The Equity Election Form shall state the procedures for electing among the options for the treatment of Rollover Awards and Cash-Out Awards described herein and shall specify the number of shares of Parent Common Stock and/or amount of cash that comprise the Alternative Consideration as determined by Parent. Each Equity Election Form will permit each holder of Company Equity Awards to specify: (i) which Cash-Out Awards such holder elects to treat as “</w:t>
      </w:r>
      <w:r>
        <w:rPr>
          <w:rFonts w:ascii="Times New Roman" w:cs="Times New Roman" w:eastAsia="Times New Roman" w:hAnsi="Times New Roman"/>
          <w:sz w:val="16"/>
          <w:szCs w:val="16"/>
          <w:u w:val="single" w:color="auto"/>
          <w:color w:val="auto"/>
        </w:rPr>
        <w:t>CVR Cash-Out Awards</w:t>
      </w:r>
      <w:r>
        <w:rPr>
          <w:rFonts w:ascii="Times New Roman" w:cs="Times New Roman" w:eastAsia="Times New Roman" w:hAnsi="Times New Roman"/>
          <w:sz w:val="16"/>
          <w:szCs w:val="16"/>
          <w:color w:val="auto"/>
        </w:rPr>
        <w:t>”; (ii) which Cash-Out Awards such holder elects to treat as “</w:t>
      </w:r>
      <w:r>
        <w:rPr>
          <w:rFonts w:ascii="Times New Roman" w:cs="Times New Roman" w:eastAsia="Times New Roman" w:hAnsi="Times New Roman"/>
          <w:sz w:val="16"/>
          <w:szCs w:val="16"/>
          <w:u w:val="single" w:color="auto"/>
          <w:color w:val="auto"/>
        </w:rPr>
        <w:t>Alternative Cash-Out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Awards</w:t>
      </w:r>
      <w:r>
        <w:rPr>
          <w:rFonts w:ascii="Times New Roman" w:cs="Times New Roman" w:eastAsia="Times New Roman" w:hAnsi="Times New Roman"/>
          <w:sz w:val="16"/>
          <w:szCs w:val="16"/>
          <w:color w:val="auto"/>
        </w:rPr>
        <w:t>”; (iii) which Rollover Awards such holder elects to treat as “</w:t>
      </w:r>
      <w:r>
        <w:rPr>
          <w:rFonts w:ascii="Times New Roman" w:cs="Times New Roman" w:eastAsia="Times New Roman" w:hAnsi="Times New Roman"/>
          <w:sz w:val="16"/>
          <w:szCs w:val="16"/>
          <w:u w:val="single" w:color="auto"/>
          <w:color w:val="auto"/>
        </w:rPr>
        <w:t>CVR Rollover Awards</w:t>
      </w:r>
      <w:r>
        <w:rPr>
          <w:rFonts w:ascii="Times New Roman" w:cs="Times New Roman" w:eastAsia="Times New Roman" w:hAnsi="Times New Roman"/>
          <w:sz w:val="16"/>
          <w:szCs w:val="16"/>
          <w:color w:val="auto"/>
        </w:rPr>
        <w:t>”; (iv) which Rollover Awards such holder elects to treat as “</w:t>
      </w:r>
      <w:r>
        <w:rPr>
          <w:rFonts w:ascii="Times New Roman" w:cs="Times New Roman" w:eastAsia="Times New Roman" w:hAnsi="Times New Roman"/>
          <w:sz w:val="16"/>
          <w:szCs w:val="16"/>
          <w:u w:val="single" w:color="auto"/>
          <w:color w:val="auto"/>
        </w:rPr>
        <w:t>Alternative Rollover Awards</w:t>
      </w:r>
      <w:r>
        <w:rPr>
          <w:rFonts w:ascii="Times New Roman" w:cs="Times New Roman" w:eastAsia="Times New Roman" w:hAnsi="Times New Roman"/>
          <w:sz w:val="16"/>
          <w:szCs w:val="16"/>
          <w:color w:val="auto"/>
        </w:rPr>
        <w:t>”; and/or (v) that such holder makes no election with respect to some or all of such holder’s Company Equity Awards (any Company Equity Awards described in this clause (v) and any other Company Equity Awards for which Parent does not receive a properly completed Equity Election Form during the Election Period, the “</w:t>
      </w:r>
      <w:r>
        <w:rPr>
          <w:rFonts w:ascii="Times New Roman" w:cs="Times New Roman" w:eastAsia="Times New Roman" w:hAnsi="Times New Roman"/>
          <w:sz w:val="16"/>
          <w:szCs w:val="16"/>
          <w:u w:val="single" w:color="auto"/>
          <w:color w:val="auto"/>
        </w:rPr>
        <w:t>No Election Awards</w:t>
      </w:r>
      <w:r>
        <w:rPr>
          <w:rFonts w:ascii="Times New Roman" w:cs="Times New Roman" w:eastAsia="Times New Roman" w:hAnsi="Times New Roman"/>
          <w:sz w:val="16"/>
          <w:szCs w:val="16"/>
          <w:color w:val="auto"/>
        </w:rPr>
        <w:t xml:space="preserve">”). The treatment of each of the CVR Cash-Out Awards, Alternative Cash-Out Awards, CVR Rollover Awards and Alternative Rollover Awards is described below. Any No Election Award shall be treated for all purposes, except as set forth below, as a CVR Cash-Out Award or a CVR Rollover Award, as applicable. Notwithstanding anything else in this Agreement or any Election Form to the contrary, any Company Stock Option that is a Rollover Award and that has an exercise price that is greater than or equal to the sum of (x) the Cash Consideration and (y) an amount equal to the product of (I) the Stock Consideration and (II) the Average Parent Stock Price shall be treated as an Alternative Rollover Award. </w:t>
      </w:r>
      <w:r>
        <w:rPr>
          <w:rFonts w:ascii="Times New Roman" w:cs="Times New Roman" w:eastAsia="Times New Roman" w:hAnsi="Times New Roman"/>
          <w:sz w:val="16"/>
          <w:szCs w:val="16"/>
          <w:u w:val="single" w:color="auto"/>
          <w:color w:val="auto"/>
        </w:rPr>
        <w:t>Section 3.01(d)</w:t>
      </w:r>
      <w:r>
        <w:rPr>
          <w:rFonts w:ascii="Times New Roman" w:cs="Times New Roman" w:eastAsia="Times New Roman" w:hAnsi="Times New Roman"/>
          <w:sz w:val="16"/>
          <w:szCs w:val="16"/>
          <w:color w:val="auto"/>
        </w:rPr>
        <w:t xml:space="preserve"> shall apply to the Equity Election Forms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171" w:lineRule="exact"/>
        <w:rPr>
          <w:rFonts w:ascii="Times New Roman" w:cs="Times New Roman" w:eastAsia="Times New Roman" w:hAnsi="Times New Roman"/>
          <w:sz w:val="16"/>
          <w:szCs w:val="16"/>
          <w:color w:val="auto"/>
        </w:rPr>
      </w:pPr>
    </w:p>
    <w:p>
      <w:pPr>
        <w:ind w:left="-40" w:right="40" w:firstLine="883"/>
        <w:spacing w:after="0" w:line="268" w:lineRule="auto"/>
        <w:tabs>
          <w:tab w:leader="none" w:pos="105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and contingent on, the Effective Time, each Company Stock Option (or portion thereof) that is a Rollover Award shall be canceled in exchange for the right to receive (i) in the case of a CVR Rollover Award only, a number of fully vested CVRs equal to the number of shares of Company Class A Common Stock subject to such Rollover Award immediately prior to such cancelation and (ii) an option to acquire a number of shares of Parent Common Stock equal to the product (rounded down to the nearest whole share) of (A) the number of shares of Company Class A Common Stock subject to such Rollover Award immediately prior to such cancelation, and (B) the applicable Equity Award Ratio, at an exercise price per share (rounded up to the nearest whole cent) equal to the quotient obtained by dividing (x) the exercise price per share of Company Class A Common Stock of such Rollover Award immediately prior to such cancelation by (y) the Equity Award Ratio (such options, “</w:t>
      </w:r>
      <w:r>
        <w:rPr>
          <w:rFonts w:ascii="Times New Roman" w:cs="Times New Roman" w:eastAsia="Times New Roman" w:hAnsi="Times New Roman"/>
          <w:sz w:val="15"/>
          <w:szCs w:val="15"/>
          <w:u w:val="single" w:color="auto"/>
          <w:color w:val="auto"/>
        </w:rPr>
        <w:t>Parent Stock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Options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exercise price and the number of shares of Parent Common Stock purchasable pursuant to such Parent Stock Option shall be determined in a manner consistent with the requirements of Section 409A of the Code and Section 422 of the Code (to the extent applicable);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that the parties intend that the actions provided for in the foregoing with respect to CVR Rollover Awards shall be implemented by means of a deemed partial exercise of the Company Stock Option in exchange for Company Restricted Stock Awards covering a number of shares with an aggregate value equal to the aggregate value of the CVRs to be received in exchange for such Rollover Award, with such Company Restricted Stock Awards immediately thereafter canceled in exchange for the fully vested CVRs provided for above in accordance with the election of the holder of such CVR Rollover Awards (and, for clarity, the remainder of the Company Stock Option converted into the Parent Stock Option provided for above in a manner consistent with the requirements of Section 409A of the Code and Section 422 of the Code (to the extent applicable)).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660"/>
          </w:cols>
          <w:pgMar w:left="1120" w:top="254" w:right="1119" w:bottom="1440" w:gutter="0" w:footer="0" w:header="0"/>
        </w:sectPr>
      </w:pPr>
    </w:p>
    <w:bookmarkStart w:id="42" w:name="page43"/>
    <w:bookmarkEnd w:id="42"/>
    <w:p>
      <w:pPr>
        <w:ind w:left="1060" w:hanging="217"/>
        <w:spacing w:after="0"/>
        <w:tabs>
          <w:tab w:leader="none" w:pos="106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For purposes of this Agreement, the “</w:t>
      </w:r>
      <w:r>
        <w:rPr>
          <w:rFonts w:ascii="Times New Roman" w:cs="Times New Roman" w:eastAsia="Times New Roman" w:hAnsi="Times New Roman"/>
          <w:sz w:val="16"/>
          <w:szCs w:val="16"/>
          <w:u w:val="single" w:color="auto"/>
          <w:color w:val="auto"/>
        </w:rPr>
        <w:t>Equity Award Ratio</w:t>
      </w:r>
      <w:r>
        <w:rPr>
          <w:rFonts w:ascii="Times New Roman" w:cs="Times New Roman" w:eastAsia="Times New Roman" w:hAnsi="Times New Roman"/>
          <w:sz w:val="16"/>
          <w:szCs w:val="16"/>
          <w:color w:val="auto"/>
        </w:rPr>
        <w:t>” shall mean:</w:t>
      </w:r>
    </w:p>
    <w:p>
      <w:pPr>
        <w:spacing w:after="0" w:line="196" w:lineRule="exact"/>
        <w:rPr>
          <w:rFonts w:ascii="Times New Roman" w:cs="Times New Roman" w:eastAsia="Times New Roman" w:hAnsi="Times New Roman"/>
          <w:sz w:val="16"/>
          <w:szCs w:val="16"/>
          <w:color w:val="auto"/>
        </w:rPr>
      </w:pPr>
    </w:p>
    <w:p>
      <w:pPr>
        <w:ind w:left="360" w:right="160" w:firstLine="836"/>
        <w:spacing w:after="0" w:line="263" w:lineRule="auto"/>
        <w:tabs>
          <w:tab w:leader="none" w:pos="1388" w:val="left"/>
        </w:tabs>
        <w:numPr>
          <w:ilvl w:val="2"/>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CVR Rollover Award, a fraction (A) the numerator of which is the sum of (x) the Cash Consideration and (y) an amount equal to the product of (I) the Stock Consideration and (II) the Average Parent Stock Price and (B) the denominator of which is the Average Parent Stock Price</w:t>
      </w:r>
    </w:p>
    <w:p>
      <w:pPr>
        <w:spacing w:after="0" w:line="156" w:lineRule="exact"/>
        <w:rPr>
          <w:rFonts w:ascii="Times New Roman" w:cs="Times New Roman" w:eastAsia="Times New Roman" w:hAnsi="Times New Roman"/>
          <w:sz w:val="16"/>
          <w:szCs w:val="16"/>
          <w:color w:val="auto"/>
        </w:rPr>
      </w:pPr>
    </w:p>
    <w:p>
      <w:pPr>
        <w:ind w:left="360" w:right="60" w:firstLine="836"/>
        <w:spacing w:after="0" w:line="276" w:lineRule="auto"/>
        <w:tabs>
          <w:tab w:leader="none" w:pos="1432" w:val="left"/>
        </w:tabs>
        <w:numPr>
          <w:ilvl w:val="2"/>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Alternative Rollover Award, a fraction (A) the numerator of which is the sum of (x) the cash portion of the Cash &amp; Stock Consideration (which includes the cash portion of the Alternative Consideration (if any)) and (y) an amount equal to the product of</w:t>
      </w:r>
    </w:p>
    <w:p>
      <w:pPr>
        <w:spacing w:after="0" w:line="1" w:lineRule="exact"/>
        <w:rPr>
          <w:rFonts w:ascii="Times New Roman" w:cs="Times New Roman" w:eastAsia="Times New Roman" w:hAnsi="Times New Roman"/>
          <w:sz w:val="15"/>
          <w:szCs w:val="15"/>
          <w:color w:val="auto"/>
        </w:rPr>
      </w:pPr>
    </w:p>
    <w:p>
      <w:pPr>
        <w:ind w:left="360" w:right="220" w:hanging="3"/>
        <w:spacing w:after="0" w:line="256" w:lineRule="auto"/>
        <w:tabs>
          <w:tab w:leader="none" w:pos="55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portion of the Cash &amp; Stock Consideration (which includes the stock portion of the Alternative Consideration (if any)) and (II) the Average Parent Stock Price and (B) the denominator of which is the Average Parent Stock Price.</w:t>
      </w:r>
    </w:p>
    <w:p>
      <w:pPr>
        <w:spacing w:after="0" w:line="161" w:lineRule="exact"/>
        <w:rPr>
          <w:rFonts w:ascii="Times New Roman" w:cs="Times New Roman" w:eastAsia="Times New Roman" w:hAnsi="Times New Roman"/>
          <w:sz w:val="16"/>
          <w:szCs w:val="16"/>
          <w:color w:val="auto"/>
        </w:rPr>
      </w:pPr>
    </w:p>
    <w:p>
      <w:pPr>
        <w:jc w:val="both"/>
        <w:ind w:left="-40" w:right="300" w:firstLine="883"/>
        <w:spacing w:after="0" w:line="254" w:lineRule="auto"/>
        <w:tabs>
          <w:tab w:leader="none" w:pos="1032"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and contingent upon, the Effective Time, each Company Restricted Stock Award (or portion thereof) that is a Rollover Award shall be canceled in exchange for the right to receive (i) in the case of a CVR Rollover Award only, a number of fully vested CVRs equal to the number of shares of Company Class A Common Stock subject to such Rollover Award immediately prior to such cancelation and (ii) a number of restricted shares of Parent Common Stock equal to the product (rounded down to the nearest whole share) of (A) the number of shares of Company Class A Common Stock subject to such Rollover Award immediately prior to such cancelation and (B) the applicable Equity Award Ratio (such restricted shares, “</w:t>
      </w:r>
      <w:r>
        <w:rPr>
          <w:rFonts w:ascii="Times New Roman" w:cs="Times New Roman" w:eastAsia="Times New Roman" w:hAnsi="Times New Roman"/>
          <w:sz w:val="16"/>
          <w:szCs w:val="16"/>
          <w:u w:val="single" w:color="auto"/>
          <w:color w:val="auto"/>
        </w:rPr>
        <w:t>Parent Restricted Stock</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left="-40" w:right="40" w:firstLine="883"/>
        <w:spacing w:after="0" w:line="254" w:lineRule="auto"/>
        <w:tabs>
          <w:tab w:leader="none" w:pos="1058"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and contingent upon, the Effective Time, each Company RSU Award (or portion thereof) that is a Rollover Award shall be canceled in exchange for the right to receive (i) in the case of a CVR Rollover Award only, a number of fully vested CVRs equal to the number of shares of Company Class A Common Stock subject to such Rollover Award immediately prior to such cancelation and (ii) a restricted stock unit with respect to a number of shares of Parent Common Stock equal to the product (rounded down to the nearest whole share) of (A) the number of shares of Company Class A Common Stock subject to such Rollover Award immediately prior to such cancelation, and (B) the applicable Equity Award Ratio (such restricted stock units, collectively with the Parent Stock Options and Parent Restricted Stock, the “</w:t>
      </w:r>
      <w:r>
        <w:rPr>
          <w:rFonts w:ascii="Times New Roman" w:cs="Times New Roman" w:eastAsia="Times New Roman" w:hAnsi="Times New Roman"/>
          <w:sz w:val="16"/>
          <w:szCs w:val="16"/>
          <w:u w:val="single" w:color="auto"/>
          <w:color w:val="auto"/>
        </w:rPr>
        <w:t>Parent Awards</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left="-40" w:firstLine="883"/>
        <w:spacing w:after="0" w:line="258" w:lineRule="auto"/>
        <w:tabs>
          <w:tab w:leader="none" w:pos="1058"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specifically provided in this </w:t>
      </w:r>
      <w:r>
        <w:rPr>
          <w:rFonts w:ascii="Times New Roman" w:cs="Times New Roman" w:eastAsia="Times New Roman" w:hAnsi="Times New Roman"/>
          <w:sz w:val="16"/>
          <w:szCs w:val="16"/>
          <w:u w:val="single" w:color="auto"/>
          <w:color w:val="auto"/>
        </w:rPr>
        <w:t>Section 3.04</w:t>
      </w:r>
      <w:r>
        <w:rPr>
          <w:rFonts w:ascii="Times New Roman" w:cs="Times New Roman" w:eastAsia="Times New Roman" w:hAnsi="Times New Roman"/>
          <w:sz w:val="16"/>
          <w:szCs w:val="16"/>
          <w:color w:val="auto"/>
        </w:rPr>
        <w:t>, following the Effective Time, each Parent Award shall continue to be governed by the terms and conditions that applied to the applicable Rollover Award immediately prior to the applicable cancelation, including, for the avoidance of doubt, any service-based and performance-based vesting criteria that are not satisfied or deemed satisfied prior to the Effective Time (including pursuant to</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660"/>
          </w:cols>
          <w:pgMar w:left="1120" w:top="254" w:right="1119" w:bottom="1440" w:gutter="0" w:footer="0" w:header="0"/>
        </w:sectPr>
      </w:pPr>
    </w:p>
    <w:bookmarkStart w:id="43" w:name="page44"/>
    <w:bookmarkEnd w:id="43"/>
    <w:p>
      <w:pPr>
        <w:ind w:right="40"/>
        <w:spacing w:after="0" w:line="263"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Sections 3.04(a)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Notwithstanding the foregoing, solely to the extent set forth on </w:t>
      </w:r>
      <w:r>
        <w:rPr>
          <w:rFonts w:ascii="Times New Roman" w:cs="Times New Roman" w:eastAsia="Times New Roman" w:hAnsi="Times New Roman"/>
          <w:sz w:val="16"/>
          <w:szCs w:val="16"/>
          <w:u w:val="single" w:color="auto"/>
          <w:color w:val="auto"/>
        </w:rPr>
        <w:t>Section 3.04(b) of the Company Disclosure Letter</w:t>
      </w:r>
      <w:r>
        <w:rPr>
          <w:rFonts w:ascii="Times New Roman" w:cs="Times New Roman" w:eastAsia="Times New Roman" w:hAnsi="Times New Roman"/>
          <w:sz w:val="16"/>
          <w:szCs w:val="16"/>
          <w:color w:val="auto"/>
        </w:rPr>
        <w:t>, Parent Awards in respect of Rollover Awards that are Performance-Vesting Awards shall no longer be subject to any performance-vesting criteria following the Effective Time.</w:t>
      </w:r>
    </w:p>
    <w:p>
      <w:pPr>
        <w:spacing w:after="0" w:line="157" w:lineRule="exact"/>
        <w:rPr>
          <w:sz w:val="20"/>
          <w:szCs w:val="20"/>
          <w:color w:val="auto"/>
        </w:rPr>
      </w:pPr>
    </w:p>
    <w:p>
      <w:pPr>
        <w:ind w:firstLine="883"/>
        <w:spacing w:after="0" w:line="268" w:lineRule="auto"/>
        <w:tabs>
          <w:tab w:leader="none" w:pos="1063"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and contingent on, the Effective Time, each Cash-Out Award shall be canceled and converted into the right to receive for each share of Company Stock subject to such Cash-Out Award as of immediately prior to such cancelation, in full satisfaction of the rights of the applicable holder with respect thereto, (i) in the case of a CVR Cash-Out Award, the CVR Consideration or (ii) in the case of an Alternative Cash-Out Award, the Cash &amp; Stock Consideration, in each case, less (A) in the case of any Cash-Out Award that is a Company Stock Option, the applicable exercise price for such share and (B) in the case of all Company Equity Awards, any required withholding Taxes ((A) and (B) together, the “</w:t>
      </w:r>
      <w:r>
        <w:rPr>
          <w:rFonts w:ascii="Times New Roman" w:cs="Times New Roman" w:eastAsia="Times New Roman" w:hAnsi="Times New Roman"/>
          <w:sz w:val="15"/>
          <w:szCs w:val="15"/>
          <w:u w:val="single" w:color="auto"/>
          <w:color w:val="auto"/>
        </w:rPr>
        <w:t>Cash-Out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Deductions</w:t>
      </w:r>
      <w:r>
        <w:rPr>
          <w:rFonts w:ascii="Times New Roman" w:cs="Times New Roman" w:eastAsia="Times New Roman" w:hAnsi="Times New Roman"/>
          <w:sz w:val="15"/>
          <w:szCs w:val="15"/>
          <w:color w:val="auto"/>
        </w:rPr>
        <w:t>”, and the net consideration payable hereunder in respect of a Cash-Out Award, the “</w:t>
      </w:r>
      <w:r>
        <w:rPr>
          <w:rFonts w:ascii="Times New Roman" w:cs="Times New Roman" w:eastAsia="Times New Roman" w:hAnsi="Times New Roman"/>
          <w:sz w:val="15"/>
          <w:szCs w:val="15"/>
          <w:u w:val="single" w:color="auto"/>
          <w:color w:val="auto"/>
        </w:rPr>
        <w:t>Cash-Out Award Consideration</w:t>
      </w:r>
      <w:r>
        <w:rPr>
          <w:rFonts w:ascii="Times New Roman" w:cs="Times New Roman" w:eastAsia="Times New Roman" w:hAnsi="Times New Roman"/>
          <w:sz w:val="15"/>
          <w:szCs w:val="15"/>
          <w:color w:val="auto"/>
        </w:rPr>
        <w:t>”). Any Cash-Out Deductions shall be satisfied by reducing the cash portion of the applicable consideration by the amount of such Cash-Out Deductions, but not below zero. In the event such cash portion has a value that is less than such Cash-Out Deductions, such cash portion shall be reduced to zero and in addition Parent shall retain a portion of the stock portion of the applicable consideration that has a value equal to the amount by which the Cash-Out Deductions exceed such cash portion. The Cash-Out Award Consideration shall be paid as promptly as practicable following the Effective Time (and in no event later than five (5) Business Days thereafter) through Parent’s, the Surviving Entity’s or the applicable Subsidiary of the Surviving Entity’s payroll. Notwithstanding the foregoing, to the extent that any Cash-Out Award Consideration relates to a Company RSU Award that is nonqualified deferred compensation subject to Section 409A of the Code, Parent, the Surviving Entity or the applicable Subsidiary shall pay such amounts at the earliest time, as applicable, that will not trigger a Tax or penalty under Section 409A of the Code, but no later than five (5) Business Days after such time.</w:t>
      </w:r>
    </w:p>
    <w:p>
      <w:pPr>
        <w:spacing w:after="0" w:line="159" w:lineRule="exact"/>
        <w:rPr>
          <w:rFonts w:ascii="Times New Roman" w:cs="Times New Roman" w:eastAsia="Times New Roman" w:hAnsi="Times New Roman"/>
          <w:sz w:val="15"/>
          <w:szCs w:val="15"/>
          <w:color w:val="auto"/>
        </w:rPr>
      </w:pPr>
    </w:p>
    <w:p>
      <w:pPr>
        <w:ind w:right="140" w:firstLine="883"/>
        <w:spacing w:after="0" w:line="255" w:lineRule="auto"/>
        <w:tabs>
          <w:tab w:leader="none" w:pos="106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in the event any Cash-Out Award Consideration would result in the payment of a fractional share of Parent Common Stock, all such fractional shares a holder of Company Equity Awards in respect of Company Equity Awards would be entitled to shall be aggregated and paid in (i) a number of shares of Parent Common Stock equal to such aggregated number rounded down to the nearest whole share and (ii) an amount in cash equal to the product of (A) such aggregated number minus the number of whole shares determined in clause (i) and (B) the Average Parent Stock Price.</w:t>
      </w:r>
    </w:p>
    <w:p>
      <w:pPr>
        <w:spacing w:after="0" w:line="164" w:lineRule="exact"/>
        <w:rPr>
          <w:rFonts w:ascii="Times New Roman" w:cs="Times New Roman" w:eastAsia="Times New Roman" w:hAnsi="Times New Roman"/>
          <w:sz w:val="16"/>
          <w:szCs w:val="16"/>
          <w:color w:val="auto"/>
        </w:rPr>
      </w:pPr>
    </w:p>
    <w:p>
      <w:pPr>
        <w:ind w:right="60" w:firstLine="883"/>
        <w:spacing w:after="0" w:line="255" w:lineRule="auto"/>
        <w:tabs>
          <w:tab w:leader="none" w:pos="109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later than the Effective Time, Parent shall, if registration of the shares of Parent Common Stock issuable under the Company Stock Plan or other Plan is required under the Securities Act and such registration is not covered by any Form S-4 filed in connection with the Transactions, file with the SEC a registration statement on Form S-8, as the case may be (or any successor form), or another appropriate form with respect to such Parent Common Stock and shall use commercially reasonable efforts to have such registration statement declared effective no later than the Effective Time.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700"/>
          </w:cols>
          <w:pgMar w:left="1080" w:top="254" w:right="1119" w:bottom="1440" w:gutter="0" w:footer="0" w:header="0"/>
        </w:sectPr>
      </w:pPr>
    </w:p>
    <w:bookmarkStart w:id="44" w:name="page45"/>
    <w:bookmarkEnd w:id="44"/>
    <w:p>
      <w:pPr>
        <w:ind w:right="160" w:firstLine="883"/>
        <w:spacing w:after="0" w:line="278" w:lineRule="auto"/>
        <w:tabs>
          <w:tab w:leader="none" w:pos="106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At or prior to the Effective Time, the Company, the Company Board or a committee of the Company Board, as applicable, shall adopt any resolutions and take any actions which are necessary to effectuate the provisions of this </w:t>
      </w:r>
      <w:r>
        <w:rPr>
          <w:rFonts w:ascii="Times New Roman" w:cs="Times New Roman" w:eastAsia="Times New Roman" w:hAnsi="Times New Roman"/>
          <w:sz w:val="16"/>
          <w:szCs w:val="16"/>
          <w:u w:val="single" w:color="auto"/>
          <w:color w:val="auto"/>
        </w:rPr>
        <w:t>Section 3.04</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firstLine="883"/>
        <w:spacing w:after="0" w:line="271" w:lineRule="auto"/>
        <w:tabs>
          <w:tab w:leader="none" w:pos="1142"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in this Agreement to the contrary, any Taxes required to be withheld in connection with CVRs issued in respect of any Company Equity Award pursuant to this </w:t>
      </w:r>
      <w:r>
        <w:rPr>
          <w:rFonts w:ascii="Times New Roman" w:cs="Times New Roman" w:eastAsia="Times New Roman" w:hAnsi="Times New Roman"/>
          <w:sz w:val="15"/>
          <w:szCs w:val="15"/>
          <w:u w:val="single" w:color="auto"/>
          <w:color w:val="auto"/>
        </w:rPr>
        <w:t>Section 3.04</w:t>
      </w:r>
      <w:r>
        <w:rPr>
          <w:rFonts w:ascii="Times New Roman" w:cs="Times New Roman" w:eastAsia="Times New Roman" w:hAnsi="Times New Roman"/>
          <w:sz w:val="15"/>
          <w:szCs w:val="15"/>
          <w:color w:val="auto"/>
        </w:rPr>
        <w:t xml:space="preserve"> (other than in respect of any Cash-Out Awards, which are covered solely by </w:t>
      </w:r>
      <w:r>
        <w:rPr>
          <w:rFonts w:ascii="Times New Roman" w:cs="Times New Roman" w:eastAsia="Times New Roman" w:hAnsi="Times New Roman"/>
          <w:sz w:val="15"/>
          <w:szCs w:val="15"/>
          <w:u w:val="single" w:color="auto"/>
          <w:color w:val="auto"/>
        </w:rPr>
        <w:t>Section 3.04(i)</w:t>
      </w:r>
      <w:r>
        <w:rPr>
          <w:rFonts w:ascii="Times New Roman" w:cs="Times New Roman" w:eastAsia="Times New Roman" w:hAnsi="Times New Roman"/>
          <w:sz w:val="15"/>
          <w:szCs w:val="15"/>
          <w:color w:val="auto"/>
        </w:rPr>
        <w:t>) shall be satisfied by reducing the cash portion of the applicable consideration that would otherwise be received by the holder of the applicable Company Equity Award by the amount of such required Tax withholding, but not below zero and, in the event such cash portion has a value that is less than such required Tax withholding, such cash portion shall be reduced to zero and in addition Parent shall retain a portion of the stock portion of the applicable consideration that would otherwise be received by the holder of the applicable Company Equity Award that has a value equal to the amount by which the required Tax withholding exceeds such cash portion. In the event the cash and stock portion has a value that is less than such required Tax withholding, the Company shall determine an alternative means of satisfying such Tax withholding that is reasonably acceptable to Parent.</w:t>
      </w:r>
    </w:p>
    <w:p>
      <w:pPr>
        <w:spacing w:after="0" w:line="1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3.05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(a) Notwithstanding anything in this Agreement to the contrary, shares of Company Stock that 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immediately prior to the Effective Time and that are held by any holder who has not voted in favor of the Mergers or consented thereto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writing, has not waived appraisal rights in connection with the Mergers, and properly demands appraisal of such shares pursuant to, and in accordance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Section 262 of the DGCL (“</w:t>
      </w:r>
      <w:r>
        <w:rPr>
          <w:rFonts w:ascii="Times New Roman" w:cs="Times New Roman" w:eastAsia="Times New Roman" w:hAnsi="Times New Roman"/>
          <w:sz w:val="16"/>
          <w:szCs w:val="16"/>
          <w:u w:val="single" w:color="auto"/>
          <w:color w:val="auto"/>
        </w:rPr>
        <w:t>Appraisal Shares</w:t>
      </w:r>
      <w:r>
        <w:rPr>
          <w:rFonts w:ascii="Times New Roman" w:cs="Times New Roman" w:eastAsia="Times New Roman" w:hAnsi="Times New Roman"/>
          <w:sz w:val="16"/>
          <w:szCs w:val="16"/>
          <w:color w:val="auto"/>
        </w:rPr>
        <w:t>”) shall not be converted into the right to receive the Merger Consideration as provided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xml:space="preserve">, but instead shall be entitled to only those rights as are granted by Section 262 of the DGCL;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any such holder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shall fail to perfect or otherwise shall waive, withdraw or lose the right to appraisal under Section 262 of the DGCL, or a court of competent jurisdiction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determine such holder is not entitled to the relief provided by Section 262 of the DGCL, then the right of such holder to be paid the fair value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holder’s Appraisal Shares under Section 262 of the DGCL shall cease and such Appraisal Shares shall thereupon be treated as if they were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Election Shares and shall be deemed to have been converted as of the Effective Time into, and shall represent only the right to receive, the CVR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Consideration as provided in </w:t>
      </w:r>
      <w:r>
        <w:rPr>
          <w:rFonts w:ascii="Times New Roman" w:cs="Times New Roman" w:eastAsia="Times New Roman" w:hAnsi="Times New Roman"/>
          <w:sz w:val="16"/>
          <w:szCs w:val="16"/>
          <w:u w:val="single" w:color="auto"/>
          <w:color w:val="auto"/>
        </w:rPr>
        <w:t>Section 2.04(a)</w:t>
      </w:r>
      <w:r>
        <w:rPr>
          <w:rFonts w:ascii="Times New Roman" w:cs="Times New Roman" w:eastAsia="Times New Roman" w:hAnsi="Times New Roman"/>
          <w:sz w:val="16"/>
          <w:szCs w:val="16"/>
          <w:color w:val="auto"/>
        </w:rPr>
        <w:t xml:space="preserve"> upon the surrender of such shares in the manner provided in </w:t>
      </w:r>
      <w:r>
        <w:rPr>
          <w:rFonts w:ascii="Times New Roman" w:cs="Times New Roman" w:eastAsia="Times New Roman" w:hAnsi="Times New Roman"/>
          <w:sz w:val="16"/>
          <w:szCs w:val="16"/>
          <w:u w:val="single" w:color="auto"/>
          <w:color w:val="auto"/>
        </w:rPr>
        <w:t>Section 3.02</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ind w:right="60" w:firstLine="883"/>
        <w:spacing w:after="0" w:line="253" w:lineRule="auto"/>
        <w:tabs>
          <w:tab w:leader="none" w:pos="109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give prompt notice to Parent of any demands received by the Company for appraisal of any shares of Company Stock, any attempted withdrawals of such demands and any other instruments served pursuant to the DGCL and received by the Company relating to be paid the “fair value” of the Appraisal Shares, as provided in Section 262 of the DGCL, and Parent shall have the right to participate in and direct all negotiations and Actions with respect to such demands. Prior to the Effective Time, the Company shall not, without the prior written consent of Parent, make any payment with respect to, or settle or offer to settle, any such demands, or agree to do any of the foregoing. Parent shall not, except with the prior written consent of the Company, require the Company to make any payment with respect to any demands for appraisal or offer to settle or settle any such demands.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720"/>
          </w:cols>
          <w:pgMar w:left="1080" w:top="254" w:right="1099" w:bottom="1440" w:gutter="0" w:footer="0" w:header="0"/>
        </w:sectPr>
      </w:pPr>
    </w:p>
    <w:bookmarkStart w:id="45" w:name="page46"/>
    <w:bookmarkEnd w:id="45"/>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3.06 </w:t>
      </w:r>
      <w:r>
        <w:rPr>
          <w:rFonts w:ascii="Times New Roman" w:cs="Times New Roman" w:eastAsia="Times New Roman" w:hAnsi="Times New Roman"/>
          <w:sz w:val="16"/>
          <w:szCs w:val="16"/>
          <w:u w:val="single" w:color="auto"/>
          <w:color w:val="auto"/>
        </w:rPr>
        <w:t>Closing Capitalization Schedule</w:t>
      </w:r>
      <w:r>
        <w:rPr>
          <w:rFonts w:ascii="Times New Roman" w:cs="Times New Roman" w:eastAsia="Times New Roman" w:hAnsi="Times New Roman"/>
          <w:sz w:val="16"/>
          <w:szCs w:val="16"/>
          <w:color w:val="auto"/>
        </w:rPr>
        <w:t>. (a) No less than five Business Days prior to the Closing, the Company shall deliver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Parent and the Exchange Agent a schedule (the “</w:t>
      </w:r>
      <w:r>
        <w:rPr>
          <w:rFonts w:ascii="Times New Roman" w:cs="Times New Roman" w:eastAsia="Times New Roman" w:hAnsi="Times New Roman"/>
          <w:sz w:val="16"/>
          <w:szCs w:val="16"/>
          <w:u w:val="single" w:color="auto"/>
          <w:color w:val="auto"/>
        </w:rPr>
        <w:t>Closing Capitalization Schedule</w:t>
      </w:r>
      <w:r>
        <w:rPr>
          <w:rFonts w:ascii="Times New Roman" w:cs="Times New Roman" w:eastAsia="Times New Roman" w:hAnsi="Times New Roman"/>
          <w:sz w:val="16"/>
          <w:szCs w:val="16"/>
          <w:color w:val="auto"/>
        </w:rPr>
        <w:t>”), setting forth, as of the Effective Time:</w:t>
      </w:r>
    </w:p>
    <w:p>
      <w:pPr>
        <w:spacing w:after="0" w:line="180" w:lineRule="exact"/>
        <w:rPr>
          <w:sz w:val="20"/>
          <w:szCs w:val="20"/>
          <w:color w:val="auto"/>
        </w:rPr>
      </w:pPr>
    </w:p>
    <w:p>
      <w:pPr>
        <w:ind w:left="400" w:right="80" w:firstLine="836"/>
        <w:spacing w:after="0" w:line="278" w:lineRule="auto"/>
        <w:tabs>
          <w:tab w:leader="none" w:pos="1428"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list, substantially in the form of </w:t>
      </w:r>
      <w:r>
        <w:rPr>
          <w:rFonts w:ascii="Times New Roman" w:cs="Times New Roman" w:eastAsia="Times New Roman" w:hAnsi="Times New Roman"/>
          <w:sz w:val="16"/>
          <w:szCs w:val="16"/>
          <w:u w:val="single" w:color="auto"/>
          <w:color w:val="auto"/>
        </w:rPr>
        <w:t>Section 3.06 of the Company Disclosure Letter</w:t>
      </w:r>
      <w:r>
        <w:rPr>
          <w:rFonts w:ascii="Times New Roman" w:cs="Times New Roman" w:eastAsia="Times New Roman" w:hAnsi="Times New Roman"/>
          <w:sz w:val="16"/>
          <w:szCs w:val="16"/>
          <w:color w:val="auto"/>
        </w:rPr>
        <w:t>, of all holders of Company Stock and Company Equity Awards and each such holder’s address and:</w:t>
      </w:r>
    </w:p>
    <w:p>
      <w:pPr>
        <w:spacing w:after="0" w:line="144" w:lineRule="exact"/>
        <w:rPr>
          <w:rFonts w:ascii="Times New Roman" w:cs="Times New Roman" w:eastAsia="Times New Roman" w:hAnsi="Times New Roman"/>
          <w:sz w:val="16"/>
          <w:szCs w:val="16"/>
          <w:color w:val="auto"/>
        </w:rPr>
      </w:pPr>
    </w:p>
    <w:p>
      <w:pPr>
        <w:ind w:left="880" w:firstLine="798"/>
        <w:spacing w:after="0" w:line="270" w:lineRule="auto"/>
        <w:tabs>
          <w:tab w:leader="none" w:pos="1935" w:val="left"/>
        </w:tabs>
        <w:numPr>
          <w:ilvl w:val="2"/>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each class or series of Company Stock held by such holder immediately prior to the Closing Date, indicating whether any such shares are Company Restricted Stock Awards (and if so, whether or not such Company Restricted Stock Awards are subject to any performance-based vesting conditions and, if so, the target number of shares of Company Stock that may be issued under such award) and with respect to any shares of Company Class B Common Stock or Company Preferred Stock of any series,</w:t>
      </w:r>
    </w:p>
    <w:p>
      <w:pPr>
        <w:spacing w:after="0" w:line="2" w:lineRule="exact"/>
        <w:rPr>
          <w:rFonts w:ascii="Times New Roman" w:cs="Times New Roman" w:eastAsia="Times New Roman" w:hAnsi="Times New Roman"/>
          <w:sz w:val="15"/>
          <w:szCs w:val="15"/>
          <w:color w:val="auto"/>
        </w:rPr>
      </w:pPr>
    </w:p>
    <w:p>
      <w:pPr>
        <w:ind w:left="880" w:right="160" w:firstLine="3"/>
        <w:spacing w:after="0" w:line="256" w:lineRule="auto"/>
        <w:tabs>
          <w:tab w:leader="none" w:pos="107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rate to Company Class A Common Stock applicable thereto, (II) the liquidation preference applicable thereto and (III) the amount of any accrued but unpaid dividends applicable thereto;</w:t>
      </w:r>
    </w:p>
    <w:p>
      <w:pPr>
        <w:spacing w:after="0" w:line="161" w:lineRule="exact"/>
        <w:rPr>
          <w:rFonts w:ascii="Times New Roman" w:cs="Times New Roman" w:eastAsia="Times New Roman" w:hAnsi="Times New Roman"/>
          <w:sz w:val="16"/>
          <w:szCs w:val="16"/>
          <w:color w:val="auto"/>
        </w:rPr>
      </w:pPr>
    </w:p>
    <w:p>
      <w:pPr>
        <w:ind w:left="880" w:right="180" w:firstLine="798"/>
        <w:spacing w:after="0" w:line="263" w:lineRule="auto"/>
        <w:tabs>
          <w:tab w:leader="none" w:pos="1926"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Company RSU Awards held by such holder immediately prior to the Closing Date, indicating whether or not such Company RSU Awards are subject to any performance-based vesting conditions and, if so, the target number of shares of Company Stock that may be issued under such award; and</w:t>
      </w:r>
    </w:p>
    <w:p>
      <w:pPr>
        <w:spacing w:after="0" w:line="156" w:lineRule="exact"/>
        <w:rPr>
          <w:rFonts w:ascii="Times New Roman" w:cs="Times New Roman" w:eastAsia="Times New Roman" w:hAnsi="Times New Roman"/>
          <w:sz w:val="16"/>
          <w:szCs w:val="16"/>
          <w:color w:val="auto"/>
        </w:rPr>
      </w:pPr>
    </w:p>
    <w:p>
      <w:pPr>
        <w:ind w:left="1920" w:hanging="242"/>
        <w:spacing w:after="0"/>
        <w:tabs>
          <w:tab w:leader="none" w:pos="1920"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all Company Stock Options held by such holder immediately prior to the Closing Date, indicating</w:t>
      </w:r>
    </w:p>
    <w:p>
      <w:pPr>
        <w:spacing w:after="0" w:line="23" w:lineRule="exact"/>
        <w:rPr>
          <w:sz w:val="20"/>
          <w:szCs w:val="20"/>
          <w:color w:val="auto"/>
        </w:rPr>
      </w:pPr>
    </w:p>
    <w:p>
      <w:pPr>
        <w:jc w:val="both"/>
        <w:ind w:left="880" w:right="60" w:firstLine="3"/>
        <w:spacing w:after="0" w:line="251" w:lineRule="auto"/>
        <w:tabs>
          <w:tab w:leader="none" w:pos="1078"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such Company Stock Options are vested or unvested, (II) the number of shares of Company Stock issuable upon exercise of such Company Stock Options, as applicable, (III) the exercise price with respect to each Company Stock Option and (iV) whether or not such Company Stock Options are subject to any performance-based vesting conditions and, if so, the target number of shares of Company Stock that may be issued under such award; and</w:t>
      </w:r>
    </w:p>
    <w:p>
      <w:pPr>
        <w:spacing w:after="0" w:line="165" w:lineRule="exact"/>
        <w:rPr>
          <w:rFonts w:ascii="Times New Roman" w:cs="Times New Roman" w:eastAsia="Times New Roman" w:hAnsi="Times New Roman"/>
          <w:sz w:val="16"/>
          <w:szCs w:val="16"/>
          <w:color w:val="auto"/>
        </w:rPr>
      </w:pPr>
    </w:p>
    <w:p>
      <w:pPr>
        <w:ind w:left="400" w:right="20" w:firstLine="836"/>
        <w:spacing w:after="0" w:line="254" w:lineRule="auto"/>
        <w:tabs>
          <w:tab w:leader="none" w:pos="1472"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the calculation of the Company Fully Diluted Share Count and Cash Consideration and Stock Consideration payable in respect of a share of each class or series of Company Stock, (B) the aggregate Merger Consideration to be paid to Company stockholders pursuant to Section 2.04(a) and (C) the aggregate consideration to be paid in respect of Company Equity Awards pursuant to </w:t>
      </w:r>
      <w:r>
        <w:rPr>
          <w:rFonts w:ascii="Times New Roman" w:cs="Times New Roman" w:eastAsia="Times New Roman" w:hAnsi="Times New Roman"/>
          <w:sz w:val="16"/>
          <w:szCs w:val="16"/>
          <w:u w:val="single" w:color="auto"/>
          <w:color w:val="auto"/>
        </w:rPr>
        <w:t>Section 3.04</w:t>
      </w:r>
      <w:r>
        <w:rPr>
          <w:rFonts w:ascii="Times New Roman" w:cs="Times New Roman" w:eastAsia="Times New Roman" w:hAnsi="Times New Roman"/>
          <w:sz w:val="16"/>
          <w:szCs w:val="16"/>
          <w:color w:val="auto"/>
        </w:rPr>
        <w:t>, in each case calculated in accordance with this Agreement, the Company’s certificate of incorporation, and any applicable Plan (including the Company Stock Plan and any other Plans governing the terms of any Company Stock Options, Company Restricted Stock Awards or Company RSU Awards) and accompanied with detailed calculations to arrive at the amounts set forth in the Closing Capitalization Schedule.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700"/>
          </w:cols>
          <w:pgMar w:left="1080" w:top="254" w:right="1119" w:bottom="1440" w:gutter="0" w:footer="0" w:header="0"/>
        </w:sectPr>
      </w:pPr>
    </w:p>
    <w:bookmarkStart w:id="46" w:name="page47"/>
    <w:bookmarkEnd w:id="46"/>
    <w:p>
      <w:pPr>
        <w:ind w:firstLine="883"/>
        <w:spacing w:after="0" w:line="258" w:lineRule="auto"/>
        <w:tabs>
          <w:tab w:leader="none" w:pos="109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Company shall (i) take all necessary actions to freeze all exercises of Company Stock Options as of immediately prior to delivery of the Closing Capitalization Schedule, and (ii) promptly, but in no event later than the Closing Date, provide Parent and the Exchange Agent an updated Closing Capitalization Schedule reflecting any forfeiture, vesting or settlement (as applicable) of Company Restricted Stock Awards, Company RSU Awards and Company Stock Options that occur between the delivery of the Closing Capitalization Schedule and the Closing Date.</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199" w:lineRule="exact"/>
        <w:rPr>
          <w:sz w:val="20"/>
          <w:szCs w:val="20"/>
          <w:color w:val="auto"/>
        </w:rPr>
      </w:pPr>
    </w:p>
    <w:p>
      <w:pPr>
        <w:ind w:firstLine="874"/>
        <w:spacing w:after="0" w:line="253" w:lineRule="auto"/>
        <w:rPr>
          <w:sz w:val="20"/>
          <w:szCs w:val="20"/>
          <w:color w:val="auto"/>
        </w:rPr>
      </w:pPr>
      <w:r>
        <w:rPr>
          <w:rFonts w:ascii="Times New Roman" w:cs="Times New Roman" w:eastAsia="Times New Roman" w:hAnsi="Times New Roman"/>
          <w:sz w:val="16"/>
          <w:szCs w:val="16"/>
          <w:color w:val="auto"/>
        </w:rPr>
        <w:t>As an inducement to Parent, First Merger Sub and Second Merger Sub to enter into this Agreement, except (i) as disclosed in the Company Registration Statement (including exhibits) filed by the Company and publicly available prior to the date of this Agreement (but excluding any forward-looking disclosures set forth in any “risk factors” section, any disclosures in any “forward-looking statements” section and any other disclosures included therein to the extent they are predictive or forward-looking in nature, in each case other than statements of historical fact) or (ii) as set forth in the Company Disclosure Letter (it being agreed that disclosure of any item in any section of the Company Disclosure Letter shall be deemed disclosure with respect to any other section of this Agreement to which the relevance of such disclosure is reasonably apparent on its face), the Company hereby represents and warrants to Parent, First Merger Sub and Second Merger Sub that:</w:t>
      </w:r>
    </w:p>
    <w:p>
      <w:pPr>
        <w:spacing w:after="0" w:line="166" w:lineRule="exact"/>
        <w:rPr>
          <w:sz w:val="20"/>
          <w:szCs w:val="20"/>
          <w:color w:val="auto"/>
        </w:rPr>
      </w:pPr>
    </w:p>
    <w:p>
      <w:pPr>
        <w:ind w:right="100" w:firstLine="874"/>
        <w:spacing w:after="0" w:line="255"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u w:val="single" w:color="auto"/>
          <w:color w:val="auto"/>
        </w:rPr>
        <w:t>Organization and Qualification; Subsidiaries</w:t>
      </w:r>
      <w:r>
        <w:rPr>
          <w:rFonts w:ascii="Times New Roman" w:cs="Times New Roman" w:eastAsia="Times New Roman" w:hAnsi="Times New Roman"/>
          <w:sz w:val="16"/>
          <w:szCs w:val="16"/>
          <w:color w:val="auto"/>
        </w:rPr>
        <w:t>. (a) The Company is a corporation duly incorporated, validly existing and in good standing under the Laws of the State of Delaware and has the requisite corporate or similar power and authority to own, lease and operate its properties and assets and carry on its business as it is now being conducted. The Company has made available to Parent, prior to the execution of this Agreement, a true and complete copy of the Company’s certificate of incorporation and bylaws, as amended to the date of this Agreement, which are in full force and effect.</w:t>
      </w:r>
    </w:p>
    <w:p>
      <w:pPr>
        <w:spacing w:after="0" w:line="165" w:lineRule="exact"/>
        <w:rPr>
          <w:sz w:val="20"/>
          <w:szCs w:val="20"/>
          <w:color w:val="auto"/>
        </w:rPr>
      </w:pPr>
    </w:p>
    <w:p>
      <w:pPr>
        <w:ind w:right="20" w:firstLine="883"/>
        <w:spacing w:after="0" w:line="253" w:lineRule="auto"/>
        <w:tabs>
          <w:tab w:leader="none" w:pos="109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Subsidiary of the Company is an entity duly organized, validly existing and in good standing under the Laws of the jurisdiction of its organization and has the requisite corporate or similar power and authority to own, lease and operate its properties and assets and to carry on its business as it is now being conducted, except as would not, individually or in the aggregate, reasonably be expected to have a Company Material Adverse Effect. The Company and each of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 Company Material Adverse Effect.</w:t>
      </w:r>
    </w:p>
    <w:p>
      <w:pPr>
        <w:spacing w:after="0" w:line="165" w:lineRule="exact"/>
        <w:rPr>
          <w:rFonts w:ascii="Times New Roman" w:cs="Times New Roman" w:eastAsia="Times New Roman" w:hAnsi="Times New Roman"/>
          <w:sz w:val="16"/>
          <w:szCs w:val="16"/>
          <w:color w:val="auto"/>
        </w:rPr>
      </w:pPr>
    </w:p>
    <w:p>
      <w:pPr>
        <w:ind w:right="20" w:firstLine="883"/>
        <w:spacing w:after="0" w:line="263" w:lineRule="auto"/>
        <w:tabs>
          <w:tab w:leader="none" w:pos="108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4.01(b) of the Company Disclosure Letter</w:t>
      </w:r>
      <w:r>
        <w:rPr>
          <w:rFonts w:ascii="Times New Roman" w:cs="Times New Roman" w:eastAsia="Times New Roman" w:hAnsi="Times New Roman"/>
          <w:sz w:val="16"/>
          <w:szCs w:val="16"/>
          <w:color w:val="auto"/>
        </w:rPr>
        <w:t xml:space="preserve"> sets forth, as of the date hereof, a true and complete list of each Subsidiary of the Company, the jurisdiction of incorporation or formation of each such Subsidiary and the ownership interest of the Company and any third parties in each such Subsidiary.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720"/>
          </w:cols>
          <w:pgMar w:left="1080" w:top="254" w:right="1099" w:bottom="1440" w:gutter="0" w:footer="0" w:header="0"/>
        </w:sectPr>
      </w:pPr>
    </w:p>
    <w:bookmarkStart w:id="47" w:name="page48"/>
    <w:bookmarkEnd w:id="47"/>
    <w:p>
      <w:pPr>
        <w:ind w:firstLine="883"/>
        <w:spacing w:after="0" w:line="254" w:lineRule="auto"/>
        <w:tabs>
          <w:tab w:leader="none" w:pos="1098"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Company has made available to Parent, prior to the execution of this Agreement, a true and complete copy of the organizational documents of each of its Subsidiaries, in each case, as amended to the date of this Agreement. Such certificates of incorporation, bylaws and equivalent organizational documents are in full force and effect, except as would not, individually or in the aggregate, reasonably be expected to have a Company Material Adverse Effect. None of the Company’s Subsidiaries is in violation of any of the provisions of its certificate of incorporation, bylaws or equivalent organizational documents except as would not, individually or in the aggregate, reasonably be expected to have a Company Material Adverse Effect. The Company is not in violation of any of the provisions of its certificate of incorporation or bylaws.</w:t>
      </w:r>
    </w:p>
    <w:p>
      <w:pPr>
        <w:spacing w:after="0" w:line="165" w:lineRule="exact"/>
        <w:rPr>
          <w:sz w:val="20"/>
          <w:szCs w:val="20"/>
          <w:color w:val="auto"/>
        </w:rPr>
      </w:pPr>
    </w:p>
    <w:p>
      <w:pPr>
        <w:ind w:right="20" w:firstLine="874"/>
        <w:spacing w:after="0" w:line="268" w:lineRule="auto"/>
        <w:rPr>
          <w:sz w:val="20"/>
          <w:szCs w:val="20"/>
          <w:color w:val="auto"/>
        </w:rPr>
      </w:pPr>
      <w:r>
        <w:rPr>
          <w:rFonts w:ascii="Times New Roman" w:cs="Times New Roman" w:eastAsia="Times New Roman" w:hAnsi="Times New Roman"/>
          <w:sz w:val="15"/>
          <w:szCs w:val="15"/>
          <w:color w:val="auto"/>
        </w:rPr>
        <w:t xml:space="preserve">Section 4.02 </w:t>
      </w:r>
      <w:r>
        <w:rPr>
          <w:rFonts w:ascii="Times New Roman" w:cs="Times New Roman" w:eastAsia="Times New Roman" w:hAnsi="Times New Roman"/>
          <w:sz w:val="15"/>
          <w:szCs w:val="15"/>
          <w:u w:val="single" w:color="auto"/>
          <w:color w:val="auto"/>
        </w:rPr>
        <w:t>Capitalization</w:t>
      </w:r>
      <w:r>
        <w:rPr>
          <w:rFonts w:ascii="Times New Roman" w:cs="Times New Roman" w:eastAsia="Times New Roman" w:hAnsi="Times New Roman"/>
          <w:sz w:val="15"/>
          <w:szCs w:val="15"/>
          <w:color w:val="auto"/>
        </w:rPr>
        <w:t xml:space="preserve">. (a) The authorized capital stock of the Company consists of (i) 898,203,200 shares of Company Common Stock and (ii) 534,145,027 shares of Company Preferred Stock. As of the date hereof, (i) 120,746,694 shares of Company Class A Common Stock were issued and outstanding, including 592,442 shares subject to Company Restricted Stock Awards (with zero (0) additional shares of Company Class A Common Stock issued and held in the treasury of the Company and 6,804,539 shares of Company Class A Common Stock reserved for future issuance pursuant to the Company Stock Plan); (ii) 24,989,397 shares of Company Class B Common Stock, which are convertible into 26,179,367 shares of Company Class A Common Stock, were issued and outstanding, none of which are subject to Company Restricted Stock Awards (with an additional zero (0) shares of Company Class B Common Stock issued and held in the treasury of the Company and zero (0) shares of Company Class B Common Stock reserved for future issuance pursuant to the Company Stock Plan); (iii) 85,000,000 shares of Company Series A Preferred Stock, which are convertible into 85,000,000 shares of Company Class A Common Stock, were issued and outstanding; (iv) 309,256,591 shares of Company Series B Preferred Stock, which are convertible into 309,256,591 shares of Company Class A Common Stock, were issued and outstanding; (v) 63,144,600 shares of Company Series C Preferred Stock, which are convertible into 63,144,600 shares of Company Class A Common Stock, were issued and outstanding; and (vi) 76,743,836 shares of Company Series D Preferred Stock, which are convertible into 76,743,836 shares of Company Class A Common Stock, were issued and outstanding, in each case duly authorized and validly issued, fully paid and non-assessable. As of the date hereof, 96,320,592 shares of Company Class A Common Stock are subject to outstanding Company Stock Options, and 30,343,670 shares of Company Class A Common Stock are subject to outstanding Company RSU Awards. With respect to Company Equity Awards, the foregoing assumes 100% achievement of all applicable performance criteria. Except as set forth in this </w:t>
      </w:r>
      <w:r>
        <w:rPr>
          <w:rFonts w:ascii="Times New Roman" w:cs="Times New Roman" w:eastAsia="Times New Roman" w:hAnsi="Times New Roman"/>
          <w:sz w:val="15"/>
          <w:szCs w:val="15"/>
          <w:u w:val="single" w:color="auto"/>
          <w:color w:val="auto"/>
        </w:rPr>
        <w:t>Section 4.02</w:t>
      </w:r>
      <w:r>
        <w:rPr>
          <w:rFonts w:ascii="Times New Roman" w:cs="Times New Roman" w:eastAsia="Times New Roman" w:hAnsi="Times New Roman"/>
          <w:sz w:val="15"/>
          <w:szCs w:val="15"/>
          <w:color w:val="auto"/>
        </w:rPr>
        <w:t xml:space="preserve"> or as set forth in </w:t>
      </w:r>
      <w:r>
        <w:rPr>
          <w:rFonts w:ascii="Times New Roman" w:cs="Times New Roman" w:eastAsia="Times New Roman" w:hAnsi="Times New Roman"/>
          <w:sz w:val="15"/>
          <w:szCs w:val="15"/>
          <w:u w:val="single" w:color="auto"/>
          <w:color w:val="auto"/>
        </w:rPr>
        <w:t>Section 4.02(a) of the Company Disclosure Letter</w:t>
      </w:r>
      <w:r>
        <w:rPr>
          <w:rFonts w:ascii="Times New Roman" w:cs="Times New Roman" w:eastAsia="Times New Roman" w:hAnsi="Times New Roman"/>
          <w:sz w:val="15"/>
          <w:szCs w:val="15"/>
          <w:color w:val="auto"/>
        </w:rPr>
        <w:t>, there are no authorized, issued, reserved for issuance or outstanding (i) shares of capital stock, voting securities or other equity interests of the Company;</w:t>
      </w:r>
    </w:p>
    <w:p>
      <w:pPr>
        <w:spacing w:after="0" w:line="172" w:lineRule="exact"/>
        <w:rPr>
          <w:sz w:val="20"/>
          <w:szCs w:val="20"/>
          <w:color w:val="auto"/>
        </w:rPr>
      </w:pPr>
    </w:p>
    <w:p>
      <w:pPr>
        <w:jc w:val="both"/>
        <w:ind w:right="20" w:firstLine="9"/>
        <w:spacing w:after="0" w:line="252" w:lineRule="auto"/>
        <w:tabs>
          <w:tab w:leader="none" w:pos="23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calls, warrants, convertible debt, other convertible or exchangeable instruments or rights, agreements, arrangements or commitments of any character made or issued by the Company or any of its Subsidiaries obligating the Company or any of its Subsidiaries to issue, deliver or sell any shares of capital stock, voting securities or other equity interests of the Company or any of its Subsidiaries; 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680"/>
          </w:cols>
          <w:pgMar w:left="1080" w:top="254" w:right="1139" w:bottom="1440" w:gutter="0" w:footer="0" w:header="0"/>
        </w:sectPr>
      </w:pPr>
    </w:p>
    <w:bookmarkStart w:id="48" w:name="page49"/>
    <w:bookmarkEnd w:id="48"/>
    <w:p>
      <w:pPr>
        <w:ind w:left="-9" w:firstLine="9"/>
        <w:spacing w:after="0" w:line="254" w:lineRule="auto"/>
        <w:tabs>
          <w:tab w:leader="none" w:pos="26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“phantom” stock, “phantom” stock rights, stock appreciation rights, stock-based units or any other similar interests issued by the Company or any of its Subsidiaries, or rights to acquire such interests from the Company or any Subsidiary. All shares of Company Stock subject to issuance as aforesaid, upon issuance on the terms and conditions specified in the instruments pursuant to which they are issuable, will be, and each outstanding share of Company Stock has been and is, (i) duly authorized, validly issued, fully paid and non-assessable; and (ii) not subject to or issued in violation of any preemptive rights purchase option, call option, right of first refusal, anti-dilutive right, subscription right or any similar right created by applicable Law, the organizational documents of the Company or any agreement to which the Company is a party or otherwise bound.</w:t>
      </w:r>
    </w:p>
    <w:p>
      <w:pPr>
        <w:spacing w:after="0" w:line="164" w:lineRule="exact"/>
        <w:rPr>
          <w:rFonts w:ascii="Times New Roman" w:cs="Times New Roman" w:eastAsia="Times New Roman" w:hAnsi="Times New Roman"/>
          <w:sz w:val="16"/>
          <w:szCs w:val="16"/>
          <w:color w:val="auto"/>
        </w:rPr>
      </w:pPr>
    </w:p>
    <w:p>
      <w:pPr>
        <w:ind w:left="-9" w:right="100" w:firstLine="883"/>
        <w:spacing w:after="0" w:line="253" w:lineRule="auto"/>
        <w:tabs>
          <w:tab w:leader="none" w:pos="109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outstanding contractual obligations of the Company or any of its Subsidiaries to repurchase, redeem or otherwise acquire any capital stock, voting securities or other equity interests or securities convertible into or exchangeable or exercisable for capital stock, voting securities or other equity interests of the Company or any of its Subsidiaries or to provide funds to, or make any investment (in the form of a loan, capital contribution or otherwise) in, any Subsidiary of the Company or any other Person. All Company Stock Options, Company Restricted Stock Awards and Company RSU Awards are evidenced by award agreements, in each case, in substantially the forms made available to Parent by the Company, and no award agreement contains terms that are materially inconsistent with the applicable forms. There are no declared or accrued unpaid dividends with respect to any Company Stock.</w:t>
      </w:r>
    </w:p>
    <w:p>
      <w:pPr>
        <w:spacing w:after="0" w:line="165" w:lineRule="exact"/>
        <w:rPr>
          <w:rFonts w:ascii="Times New Roman" w:cs="Times New Roman" w:eastAsia="Times New Roman" w:hAnsi="Times New Roman"/>
          <w:sz w:val="16"/>
          <w:szCs w:val="16"/>
          <w:color w:val="auto"/>
        </w:rPr>
      </w:pPr>
    </w:p>
    <w:p>
      <w:pPr>
        <w:ind w:left="-9" w:right="40" w:firstLine="883"/>
        <w:spacing w:after="0" w:line="252" w:lineRule="auto"/>
        <w:tabs>
          <w:tab w:leader="none" w:pos="1081"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outstanding share of capital stock of, or other equity interests in, each Subsidiary of the Company is duly authorized, validly issued, fully paid and non-assessable; each such share or interest is owned by the Company or another of its wholly owned Subsidiaries free and clear of all Encumbrances and free of any restriction on the right to vote, sell or otherwise dispose of such capital stock or other equity interests (in each case, other than any Encumbrance or restriction arising under applicable securities Laws); and each such share or interest was not issued in violation, in any material respect, of any preemptive rights, purchase option, call option, right of first refusal, anti-dilutive right, subscription right or any similar right under applicable Law, the organizational documents of any applicable Subsidiary or any agreement to which the Company or any Subsidiary is a party or otherwise bound. Except for the capital stock of, or other equity interest in, its Subsidiaries, the Company does not own, directly or indirectly, any capital stock of, or other equity or similar interest in, any corporation, partnership, joint venture, association or other entity.</w:t>
      </w:r>
    </w:p>
    <w:p>
      <w:pPr>
        <w:spacing w:after="0" w:line="168" w:lineRule="exact"/>
        <w:rPr>
          <w:rFonts w:ascii="Times New Roman" w:cs="Times New Roman" w:eastAsia="Times New Roman" w:hAnsi="Times New Roman"/>
          <w:sz w:val="16"/>
          <w:szCs w:val="16"/>
          <w:color w:val="auto"/>
        </w:rPr>
      </w:pPr>
    </w:p>
    <w:p>
      <w:pPr>
        <w:ind w:left="-9" w:right="380" w:firstLine="883"/>
        <w:spacing w:after="0" w:line="263" w:lineRule="auto"/>
        <w:tabs>
          <w:tab w:leader="none" w:pos="109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no bonds, debentures, notes or other Indebtedness of the Company having the right to vote (or convertible into or exercisable for securities having the right to vote) on any matters on which stockholders of the Company may vote are issued or outstanding.</w:t>
      </w:r>
    </w:p>
    <w:p>
      <w:pPr>
        <w:spacing w:after="0" w:line="156" w:lineRule="exact"/>
        <w:rPr>
          <w:rFonts w:ascii="Times New Roman" w:cs="Times New Roman" w:eastAsia="Times New Roman" w:hAnsi="Times New Roman"/>
          <w:sz w:val="16"/>
          <w:szCs w:val="16"/>
          <w:color w:val="auto"/>
        </w:rPr>
      </w:pPr>
    </w:p>
    <w:p>
      <w:pPr>
        <w:ind w:left="-9" w:right="20" w:firstLine="883"/>
        <w:spacing w:after="0" w:line="255" w:lineRule="auto"/>
        <w:tabs>
          <w:tab w:leader="none" w:pos="1081"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the Investor Agreements, the Selling Investor Support Agreement and the Support Agreements, none of the Company or any of its Subsidiaries is party to any stockholder agreements, voting trusts, proxies or other similar agreements, arrangements or understandings with respect to the voting or transfer, or requiring registration, of the Company Common Stock or the Company Preferred Stock or other voting or equity interests in the Company or any of its Subsidiaries. The Company has made available to Parent a true and complete copy of the Investor Agreements (including any amendments thereto).</w:t>
      </w:r>
    </w:p>
    <w:p>
      <w:pPr>
        <w:spacing w:after="0" w:line="1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711"/>
          </w:cols>
          <w:pgMar w:left="1089" w:top="254" w:right="1099" w:bottom="1440" w:gutter="0" w:footer="0" w:header="0"/>
        </w:sectPr>
      </w:pPr>
    </w:p>
    <w:bookmarkStart w:id="49" w:name="page50"/>
    <w:bookmarkEnd w:id="49"/>
    <w:p>
      <w:pPr>
        <w:ind w:right="240" w:firstLine="883"/>
        <w:spacing w:after="0" w:line="278" w:lineRule="auto"/>
        <w:tabs>
          <w:tab w:leader="none" w:pos="107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Section 4.02(f) of the Company Disclosure Lette</w:t>
      </w:r>
      <w:r>
        <w:rPr>
          <w:rFonts w:ascii="Times New Roman" w:cs="Times New Roman" w:eastAsia="Times New Roman" w:hAnsi="Times New Roman"/>
          <w:sz w:val="16"/>
          <w:szCs w:val="16"/>
          <w:color w:val="auto"/>
        </w:rPr>
        <w:t>r sets forth a true and complete list as of the date hereof of each registered holder of Company Stock, showing the number of shares of each class or series of such capital stock held by each such holder.</w:t>
      </w:r>
    </w:p>
    <w:p>
      <w:pPr>
        <w:spacing w:after="0" w:line="144" w:lineRule="exact"/>
        <w:rPr>
          <w:rFonts w:ascii="Times New Roman" w:cs="Times New Roman" w:eastAsia="Times New Roman" w:hAnsi="Times New Roman"/>
          <w:sz w:val="16"/>
          <w:szCs w:val="16"/>
          <w:color w:val="auto"/>
        </w:rPr>
      </w:pPr>
    </w:p>
    <w:p>
      <w:pPr>
        <w:ind w:right="40" w:firstLine="883"/>
        <w:spacing w:after="0" w:line="252" w:lineRule="auto"/>
        <w:tabs>
          <w:tab w:leader="none" w:pos="109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Capitalization Schedule will, as of the Closing Date, be true and complete in all respects and the amounts set forth therein will be calculated pursuant to and in accordance with this Agreement, the Company’s certificate of incorporation and any applicable Plan (including the Company Stock Plan and any other Plans governing the terms of any Company Equity Awards). As of the Closing, (i) the number of shares of Company Stock set forth in the Closing Capitalization Schedule as being owned by a Person, or subject to Company Equity Awards owned by such Person, will constitute the entire interest of such Person in the issued and outstanding capital stock of, or any other equity or ownership interests in, the Company, and record ownership of such shares of Company Stock set forth in the Closing Capitalization Schedule is held by such Person and (ii) no Person not disclosed in the Closing Capitalization Schedule will be the record owner of, or have a right to acquire from the Company any shares of capital stock of, or any other equity or ownership interests in, the Company or options in respect of the foregoing.</w:t>
      </w:r>
    </w:p>
    <w:p>
      <w:pPr>
        <w:spacing w:after="0" w:line="168" w:lineRule="exact"/>
        <w:rPr>
          <w:sz w:val="20"/>
          <w:szCs w:val="20"/>
          <w:color w:val="auto"/>
        </w:rPr>
      </w:pPr>
    </w:p>
    <w:p>
      <w:pPr>
        <w:ind w:firstLine="874"/>
        <w:spacing w:after="0" w:line="251"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u w:val="single" w:color="auto"/>
          <w:color w:val="auto"/>
        </w:rPr>
        <w:t>Authority Relative to This Agreement; Vote Required</w:t>
      </w:r>
      <w:r>
        <w:rPr>
          <w:rFonts w:ascii="Times New Roman" w:cs="Times New Roman" w:eastAsia="Times New Roman" w:hAnsi="Times New Roman"/>
          <w:sz w:val="16"/>
          <w:szCs w:val="16"/>
          <w:color w:val="auto"/>
        </w:rPr>
        <w:t>. (a) The Company has all necessary corporate power and authority to execute and deliver this Agreement, and, subject to, with respect to the Mergers, obtaining the Company Stockholder Approvals and filing the Certificates of Merger with the Secretary of State of the State of Delaware as required by the DGCL and the DLLCA, as applicable, to perform its obligations hereunder and to consummate the Transactions. The execution and delivery of this Agreement by the Company and the consummation by the Company of the Transactions have been duly and validly authorized by all necessary corporate action, and no other corporate proceedings on the part of the Company are necessary to authorize this Agreement or to consummate the Transactions (other than, with respect to the Mergers, obtaining the Company Stockholder Approvals and filing the Certificates of Merger with the Secretary of State of the State of Delaware as required by the DGCL and the DLLCA, as applicable). This Agreement has been duly and validly executed and delivered by the Company and, assuming the due authorization, execution and delivery by Parent, First Merger Sub and Second Merger Sub, constitutes a legal, valid and binding obligation of the Company, enforceable against the Company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66" w:lineRule="exact"/>
        <w:rPr>
          <w:sz w:val="20"/>
          <w:szCs w:val="20"/>
          <w:color w:val="auto"/>
        </w:rPr>
      </w:pPr>
    </w:p>
    <w:p>
      <w:pPr>
        <w:jc w:val="both"/>
        <w:ind w:right="380" w:firstLine="883"/>
        <w:spacing w:after="0" w:line="258" w:lineRule="auto"/>
        <w:tabs>
          <w:tab w:leader="none" w:pos="109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by resolutions duly adopted by the Company Board (by the unanimous vote of all directors, including both Preferred Directors (as defined in the Company’s certificate of incorporation), present) at a meeting duly called and held on the date hereof and not subsequently rescinded, modified or withdrawn in any way prior to the date of this Agreement, has (i) determined that this Agreement and the Transactions are fair to, and in</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720"/>
          </w:cols>
          <w:pgMar w:left="1080" w:top="254" w:right="1099" w:bottom="1440" w:gutter="0" w:footer="0" w:header="0"/>
        </w:sectPr>
      </w:pPr>
    </w:p>
    <w:bookmarkStart w:id="50" w:name="page51"/>
    <w:bookmarkEnd w:id="50"/>
    <w:p>
      <w:pPr>
        <w:ind w:right="8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best interests of, the Company and its stockholders; (ii) approved and declared advisable this Agreement and the Transactions; (iii) adopted the Drag-Along Resolutions; (iv) resolved to recommend that the stockholders of the Company adopt this Agreement and (v) directed that this Agreement be submitted to the stockholders of the Company for adoption, which resolutions have not, as of the date hereof, been subsequently rescinded, modified or withdrawn in any way.</w:t>
      </w:r>
    </w:p>
    <w:p>
      <w:pPr>
        <w:spacing w:after="0" w:line="161" w:lineRule="exact"/>
        <w:rPr>
          <w:sz w:val="20"/>
          <w:szCs w:val="20"/>
          <w:color w:val="auto"/>
        </w:rPr>
      </w:pPr>
    </w:p>
    <w:p>
      <w:pPr>
        <w:ind w:firstLine="883"/>
        <w:spacing w:after="0" w:line="263" w:lineRule="auto"/>
        <w:tabs>
          <w:tab w:leader="none" w:pos="109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only votes of the holders of any class or series of capital stock of the Company necessary to adopt this Agreement and approve the Transactions are the Company Stockholder Approvals. The Selling Investors collectively hold a sufficient number of shares of Company Common Stock and Company Preferred Stock to deliver the Company Stockholder Approvals without further stockholder support.</w:t>
      </w:r>
    </w:p>
    <w:p>
      <w:pPr>
        <w:spacing w:after="0" w:line="156" w:lineRule="exact"/>
        <w:rPr>
          <w:rFonts w:ascii="Times New Roman" w:cs="Times New Roman" w:eastAsia="Times New Roman" w:hAnsi="Times New Roman"/>
          <w:sz w:val="16"/>
          <w:szCs w:val="16"/>
          <w:color w:val="auto"/>
        </w:rPr>
      </w:pPr>
    </w:p>
    <w:p>
      <w:pPr>
        <w:jc w:val="both"/>
        <w:ind w:right="100" w:firstLine="883"/>
        <w:spacing w:after="0" w:line="263" w:lineRule="auto"/>
        <w:tabs>
          <w:tab w:leader="none" w:pos="109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Agreement is in full force and effect and has not been amended in any manner. To the knowledge of the Company, there is no contract or other agreement in effect that would prevent or disable the effectiveness of the Drag-Along or restrict the exercise or effectiveness of the Drag-Along, in each case, with respect to the Transactions.</w:t>
      </w:r>
    </w:p>
    <w:p>
      <w:pPr>
        <w:spacing w:after="0" w:line="156" w:lineRule="exact"/>
        <w:rPr>
          <w:rFonts w:ascii="Times New Roman" w:cs="Times New Roman" w:eastAsia="Times New Roman" w:hAnsi="Times New Roman"/>
          <w:sz w:val="16"/>
          <w:szCs w:val="16"/>
          <w:color w:val="auto"/>
        </w:rPr>
      </w:pPr>
    </w:p>
    <w:p>
      <w:pPr>
        <w:ind w:firstLine="883"/>
        <w:spacing w:after="0" w:line="263" w:lineRule="auto"/>
        <w:tabs>
          <w:tab w:leader="none" w:pos="109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distribution of Merger Consideration to the stockholders of the Company pursuant to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will satisfy the requirements of Section 2.1 and Section 2.2 of Part B Article Fourth and Section 7 of Part A Article Fourth of the Company’s certificate of incorporation and (ii) the Mergers will constitute a Deemed Liquidation Event (as defined in the Company’s certificate of incorporation).</w:t>
      </w:r>
    </w:p>
    <w:p>
      <w:pPr>
        <w:spacing w:after="0" w:line="157" w:lineRule="exact"/>
        <w:rPr>
          <w:sz w:val="20"/>
          <w:szCs w:val="20"/>
          <w:color w:val="auto"/>
        </w:rPr>
      </w:pPr>
    </w:p>
    <w:p>
      <w:pPr>
        <w:ind w:firstLine="874"/>
        <w:spacing w:after="0" w:line="251"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u w:val="single" w:color="auto"/>
          <w:color w:val="auto"/>
        </w:rPr>
        <w:t>No Conflict; Required Filings and Consents</w:t>
      </w:r>
      <w:r>
        <w:rPr>
          <w:rFonts w:ascii="Times New Roman" w:cs="Times New Roman" w:eastAsia="Times New Roman" w:hAnsi="Times New Roman"/>
          <w:sz w:val="16"/>
          <w:szCs w:val="16"/>
          <w:color w:val="auto"/>
        </w:rPr>
        <w:t xml:space="preserve">. (a) The execution and delivery of this Agreement by the Company do not, and the performance of this Agreement by the Company, and the consummation of the Transactions, will not, (i) conflict with or violate the certificate of incorporation, bylaws or other equivalent organizational documents of (A) the Company or (B) any of its Subsidiaries, (ii) assuming all consents, approvals, authorizations and other actions described in </w:t>
      </w:r>
      <w:r>
        <w:rPr>
          <w:rFonts w:ascii="Times New Roman" w:cs="Times New Roman" w:eastAsia="Times New Roman" w:hAnsi="Times New Roman"/>
          <w:sz w:val="16"/>
          <w:szCs w:val="16"/>
          <w:u w:val="single" w:color="auto"/>
          <w:color w:val="auto"/>
        </w:rPr>
        <w:t>Section 4.04(b)</w:t>
      </w:r>
      <w:r>
        <w:rPr>
          <w:rFonts w:ascii="Times New Roman" w:cs="Times New Roman" w:eastAsia="Times New Roman" w:hAnsi="Times New Roman"/>
          <w:sz w:val="16"/>
          <w:szCs w:val="16"/>
          <w:color w:val="auto"/>
        </w:rPr>
        <w:t xml:space="preserve"> have been obtained or taken and all filings and obligations described in </w:t>
      </w:r>
      <w:r>
        <w:rPr>
          <w:rFonts w:ascii="Times New Roman" w:cs="Times New Roman" w:eastAsia="Times New Roman" w:hAnsi="Times New Roman"/>
          <w:sz w:val="16"/>
          <w:szCs w:val="16"/>
          <w:u w:val="single" w:color="auto"/>
          <w:color w:val="auto"/>
        </w:rPr>
        <w:t>Section 4.04(b)</w:t>
      </w:r>
      <w:r>
        <w:rPr>
          <w:rFonts w:ascii="Times New Roman" w:cs="Times New Roman" w:eastAsia="Times New Roman" w:hAnsi="Times New Roman"/>
          <w:sz w:val="16"/>
          <w:szCs w:val="16"/>
          <w:color w:val="auto"/>
        </w:rPr>
        <w:t xml:space="preserve"> have been made or satisfied, conflict with or violate any Law applicable to the Company or any of its Subsidiaries or by which any property or asset of the Company or any of its Subsidiaries is bound,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the Company or any of its Subsidiaries pursuant to, any contract, Company Permit or other instrument or obligation to which the Company or any of its Subsidiaries is a party or by which the Company or any of its Subsidiaries or any of their respective assets or properties is bound, except, with respect to clauses (i)(B), (ii) and (iii) of this </w:t>
      </w:r>
      <w:r>
        <w:rPr>
          <w:rFonts w:ascii="Times New Roman" w:cs="Times New Roman" w:eastAsia="Times New Roman" w:hAnsi="Times New Roman"/>
          <w:sz w:val="16"/>
          <w:szCs w:val="16"/>
          <w:u w:val="single" w:color="auto"/>
          <w:color w:val="auto"/>
        </w:rPr>
        <w:t>Section 4.04(a)</w:t>
      </w:r>
      <w:r>
        <w:rPr>
          <w:rFonts w:ascii="Times New Roman" w:cs="Times New Roman" w:eastAsia="Times New Roman" w:hAnsi="Times New Roman"/>
          <w:sz w:val="16"/>
          <w:szCs w:val="16"/>
          <w:color w:val="auto"/>
        </w:rPr>
        <w:t>, for any such conflicts, violations, breaches, defaults or other occurrences which would not, individually or in the aggregate, reasonably be expected to have a Company Material Adverse Effect.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720"/>
          </w:cols>
          <w:pgMar w:left="1080" w:top="254" w:right="1099" w:bottom="1440" w:gutter="0" w:footer="0" w:header="0"/>
        </w:sectPr>
      </w:pPr>
    </w:p>
    <w:bookmarkStart w:id="51" w:name="page52"/>
    <w:bookmarkEnd w:id="51"/>
    <w:p>
      <w:pPr>
        <w:jc w:val="both"/>
        <w:ind w:firstLine="883"/>
        <w:spacing w:after="0" w:line="272" w:lineRule="auto"/>
        <w:tabs>
          <w:tab w:leader="none" w:pos="1098"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execution and delivery of this Agreement by the Company do not, and the performance of this Agreement by the Company and the consummation of the Transactions will not, require any consent, approval, authorization or permit of, or filing with or notification to, any Governmental Authority, except (i) applicable requirements of the Securities Act (including in connection with the Registration Statement) or any Blue Sky Laws,</w:t>
      </w:r>
    </w:p>
    <w:p>
      <w:pPr>
        <w:spacing w:after="0" w:line="1" w:lineRule="exact"/>
        <w:rPr>
          <w:rFonts w:ascii="Times New Roman" w:cs="Times New Roman" w:eastAsia="Times New Roman" w:hAnsi="Times New Roman"/>
          <w:sz w:val="15"/>
          <w:szCs w:val="15"/>
          <w:color w:val="auto"/>
        </w:rPr>
      </w:pPr>
    </w:p>
    <w:p>
      <w:pPr>
        <w:ind w:right="200" w:firstLine="9"/>
        <w:spacing w:after="0" w:line="251" w:lineRule="auto"/>
        <w:tabs>
          <w:tab w:leader="none" w:pos="23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pre-merger notification requirements of the HSR Act, the requirements of any other Antitrust Laws and the filing of the Certificates of Merger with the Secretary of State of the State of Delaware as required by the DGCL or the DLLCA, as applicable, or (iii) where the failure to obtain such consents, approvals, authorizations or permits, or to make such filings or notifications, would not, individually or in the aggregate, reasonably be expected to have a Company Material Adverse Effect.</w:t>
      </w:r>
    </w:p>
    <w:p>
      <w:pPr>
        <w:spacing w:after="0" w:line="165" w:lineRule="exact"/>
        <w:rPr>
          <w:sz w:val="20"/>
          <w:szCs w:val="20"/>
          <w:color w:val="auto"/>
        </w:rPr>
      </w:pPr>
    </w:p>
    <w:p>
      <w:pPr>
        <w:ind w:right="120"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4.05 </w:t>
      </w:r>
      <w:r>
        <w:rPr>
          <w:rFonts w:ascii="Times New Roman" w:cs="Times New Roman" w:eastAsia="Times New Roman" w:hAnsi="Times New Roman"/>
          <w:sz w:val="16"/>
          <w:szCs w:val="16"/>
          <w:u w:val="single" w:color="auto"/>
          <w:color w:val="auto"/>
        </w:rPr>
        <w:t>Permits; Compliance</w:t>
      </w:r>
      <w:r>
        <w:rPr>
          <w:rFonts w:ascii="Times New Roman" w:cs="Times New Roman" w:eastAsia="Times New Roman" w:hAnsi="Times New Roman"/>
          <w:sz w:val="16"/>
          <w:szCs w:val="16"/>
          <w:color w:val="auto"/>
        </w:rPr>
        <w:t>. (a) Since January 1, 2018, the Company and its Subsidiaries have operated and conducted their businesses in compliance with all Laws of any Governmental Authority applicable to their respective businesses or operations, except where such non-compliance would not, individually or in the aggregate, reasonably be expected to have a Company Material Adverse Effect. Since January 1, 2018, neither the Company nor any of the Subsidiaries has received any written notice alleging, or been charged by a Governmental Authority with, any violation of any Laws, except where such violation would not, individually or in the aggregate, reasonably be expected to have a Company Material Adverse Effect.</w:t>
      </w:r>
    </w:p>
    <w:p>
      <w:pPr>
        <w:spacing w:after="0" w:line="165" w:lineRule="exact"/>
        <w:rPr>
          <w:sz w:val="20"/>
          <w:szCs w:val="20"/>
          <w:color w:val="auto"/>
        </w:rPr>
      </w:pPr>
    </w:p>
    <w:p>
      <w:pPr>
        <w:ind w:right="40" w:firstLine="883"/>
        <w:spacing w:after="0" w:line="252" w:lineRule="auto"/>
        <w:tabs>
          <w:tab w:leader="none" w:pos="109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and each of its Subsidiaries has obtained and holds all Company Permits and all such Company Permits are valid and in full force and effect, except where the failure to hold the same or to be in full force and effect would not, individually or in the aggregate, reasonably be expected to have a Company Material Adverse Effect. In addition, (i) the Company and each of its Subsidiaries have not been in default under, or violation of, any such Company Permit, (ii) no suspension or cancellation of any of the Company Permits is pending or, to the knowledge of the Company, threatened, and (iii) the Company has taken all measures reasonably necessary (including by making all applications or filings required by applicable Law or the applicable Governmental Authority) to extend any Company Permit to prevent the expiration thereof, except, with respect to clauses (i), (ii) and (iii) of this </w:t>
      </w:r>
      <w:r>
        <w:rPr>
          <w:rFonts w:ascii="Times New Roman" w:cs="Times New Roman" w:eastAsia="Times New Roman" w:hAnsi="Times New Roman"/>
          <w:sz w:val="16"/>
          <w:szCs w:val="16"/>
          <w:u w:val="single" w:color="auto"/>
          <w:color w:val="auto"/>
        </w:rPr>
        <w:t>Section 4.05(b)</w:t>
      </w:r>
      <w:r>
        <w:rPr>
          <w:rFonts w:ascii="Times New Roman" w:cs="Times New Roman" w:eastAsia="Times New Roman" w:hAnsi="Times New Roman"/>
          <w:sz w:val="16"/>
          <w:szCs w:val="16"/>
          <w:color w:val="auto"/>
        </w:rPr>
        <w:t>, as would not, individually or in the aggregate, reasonably be expected to have a Company Material Adverse Effect.</w:t>
      </w:r>
    </w:p>
    <w:p>
      <w:pPr>
        <w:spacing w:after="0" w:line="168" w:lineRule="exact"/>
        <w:rPr>
          <w:sz w:val="20"/>
          <w:szCs w:val="20"/>
          <w:color w:val="auto"/>
        </w:rPr>
      </w:pPr>
    </w:p>
    <w:p>
      <w:pPr>
        <w:ind w:right="120"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4.06 </w:t>
      </w:r>
      <w:r>
        <w:rPr>
          <w:rFonts w:ascii="Times New Roman" w:cs="Times New Roman" w:eastAsia="Times New Roman" w:hAnsi="Times New Roman"/>
          <w:sz w:val="16"/>
          <w:szCs w:val="16"/>
          <w:u w:val="single" w:color="auto"/>
          <w:color w:val="auto"/>
        </w:rPr>
        <w:t>Company Registration Statement; Financial Statements; Undisclosed Material Liabilities</w:t>
      </w:r>
      <w:r>
        <w:rPr>
          <w:rFonts w:ascii="Times New Roman" w:cs="Times New Roman" w:eastAsia="Times New Roman" w:hAnsi="Times New Roman"/>
          <w:sz w:val="16"/>
          <w:szCs w:val="16"/>
          <w:color w:val="auto"/>
        </w:rPr>
        <w:t>. (a) The Company has made available to Parent true and complete copies of all written correspondence with the SEC related to the Company Registration Statement. The Company Registration Statement, at the time it was filed and, if amended, as of the date of such amendment, complied in all material respects with all applicable requirements of the Securities Act and the rules and regulations promulgated thereunder, and did not, at the time it was filed and, if amended, as of the date of such amendment, contain any untrue statement of material fact or omit to state a material fact required to be stated therein or necessary in order to make the statements made therein, in the light of the circumstances under which they were made, not misleading.</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700"/>
          </w:cols>
          <w:pgMar w:left="1080" w:top="254" w:right="1119" w:bottom="1440" w:gutter="0" w:footer="0" w:header="0"/>
        </w:sectPr>
      </w:pPr>
    </w:p>
    <w:bookmarkStart w:id="52" w:name="page53"/>
    <w:bookmarkEnd w:id="52"/>
    <w:p>
      <w:pPr>
        <w:ind w:left="-20" w:right="20" w:firstLine="883"/>
        <w:spacing w:after="0" w:line="255" w:lineRule="auto"/>
        <w:tabs>
          <w:tab w:leader="none" w:pos="107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Each of the consolidated financial statements (including, in each case, any notes thereto) contained in the Company Registration Statement (collectively, the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was prepared in accordance with GAAP applied on a consistent basis throughout the periods indicated (except as may be indicated in the notes thereto) and each fairly presents, in all material respects, the consolidated financial condition, results of operations, changes in stockholders’ equity and cash flows of the Company and its consolidated Subsidiaries as of the respective dates thereof and for the respective periods indicated therein (subject, in the case of unaudited financial statements, to normal year-end adjustments).</w:t>
      </w:r>
    </w:p>
    <w:p>
      <w:pPr>
        <w:spacing w:after="0" w:line="164" w:lineRule="exact"/>
        <w:rPr>
          <w:rFonts w:ascii="Times New Roman" w:cs="Times New Roman" w:eastAsia="Times New Roman" w:hAnsi="Times New Roman"/>
          <w:sz w:val="16"/>
          <w:szCs w:val="16"/>
          <w:color w:val="auto"/>
        </w:rPr>
      </w:pPr>
    </w:p>
    <w:p>
      <w:pPr>
        <w:jc w:val="both"/>
        <w:ind w:left="-20" w:right="80" w:firstLine="883"/>
        <w:spacing w:after="0" w:line="277" w:lineRule="auto"/>
        <w:tabs>
          <w:tab w:leader="none" w:pos="107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the Company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spacing w:after="0" w:line="146" w:lineRule="exact"/>
        <w:rPr>
          <w:rFonts w:ascii="Times New Roman" w:cs="Times New Roman" w:eastAsia="Times New Roman" w:hAnsi="Times New Roman"/>
          <w:sz w:val="15"/>
          <w:szCs w:val="15"/>
          <w:color w:val="auto"/>
        </w:rPr>
      </w:pPr>
    </w:p>
    <w:p>
      <w:pPr>
        <w:ind w:left="-20" w:right="80" w:firstLine="883"/>
        <w:spacing w:after="0" w:line="253" w:lineRule="auto"/>
        <w:tabs>
          <w:tab w:leader="none" w:pos="107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any liabilities or obligations of any nature (whether accrued, absolute, contingent or otherwise), except liabilities (i) reflected or reserved against in the consolidated balance sheet (or the notes thereto) of the Company as of December 31, 2019, included in the Financial Statements, (ii) incurred after December 31, 2019 in the ordinary course of business, (iii) incurred in connection with the negotiation, execution, delivery or performance of, or pursuant to the terms of, this Agreement or the other Transaction Documents (for clarity, any liability caused by or resulting from a breach by the Company of this Agreement shall not be deemed a liability “incurred in connection with the negotiation, execution, delivery or performance of, or pursuant to the terms of, this Agreement”) or (iv) that would not, individually or in the aggregate, reasonably be expected to have a Company Material Adverse Effect.</w:t>
      </w:r>
    </w:p>
    <w:p>
      <w:pPr>
        <w:spacing w:after="0" w:line="165" w:lineRule="exact"/>
        <w:rPr>
          <w:rFonts w:ascii="Times New Roman" w:cs="Times New Roman" w:eastAsia="Times New Roman" w:hAnsi="Times New Roman"/>
          <w:sz w:val="16"/>
          <w:szCs w:val="16"/>
          <w:color w:val="auto"/>
        </w:rPr>
      </w:pPr>
    </w:p>
    <w:p>
      <w:pPr>
        <w:ind w:left="-20" w:firstLine="883"/>
        <w:spacing w:after="0" w:line="252" w:lineRule="auto"/>
        <w:tabs>
          <w:tab w:leader="none" w:pos="107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2018, none of the Company, the Company’s independent accountants, the Company Board or its audit committee has received any written, or to the knowledge of the Company, oral notification of any (i) “significant deficiency” in the internal controls over financial reporting of the Company; (ii) “material weakness” in the internal controls over financial reporting of the Company; or (iii) fraud, whether or not material, that involves management or other employees of the Company who have a significant role in the internal controls over financial reporting of the Company. Since January 1, 2018, there have been no material internal investigations regarding accounting, auditing or revenue recognition discussed with, reviewed by or initiated at the direction of the Chief Executive Officer, Chief Financial Officer or General Counsel of the Company or the Company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spacing w:after="0" w:line="165" w:lineRule="exact"/>
        <w:rPr>
          <w:rFonts w:ascii="Times New Roman" w:cs="Times New Roman" w:eastAsia="Times New Roman" w:hAnsi="Times New Roman"/>
          <w:sz w:val="16"/>
          <w:szCs w:val="16"/>
          <w:color w:val="auto"/>
        </w:rPr>
      </w:pPr>
    </w:p>
    <w:p>
      <w:pPr>
        <w:ind w:left="-20" w:right="620" w:firstLine="883"/>
        <w:spacing w:after="0" w:line="263" w:lineRule="auto"/>
        <w:tabs>
          <w:tab w:leader="none" w:pos="105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2018, (i) neither the Company nor any of its Subsidiaries has received any written or, to the knowledge of the Company, oral complaint, allegation, assertion or claim regarding accounting, internal accounting controls or auditing practices, procedures, methodologies or methods of the Company or any of its Subsidiaries, or unlawful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700"/>
          </w:cols>
          <w:pgMar w:left="1100" w:top="254" w:right="1099" w:bottom="1440" w:gutter="0" w:footer="0" w:header="0"/>
        </w:sectPr>
      </w:pPr>
    </w:p>
    <w:bookmarkStart w:id="53" w:name="page54"/>
    <w:bookmarkEnd w:id="53"/>
    <w:p>
      <w:pPr>
        <w:ind w:right="24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accounting or auditing matters with respect to the Company or any of its Subsidiaries, and (ii) no attorney representing the Company or any of its Subsidiaries, whether or not employed by the Company or any of its Subsidiaries, has reported evidence of a breach of fiduciary duty or similar violation by the Company or any of its Subsidiaries or any of their respective officers, directors, employees or agents to the Company Board or any committee thereof or to the General Counsel or Chief Executive Officer of the Company, except as, in each of (i) and (ii), has not had and would not, individually or in the aggregate, reasonably be expected to have a Company Material Adverse Effect.</w:t>
      </w:r>
    </w:p>
    <w:p>
      <w:pPr>
        <w:spacing w:after="0" w:line="165" w:lineRule="exact"/>
        <w:rPr>
          <w:sz w:val="20"/>
          <w:szCs w:val="20"/>
          <w:color w:val="auto"/>
        </w:rPr>
      </w:pPr>
    </w:p>
    <w:p>
      <w:pPr>
        <w:ind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4.07 </w:t>
      </w:r>
      <w:r>
        <w:rPr>
          <w:rFonts w:ascii="Times New Roman" w:cs="Times New Roman" w:eastAsia="Times New Roman" w:hAnsi="Times New Roman"/>
          <w:sz w:val="16"/>
          <w:szCs w:val="16"/>
          <w:u w:val="single" w:color="auto"/>
          <w:color w:val="auto"/>
        </w:rPr>
        <w:t>Absence of Certain Changes or Events</w:t>
      </w:r>
      <w:r>
        <w:rPr>
          <w:rFonts w:ascii="Times New Roman" w:cs="Times New Roman" w:eastAsia="Times New Roman" w:hAnsi="Times New Roman"/>
          <w:sz w:val="16"/>
          <w:szCs w:val="16"/>
          <w:color w:val="auto"/>
        </w:rPr>
        <w:t xml:space="preserve">. Since December 31, 2019, there has not been any Company Material Adverse Effect. From June 30, 2020 to the date of this Agreement, (a) the Company and its Subsidiaries have conducted their businesses in all material respects in the ordinary course and (b) neither the Company nor any of its Subsidiaries has taken any action that, if taken after the date of this Agreement, would constitute a breach of any of the covenants set forth in </w:t>
      </w:r>
      <w:r>
        <w:rPr>
          <w:rFonts w:ascii="Times New Roman" w:cs="Times New Roman" w:eastAsia="Times New Roman" w:hAnsi="Times New Roman"/>
          <w:sz w:val="16"/>
          <w:szCs w:val="16"/>
          <w:u w:val="single" w:color="auto"/>
          <w:color w:val="auto"/>
        </w:rPr>
        <w:t>Section 6.01(b)</w:t>
      </w:r>
      <w:r>
        <w:rPr>
          <w:rFonts w:ascii="Times New Roman" w:cs="Times New Roman" w:eastAsia="Times New Roman" w:hAnsi="Times New Roman"/>
          <w:sz w:val="16"/>
          <w:szCs w:val="16"/>
          <w:color w:val="auto"/>
        </w:rPr>
        <w:t xml:space="preserve"> (with the exception of those set forth in clauses (i), (ii), (iv), (viii), (xii), (xiv), (xv), (xix), (xx) and (xxii) (to the extent related to the foregoing)), except where such action has not had, and would not, individually or in the aggregate, reasonably be expected to have a Company Material Adverse Effect.</w:t>
      </w:r>
    </w:p>
    <w:p>
      <w:pPr>
        <w:spacing w:after="0" w:line="165" w:lineRule="exact"/>
        <w:rPr>
          <w:sz w:val="20"/>
          <w:szCs w:val="20"/>
          <w:color w:val="auto"/>
        </w:rPr>
      </w:pPr>
    </w:p>
    <w:p>
      <w:pPr>
        <w:ind w:firstLine="874"/>
        <w:spacing w:after="0" w:line="251" w:lineRule="auto"/>
        <w:rPr>
          <w:sz w:val="20"/>
          <w:szCs w:val="20"/>
          <w:color w:val="auto"/>
        </w:rPr>
      </w:pPr>
      <w:r>
        <w:rPr>
          <w:rFonts w:ascii="Times New Roman" w:cs="Times New Roman" w:eastAsia="Times New Roman" w:hAnsi="Times New Roman"/>
          <w:sz w:val="16"/>
          <w:szCs w:val="16"/>
          <w:color w:val="auto"/>
        </w:rPr>
        <w:t xml:space="preserve">Section 4.08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Except as set forth on Section 4.08 of the Company Disclosure Letter, there is no Action pending or, to the knowledge of the Company, threatened (i) against or involving the Company, any of its Subsidiaries or any of their respective assets, officers, directors or key employees (in the case of officers, directors or key employees, arising out of such officer’s, director’s or key employee’s relationship with the Company) that, individually or in the aggregate, has or would reasonably be expected to have a Company Material Adverse Effect, or (ii) that seeks to restrain or enjoin the consummation of the Transactions. There is not any Order of any Governmental Authority or arbitrator outstanding against, or, to the knowledge of the Company, investigation by any Governmental Authority involving, the Company, any of its Subsidiaries or any of their respective assets, officers, directors or key employees (in the case of such officers, directors or key employees, such as would affect the Company or any of its Subsidiaries) that, individually or in the aggregate, has or would reasonably be expected to have a Company Material Adverse Effect. There is no material Action pending by the Company or any of its Subsidiaries, or which the Company or any of its Subsidiaries intends to initiate, against any other Person.</w:t>
      </w:r>
    </w:p>
    <w:p>
      <w:pPr>
        <w:spacing w:after="0" w:line="170" w:lineRule="exact"/>
        <w:rPr>
          <w:sz w:val="20"/>
          <w:szCs w:val="20"/>
          <w:color w:val="auto"/>
        </w:rPr>
      </w:pPr>
    </w:p>
    <w:p>
      <w:pPr>
        <w:ind w:right="20" w:firstLine="874"/>
        <w:spacing w:after="0" w:line="253" w:lineRule="auto"/>
        <w:rPr>
          <w:sz w:val="20"/>
          <w:szCs w:val="20"/>
          <w:color w:val="auto"/>
        </w:rPr>
      </w:pPr>
      <w:r>
        <w:rPr>
          <w:rFonts w:ascii="Times New Roman" w:cs="Times New Roman" w:eastAsia="Times New Roman" w:hAnsi="Times New Roman"/>
          <w:sz w:val="16"/>
          <w:szCs w:val="16"/>
          <w:color w:val="auto"/>
        </w:rPr>
        <w:t xml:space="preserve">Section 4.09 </w:t>
      </w:r>
      <w:r>
        <w:rPr>
          <w:rFonts w:ascii="Times New Roman" w:cs="Times New Roman" w:eastAsia="Times New Roman" w:hAnsi="Times New Roman"/>
          <w:sz w:val="16"/>
          <w:szCs w:val="16"/>
          <w:u w:val="single" w:color="auto"/>
          <w:color w:val="auto"/>
        </w:rPr>
        <w:t>Employee Benefit Plans</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Section 4.09(a) of the Company Disclosure Letter</w:t>
      </w:r>
      <w:r>
        <w:rPr>
          <w:rFonts w:ascii="Times New Roman" w:cs="Times New Roman" w:eastAsia="Times New Roman" w:hAnsi="Times New Roman"/>
          <w:sz w:val="16"/>
          <w:szCs w:val="16"/>
          <w:color w:val="auto"/>
        </w:rPr>
        <w:t xml:space="preserve"> lists each material Plan as of the date hereof. To the extent applicable, with respect to each material Plan, true and correct copies of the following have been delivered or made available to Parent by the Company: (i) all Plan documents (including all amendments and attachments thereto), or written summaries of any such Plan not in writing; (ii) all related trust documents, insurance contracts or other funding arrangements and the most recent actuarial report; (iii) the most recent annual report (Form 5500) filed with the IRS or comparable report filed with any other applicable Governmental Authority; (iv) the most recent determination, opinion or advisory letter from the IRS or other applicable Governmental Authority; and (v) the most recent summary plan description and any summary of material modification thereto.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700"/>
          </w:cols>
          <w:pgMar w:left="1080" w:top="254" w:right="1119" w:bottom="1440" w:gutter="0" w:footer="0" w:header="0"/>
        </w:sectPr>
      </w:pPr>
    </w:p>
    <w:bookmarkStart w:id="54" w:name="page55"/>
    <w:bookmarkEnd w:id="54"/>
    <w:p>
      <w:pPr>
        <w:ind w:firstLine="883"/>
        <w:spacing w:after="0" w:line="254" w:lineRule="auto"/>
        <w:tabs>
          <w:tab w:leader="none" w:pos="109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Except as would not, individually or in the aggregate, reasonably be expected to have a Company Material Adverse Effect, (i) the terms of each Plan comply with applicable Law and each Plan has been operated and funded in accordance with its terms and applicable Law and (ii) the Company and its Subsidiaries are in compliance with all Laws relating to the Plans. Except as would not, individually or in the aggregate, reasonably be expected to have a Company Material Adverse Effect, no Action is pending or, to the knowledge of the Company, threatened with respect to any Plan (other than claims for benefits in the ordinary course), and, to the knowledge of the Company, there are not any facts that would be reasonably expected to give rise to any such Action.</w:t>
      </w:r>
    </w:p>
    <w:p>
      <w:pPr>
        <w:spacing w:after="0" w:line="164" w:lineRule="exact"/>
        <w:rPr>
          <w:rFonts w:ascii="Times New Roman" w:cs="Times New Roman" w:eastAsia="Times New Roman" w:hAnsi="Times New Roman"/>
          <w:sz w:val="16"/>
          <w:szCs w:val="16"/>
          <w:color w:val="auto"/>
        </w:rPr>
      </w:pPr>
    </w:p>
    <w:p>
      <w:pPr>
        <w:ind w:right="20" w:firstLine="883"/>
        <w:spacing w:after="0" w:line="263" w:lineRule="auto"/>
        <w:tabs>
          <w:tab w:leader="none" w:pos="10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Plan that is intended to be qualified under Section 401(a) of the Code either has received a favorable determination letter from the IRS or may rely upon a favorable prototype opinion letter from the IRS as to its qualified status and, to the knowledge of the Company, there are no facts or circumstances that could reasonably be expected to adversely affect such qualification.</w:t>
      </w:r>
    </w:p>
    <w:p>
      <w:pPr>
        <w:spacing w:after="0" w:line="156" w:lineRule="exact"/>
        <w:rPr>
          <w:rFonts w:ascii="Times New Roman" w:cs="Times New Roman" w:eastAsia="Times New Roman" w:hAnsi="Times New Roman"/>
          <w:sz w:val="16"/>
          <w:szCs w:val="16"/>
          <w:color w:val="auto"/>
        </w:rPr>
      </w:pPr>
    </w:p>
    <w:p>
      <w:pPr>
        <w:ind w:right="120" w:firstLine="883"/>
        <w:spacing w:after="0" w:line="255" w:lineRule="auto"/>
        <w:tabs>
          <w:tab w:leader="none" w:pos="109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incurred or reasonably expects to incur any liability (actual or contingent) under, arising out of or by operation of Title IV of ERISA (other than liability for premiums to the PBGC arising in the ordinary course), except as would not, individually or in the aggregate, reasonably be expected to have a Company Material Adverse Effect. Neither the Company nor any of its Subsidiaries has, during the six-year period ending on the date hereof, maintained, contributed to or been required to contribute to any “multiemployer plan” as defined in Section 3(37) or 4001(a)(3) of ERISA.</w:t>
      </w:r>
    </w:p>
    <w:p>
      <w:pPr>
        <w:spacing w:after="0" w:line="164" w:lineRule="exact"/>
        <w:rPr>
          <w:rFonts w:ascii="Times New Roman" w:cs="Times New Roman" w:eastAsia="Times New Roman" w:hAnsi="Times New Roman"/>
          <w:sz w:val="16"/>
          <w:szCs w:val="16"/>
          <w:color w:val="auto"/>
        </w:rPr>
      </w:pPr>
    </w:p>
    <w:p>
      <w:pPr>
        <w:ind w:right="20" w:firstLine="883"/>
        <w:spacing w:after="0" w:line="271" w:lineRule="auto"/>
        <w:tabs>
          <w:tab w:leader="none" w:pos="109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provided in this Agreement or as set forth on </w:t>
      </w:r>
      <w:r>
        <w:rPr>
          <w:rFonts w:ascii="Times New Roman" w:cs="Times New Roman" w:eastAsia="Times New Roman" w:hAnsi="Times New Roman"/>
          <w:sz w:val="15"/>
          <w:szCs w:val="15"/>
          <w:u w:val="single" w:color="auto"/>
          <w:color w:val="auto"/>
        </w:rPr>
        <w:t>Section 4.09(e) of the Company Disclosure Letter</w:t>
      </w:r>
      <w:r>
        <w:rPr>
          <w:rFonts w:ascii="Times New Roman" w:cs="Times New Roman" w:eastAsia="Times New Roman" w:hAnsi="Times New Roman"/>
          <w:sz w:val="15"/>
          <w:szCs w:val="15"/>
          <w:color w:val="auto"/>
        </w:rPr>
        <w:t>, neither the execution of this Agreement nor the consummation of the Transactions will (either alone or in connection with any other event, including a termination of employment or service of any current or former Service Provider in connection with the Transactions): (i) entitle any current or former Service Provider to severance pay or benefits or any increase in severance pay or benefits upon any termination of employment or service with the Company or any of its Subsidiaries; and (ii) accelerate the time of payment or vesting or trigger any payment or funding (through a grantor trust or otherwise) of compensation or benefits under, or increase the amount payable pursuant to, any of the Plans to any current or former Service Provider. No payment or benefit that will or may be made by the Company or its Subsidiaries to any of their respective current or former Service Providers is reasonably expected to, individually or in combination with any other such payment or benefit, constitute an “excess parachute payment”, as defined in Section 280G(b)(1) of the Code.</w:t>
      </w:r>
    </w:p>
    <w:p>
      <w:pPr>
        <w:spacing w:after="0" w:line="155" w:lineRule="exact"/>
        <w:rPr>
          <w:rFonts w:ascii="Times New Roman" w:cs="Times New Roman" w:eastAsia="Times New Roman" w:hAnsi="Times New Roman"/>
          <w:sz w:val="15"/>
          <w:szCs w:val="15"/>
          <w:color w:val="auto"/>
        </w:rPr>
      </w:pPr>
    </w:p>
    <w:p>
      <w:pPr>
        <w:ind w:right="100" w:firstLine="883"/>
        <w:spacing w:after="0" w:line="263" w:lineRule="auto"/>
        <w:tabs>
          <w:tab w:leader="none" w:pos="107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any obligation to provide health or other welfare benefits to any current or former Service Provider following any termination of employment under any Plan (other than continuation coverage required under Section 4980(B)(f) of the Code or other applicable Law or for which the Service Provider bears the full cost).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720"/>
          </w:cols>
          <w:pgMar w:left="1080" w:top="254" w:right="1099" w:bottom="1440" w:gutter="0" w:footer="0" w:header="0"/>
        </w:sectPr>
      </w:pPr>
    </w:p>
    <w:bookmarkStart w:id="55" w:name="page56"/>
    <w:bookmarkEnd w:id="55"/>
    <w:p>
      <w:pPr>
        <w:ind w:firstLine="883"/>
        <w:spacing w:after="0" w:line="278" w:lineRule="auto"/>
        <w:tabs>
          <w:tab w:leader="none" w:pos="109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 current or former Service Provider is entitled to any gross-up, make-whole or reimbursement payment from the Company or any of its Subsidiaries in respect of any Tax imposed on such Service Provider.</w:t>
      </w:r>
    </w:p>
    <w:p>
      <w:pPr>
        <w:spacing w:after="0" w:line="144" w:lineRule="exact"/>
        <w:rPr>
          <w:rFonts w:ascii="Times New Roman" w:cs="Times New Roman" w:eastAsia="Times New Roman" w:hAnsi="Times New Roman"/>
          <w:sz w:val="16"/>
          <w:szCs w:val="16"/>
          <w:color w:val="auto"/>
        </w:rPr>
      </w:pPr>
    </w:p>
    <w:p>
      <w:pPr>
        <w:ind w:right="40" w:firstLine="883"/>
        <w:spacing w:after="0" w:line="263" w:lineRule="auto"/>
        <w:tabs>
          <w:tab w:leader="none" w:pos="109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(i) applied for or received any loan under the Paycheck Protection Program under the CARES Act or (ii) deferred any Taxes under Section 2302 of the CARES Act or claimed any Tax credit under Section 2301 of the CARES Act or Sections 7001-7003 of the FFCRA or I.R.S. Notice 2020-65.</w:t>
      </w:r>
    </w:p>
    <w:p>
      <w:pPr>
        <w:spacing w:after="0" w:line="156" w:lineRule="exact"/>
        <w:rPr>
          <w:rFonts w:ascii="Times New Roman" w:cs="Times New Roman" w:eastAsia="Times New Roman" w:hAnsi="Times New Roman"/>
          <w:sz w:val="16"/>
          <w:szCs w:val="16"/>
          <w:color w:val="auto"/>
        </w:rPr>
      </w:pPr>
    </w:p>
    <w:p>
      <w:pPr>
        <w:ind w:right="260" w:firstLine="883"/>
        <w:spacing w:after="0" w:line="278" w:lineRule="auto"/>
        <w:tabs>
          <w:tab w:leader="none" w:pos="106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each Non-U.S. Benefit Plan, except as would not, individually or in the aggregate, reasonably be expected to have a Company Material Adverse Effect:</w:t>
      </w:r>
    </w:p>
    <w:p>
      <w:pPr>
        <w:spacing w:after="0" w:line="144" w:lineRule="exact"/>
        <w:rPr>
          <w:rFonts w:ascii="Times New Roman" w:cs="Times New Roman" w:eastAsia="Times New Roman" w:hAnsi="Times New Roman"/>
          <w:sz w:val="16"/>
          <w:szCs w:val="16"/>
          <w:color w:val="auto"/>
        </w:rPr>
      </w:pPr>
    </w:p>
    <w:p>
      <w:pPr>
        <w:ind w:left="400" w:firstLine="836"/>
        <w:spacing w:after="0" w:line="263" w:lineRule="auto"/>
        <w:tabs>
          <w:tab w:leader="none" w:pos="1428"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contributions to each Non-U.S. Benefit Plan required to be made by the Company or its Subsidiaries by Law or by the terms of such Non-U.S. Benefit Plan or pursuant to any mandatory provident fund schemes have been made or, if applicable, accrued in accordance with generally accepted accounting practices in the applicable jurisdiction applied to such matter;</w:t>
      </w:r>
    </w:p>
    <w:p>
      <w:pPr>
        <w:spacing w:after="0" w:line="156" w:lineRule="exact"/>
        <w:rPr>
          <w:rFonts w:ascii="Times New Roman" w:cs="Times New Roman" w:eastAsia="Times New Roman" w:hAnsi="Times New Roman"/>
          <w:sz w:val="16"/>
          <w:szCs w:val="16"/>
          <w:color w:val="auto"/>
        </w:rPr>
      </w:pPr>
    </w:p>
    <w:p>
      <w:pPr>
        <w:ind w:left="400" w:right="400" w:firstLine="836"/>
        <w:spacing w:after="0" w:line="278" w:lineRule="auto"/>
        <w:tabs>
          <w:tab w:leader="none" w:pos="1472"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Non-U.S. Benefit Plan required to be registered has been so registered and has been maintained in good standing with applicable Governmental Authorities; and</w:t>
      </w:r>
    </w:p>
    <w:p>
      <w:pPr>
        <w:spacing w:after="0" w:line="144" w:lineRule="exact"/>
        <w:rPr>
          <w:rFonts w:ascii="Times New Roman" w:cs="Times New Roman" w:eastAsia="Times New Roman" w:hAnsi="Times New Roman"/>
          <w:sz w:val="16"/>
          <w:szCs w:val="16"/>
          <w:color w:val="auto"/>
        </w:rPr>
      </w:pPr>
    </w:p>
    <w:p>
      <w:pPr>
        <w:ind w:left="1520" w:hanging="284"/>
        <w:spacing w:after="0"/>
        <w:tabs>
          <w:tab w:leader="none" w:pos="152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Non-U.S. Benefit Plan is in compliance with any funding requirements mandated by applicable Law.</w:t>
      </w:r>
    </w:p>
    <w:p>
      <w:pPr>
        <w:spacing w:after="0" w:line="197" w:lineRule="exact"/>
        <w:rPr>
          <w:sz w:val="20"/>
          <w:szCs w:val="20"/>
          <w:color w:val="auto"/>
        </w:rPr>
      </w:pPr>
    </w:p>
    <w:p>
      <w:pPr>
        <w:ind w:right="60" w:firstLine="874"/>
        <w:spacing w:after="0" w:line="253"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Labor and Employment Matters</w:t>
      </w:r>
      <w:r>
        <w:rPr>
          <w:rFonts w:ascii="Times New Roman" w:cs="Times New Roman" w:eastAsia="Times New Roman" w:hAnsi="Times New Roman"/>
          <w:sz w:val="16"/>
          <w:szCs w:val="16"/>
          <w:color w:val="auto"/>
        </w:rPr>
        <w:t>. (a) Neither the Company nor any of its Subsidiaries is a party to any collective bargaining agreement or similar contract applicable to any current or former Service Provider. Except as would not, individually or in the aggregate, reasonably be expected to have a Company Material Adverse Effect, (i) from January 1, 2018 through the date of this Agreement, there have not been any strikes or other labor disputes or work stoppages or organizational campaigns, petitions or other unionization activities seeking recognition of a collective bargaining unit relating to any current or former Service Provider, (ii) there are no strikes or other labor disputes or work stoppages or campaigns, petitions or other activities ongoing or, to the knowledge of the Company, threatened, and (iii) neither the Company nor any of its Subsidiaries is the subject of any proceeding alleging that the Company or any of its Subsidiaries has engaged in any unfair labor practice under any applicable Law.</w:t>
      </w:r>
    </w:p>
    <w:p>
      <w:pPr>
        <w:spacing w:after="0" w:line="166" w:lineRule="exact"/>
        <w:rPr>
          <w:sz w:val="20"/>
          <w:szCs w:val="20"/>
          <w:color w:val="auto"/>
        </w:rPr>
      </w:pPr>
    </w:p>
    <w:p>
      <w:pPr>
        <w:ind w:right="60" w:firstLine="883"/>
        <w:spacing w:after="0" w:line="254" w:lineRule="auto"/>
        <w:tabs>
          <w:tab w:leader="none" w:pos="109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Company Material Adverse Effect, the Company and each of its Subsidiaries are currently in compliance with all applicable Laws related to the engagement of service providers, employment practices and labor relations, including those related to wages, hours, classification, immigration, health, safety and collective bargaining. Except as would not, individually or in the aggregate, reasonably be expected to have a Company Material Adverse Effect, no current or former individual independent contractor that provides personal services to the Company or its Subsidiaries (other than any current or former director) is entitled to any fringe or other benefits (other than cash consulting fees or other consulting payments) pursuant to any Plan.</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680"/>
          </w:cols>
          <w:pgMar w:left="1080" w:top="254" w:right="1139" w:bottom="1440" w:gutter="0" w:footer="0" w:header="0"/>
        </w:sectPr>
      </w:pPr>
    </w:p>
    <w:bookmarkStart w:id="56" w:name="page57"/>
    <w:bookmarkEnd w:id="56"/>
    <w:p>
      <w:pPr>
        <w:jc w:val="both"/>
        <w:ind w:left="-20" w:right="140" w:firstLine="883"/>
        <w:spacing w:after="0" w:line="263" w:lineRule="auto"/>
        <w:tabs>
          <w:tab w:leader="none" w:pos="107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Except as would not, individually or in the aggregate, reasonably be expected to have a Company Material Adverse Effect, no Action by or before any Governmental Authority with respect to the Company or any of its Subsidiaries in relation to the employment or alleged employment of any individual is ongoing or, to the knowledge of the Company, pending or threatened.</w:t>
      </w:r>
    </w:p>
    <w:p>
      <w:pPr>
        <w:spacing w:after="0" w:line="156" w:lineRule="exact"/>
        <w:rPr>
          <w:rFonts w:ascii="Times New Roman" w:cs="Times New Roman" w:eastAsia="Times New Roman" w:hAnsi="Times New Roman"/>
          <w:sz w:val="16"/>
          <w:szCs w:val="16"/>
          <w:color w:val="auto"/>
        </w:rPr>
      </w:pPr>
    </w:p>
    <w:p>
      <w:pPr>
        <w:jc w:val="both"/>
        <w:ind w:left="-20" w:right="120" w:firstLine="883"/>
        <w:spacing w:after="0" w:line="281" w:lineRule="auto"/>
        <w:tabs>
          <w:tab w:leader="none" w:pos="1078"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would not, individually or in the aggregate, reasonably be expected to have a Company Material Adverse Effect and except as set forth in </w:t>
      </w:r>
      <w:r>
        <w:rPr>
          <w:rFonts w:ascii="Times New Roman" w:cs="Times New Roman" w:eastAsia="Times New Roman" w:hAnsi="Times New Roman"/>
          <w:sz w:val="15"/>
          <w:szCs w:val="15"/>
          <w:u w:val="single" w:color="auto"/>
          <w:color w:val="auto"/>
        </w:rPr>
        <w:t>Section 4.10(d) of the Company Disclosure Letter</w:t>
      </w:r>
      <w:r>
        <w:rPr>
          <w:rFonts w:ascii="Times New Roman" w:cs="Times New Roman" w:eastAsia="Times New Roman" w:hAnsi="Times New Roman"/>
          <w:sz w:val="15"/>
          <w:szCs w:val="15"/>
          <w:color w:val="auto"/>
        </w:rPr>
        <w:t>, since January 1, 2018, the Company and its Subsidiaries have not been subject to any Actions alleging sexual harassment, sexual misconduct, bullying or unlawful discrimination committed by any director, officer or other managerial employee of the Company or any of its Subsidiaries related to his or her directorship or employment with the Company or any of its Subsidiaries.</w:t>
      </w:r>
    </w:p>
    <w:p>
      <w:pPr>
        <w:spacing w:after="0" w:line="1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u w:val="single" w:color="auto"/>
          <w:color w:val="auto"/>
        </w:rPr>
        <w:t>Real Property; Title to Assets</w:t>
      </w:r>
      <w:r>
        <w:rPr>
          <w:rFonts w:ascii="Times New Roman" w:cs="Times New Roman" w:eastAsia="Times New Roman" w:hAnsi="Times New Roman"/>
          <w:sz w:val="16"/>
          <w:szCs w:val="16"/>
          <w:color w:val="auto"/>
        </w:rPr>
        <w:t>. (a) Neither the Company nor any of its Subsidiaries owns any real property.</w:t>
      </w:r>
    </w:p>
    <w:p>
      <w:pPr>
        <w:spacing w:after="0" w:line="197" w:lineRule="exact"/>
        <w:rPr>
          <w:sz w:val="20"/>
          <w:szCs w:val="20"/>
          <w:color w:val="auto"/>
        </w:rPr>
      </w:pPr>
    </w:p>
    <w:p>
      <w:pPr>
        <w:ind w:left="-20" w:firstLine="883"/>
        <w:spacing w:after="0" w:line="251" w:lineRule="auto"/>
        <w:tabs>
          <w:tab w:leader="none" w:pos="107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Company Material Adverse Effect, (i) each Real Property Lease is valid and binding on the Company or the Subsidiary of the Company that is a party thereto and, to the knowledge of the Company, each other party thereto and is full force and effect, (ii) all rent and other sums and charges payable by the Company or any of its Subsidiaries as tenants thereunder are current and all obligations required to be performed or complied with by the Company or any of its Subsidiaries thereunder have been performed, (iii) no termination event or condition or uncured default of a material nature on the part of the Company or, if applicable, its Subsidiaries or, to the knowledge of the Company, the landlord thereunder, exists under any Real Property Lease, (iv) the Company and each of its Subsidiaries has a good and valid leasehold interest in each parcel of real property leased by it free and clear of all Encumbrances, except Permitted Encumbrances, (v) neither the Company nor any of its Subsidiaries has received any written notice from any landlord under any Real Property Lease that such landlord intends to terminate such Real Property Lease and (vi) neither the Company nor any of its Subsidiaries has received written notice of any pending and, to the knowledge of the Company, there is no threatened, condemnation with respect to any property leased pursuant to any of the Real Property Leases. The Company and its Subsidiaries have not subleased or licensed any portion of any real property that is leased pursuant to any Real Property Lease to any Person.</w:t>
      </w:r>
    </w:p>
    <w:p>
      <w:pPr>
        <w:spacing w:after="0" w:line="166" w:lineRule="exact"/>
        <w:rPr>
          <w:rFonts w:ascii="Times New Roman" w:cs="Times New Roman" w:eastAsia="Times New Roman" w:hAnsi="Times New Roman"/>
          <w:sz w:val="16"/>
          <w:szCs w:val="16"/>
          <w:color w:val="auto"/>
        </w:rPr>
      </w:pPr>
    </w:p>
    <w:p>
      <w:pPr>
        <w:ind w:left="-20" w:right="80" w:firstLine="883"/>
        <w:spacing w:after="0" w:line="278" w:lineRule="auto"/>
        <w:tabs>
          <w:tab w:leader="none" w:pos="107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one of its Subsidiaries, as the case may be, has valid title to, or valid leasehold or comparable contractual rights in or relating to, all material personal property owned or leased by it, free and clear of all Encumbrances, except Permitted Encumbrances.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680"/>
          </w:cols>
          <w:pgMar w:left="1100" w:top="254" w:right="1119" w:bottom="1440" w:gutter="0" w:footer="0" w:header="0"/>
        </w:sectPr>
      </w:pPr>
    </w:p>
    <w:bookmarkStart w:id="57" w:name="page58"/>
    <w:bookmarkEnd w:id="57"/>
    <w:p>
      <w:pPr>
        <w:ind w:right="40" w:firstLine="874"/>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4.12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Section 4.12(a) of the Company Disclosure Letter</w:t>
      </w:r>
      <w:r>
        <w:rPr>
          <w:rFonts w:ascii="Times New Roman" w:cs="Times New Roman" w:eastAsia="Times New Roman" w:hAnsi="Times New Roman"/>
          <w:sz w:val="16"/>
          <w:szCs w:val="16"/>
          <w:color w:val="auto"/>
        </w:rPr>
        <w:t xml:space="preserve"> sets forth, as of the date of this Agreement, a true and complete list of all (i) Registered Company IP, indicating for each such item, as applicable, the owner, the application, publication or registration number, and date and jurisdiction of filing or issuance; and (ii) material Software included in the Company Owned IP.</w:t>
      </w:r>
    </w:p>
    <w:p>
      <w:pPr>
        <w:spacing w:after="0" w:line="157" w:lineRule="exact"/>
        <w:rPr>
          <w:sz w:val="20"/>
          <w:szCs w:val="20"/>
          <w:color w:val="auto"/>
        </w:rPr>
      </w:pPr>
    </w:p>
    <w:p>
      <w:pPr>
        <w:ind w:firstLine="883"/>
        <w:spacing w:after="0" w:line="253" w:lineRule="auto"/>
        <w:tabs>
          <w:tab w:leader="none" w:pos="1098"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Company Material Adverse Effect, the Registered Company IP is subsisting and, to the knowledge of the Company, valid and enforceable. The Company and its Subsidiaries possess all rights, title and interests in and to the Company Owned IP, free and clear of any Encumbrances other than Permitted Encumbrances, except as would not, individually or in the aggregate, reasonably be expected to have a Company Material Adverse Effect. To the knowledge of the Company, the Registered Company IP owned by the Company is currently in compliance with any and all formal legal requirements necessary to record, perfect and maintain the Company or any of its Subsidiaries’ interest therein and the chain of title thereof, except where any non-compliance would not, individually or in the aggregate, reasonably be expected to have a Company Material Adverse Effect.</w:t>
      </w:r>
    </w:p>
    <w:p>
      <w:pPr>
        <w:spacing w:after="0" w:line="165" w:lineRule="exact"/>
        <w:rPr>
          <w:rFonts w:ascii="Times New Roman" w:cs="Times New Roman" w:eastAsia="Times New Roman" w:hAnsi="Times New Roman"/>
          <w:sz w:val="16"/>
          <w:szCs w:val="16"/>
          <w:color w:val="auto"/>
        </w:rPr>
      </w:pPr>
    </w:p>
    <w:p>
      <w:pPr>
        <w:ind w:firstLine="883"/>
        <w:spacing w:after="0" w:line="266" w:lineRule="auto"/>
        <w:tabs>
          <w:tab w:leader="none" w:pos="109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would not, individually or in the aggregate, reasonably be expected to have a Company Material Adverse Effect and to the knowledge of the Company, since January 1, 2018, the operation of the Company’s business has not infringed, misappropriated or otherwise violated (including with respect to the development, clinical testing, manufacture, distribution, marketing, use or sale by the Company or any of its Subsidiaries of their respective products or of their respective Intellectual Property) the Intellectual Property of any third party (other than such rights determined and documented in writing by Company counsel and/or outside counsel to be invalid, not infringed or unenforceable) and to the knowledge of the Company, no other Person has infringed, diluted, misappropriated or otherwise violated, or is infringing, diluting, misappropriating or otherwise violating the Company IP. Except as would not, individually or in the aggregate, reasonably be expected to have a Company Material Adverse Effect and except as set forth in </w:t>
      </w:r>
      <w:r>
        <w:rPr>
          <w:rFonts w:ascii="Times New Roman" w:cs="Times New Roman" w:eastAsia="Times New Roman" w:hAnsi="Times New Roman"/>
          <w:sz w:val="15"/>
          <w:szCs w:val="15"/>
          <w:u w:val="single" w:color="auto"/>
          <w:color w:val="auto"/>
        </w:rPr>
        <w:t>Section 4.12(c) of the Company Disclosure Letter</w:t>
      </w:r>
      <w:r>
        <w:rPr>
          <w:rFonts w:ascii="Times New Roman" w:cs="Times New Roman" w:eastAsia="Times New Roman" w:hAnsi="Times New Roman"/>
          <w:sz w:val="15"/>
          <w:szCs w:val="15"/>
          <w:color w:val="auto"/>
        </w:rPr>
        <w:t>, there are currently no pending Actions or Actions threatened in writing regarding: (i) the licensing or use by the Company or any of its Subsidiaries of any other Person’s Intellectual Property; (ii) any actual or potential infringement, dilution, misappropriation, or other violation by any other Person of the Company IP; (iii) any actual or potential infringement, dilution, misappropriation, or other violation of any other Person’s Intellectual Property by the Company or any of its Subsidiaries; or (iv) the ownership, validity, registrability, enforceability or use of any Company IP, and to the knowledge of the Company (and except as would not, individually or in the aggregate, reasonably be expected to have a Company Material Adverse Effect), no valid basis exists for any Action in connection with any of the foregoing items (i) through</w:t>
      </w:r>
    </w:p>
    <w:p>
      <w:pPr>
        <w:spacing w:after="0" w:line="6"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of this </w:t>
      </w:r>
      <w:r>
        <w:rPr>
          <w:rFonts w:ascii="Times New Roman" w:cs="Times New Roman" w:eastAsia="Times New Roman" w:hAnsi="Times New Roman"/>
          <w:sz w:val="16"/>
          <w:szCs w:val="16"/>
          <w:u w:val="single" w:color="auto"/>
          <w:color w:val="auto"/>
        </w:rPr>
        <w:t>Section 4.12(c)</w:t>
      </w:r>
      <w:r>
        <w:rPr>
          <w:rFonts w:ascii="Times New Roman" w:cs="Times New Roman" w:eastAsia="Times New Roman" w:hAnsi="Times New Roman"/>
          <w:sz w:val="16"/>
          <w:szCs w:val="16"/>
          <w:color w:val="auto"/>
        </w:rPr>
        <w:t>.</w:t>
      </w:r>
    </w:p>
    <w:p>
      <w:pPr>
        <w:spacing w:after="0" w:line="179" w:lineRule="exact"/>
        <w:rPr>
          <w:rFonts w:ascii="Times New Roman" w:cs="Times New Roman" w:eastAsia="Times New Roman" w:hAnsi="Times New Roman"/>
          <w:sz w:val="16"/>
          <w:szCs w:val="16"/>
          <w:color w:val="auto"/>
        </w:rPr>
      </w:pPr>
    </w:p>
    <w:p>
      <w:pPr>
        <w:ind w:right="60" w:firstLine="883"/>
        <w:spacing w:after="0" w:line="258" w:lineRule="auto"/>
        <w:tabs>
          <w:tab w:leader="none" w:pos="1098"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Owned IP constitutes all of the material Intellectual Property owned by the Company and its Subsidiaries that is used, held for use or planned for use in the operation or conduct of the Company’s business as currently conducted; and the Company IP constitutes all of the Intellectual Property that is used, held for use or planned for use in the conduct of the Company’s business in the manner in which it is currently being conducted,</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9680"/>
          </w:cols>
          <w:pgMar w:left="1080" w:top="254" w:right="1139" w:bottom="1440" w:gutter="0" w:footer="0" w:header="0"/>
        </w:sectPr>
      </w:pPr>
    </w:p>
    <w:bookmarkStart w:id="58" w:name="page59"/>
    <w:bookmarkEnd w:id="58"/>
    <w:p>
      <w:pPr>
        <w:ind w:right="4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except where failure to own or otherwise possess rights to any such Intellectual Property would not, individually or in the aggregate, reasonably be expected to have a Company Material Adverse Effect. To the knowledge of the Company, except as set forth in Section 4.12(d) of the Company Disclosure Letter, the consummation of this Agreement and compliance by the Company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(other than a Permitted Encumbrance) in or upon, any Company IP. Except as would not, individually or in the aggregate, reasonably be expected to have a Company Material Adverse Effect, after the Effective Time, Parent will own all right, title and interest in and to or otherwise have valid rights and licenses to use all Company IP.</w:t>
      </w:r>
    </w:p>
    <w:p>
      <w:pPr>
        <w:spacing w:after="0" w:line="168" w:lineRule="exact"/>
        <w:rPr>
          <w:sz w:val="20"/>
          <w:szCs w:val="20"/>
          <w:color w:val="auto"/>
        </w:rPr>
      </w:pPr>
    </w:p>
    <w:p>
      <w:pPr>
        <w:ind w:firstLine="883"/>
        <w:spacing w:after="0" w:line="251" w:lineRule="auto"/>
        <w:tabs>
          <w:tab w:leader="none" w:pos="109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each of the Company and its Subsidiaries have used commercially reasonable efforts to maintain, preserve and protect the secrecy and confidentiality of their Trade Secrets and other confidential information and prevent the misuse or misappropriation of the Trade Secrets and other confidential information included in the Company IP, including through the development of policies for the protection of Intellectual Property, except any failure to maintain, preserve or protect that would not, individually or in the aggregate, reasonably be expected to have a Company Material Adverse Effect. To the knowledge of the Company, each current and former employee, consultant or independent contractor of the Company who has had access to Trade Secrets or confidential information included in the Company IP has entered into a written agreement with the Company that requires such employee, consultant or contractor to protect the secrecy and confidentiality of such Trade Secrets and information, except any failure to enter into such agreements would not, individually or in the aggregate, reasonably be expected to have a Company Material Adverse Effect. To the knowledge of the Company, there has been no misappropriation or unauthorized disclosure or use of any of the Company’s Trade Secrets or other confidential information, except any misappropriation or unauthorized disclosure would not, individually or in the aggregate, reasonably be expected to have a Company Material Adverse Effect.</w:t>
      </w:r>
    </w:p>
    <w:p>
      <w:pPr>
        <w:spacing w:after="0" w:line="168" w:lineRule="exact"/>
        <w:rPr>
          <w:rFonts w:ascii="Times New Roman" w:cs="Times New Roman" w:eastAsia="Times New Roman" w:hAnsi="Times New Roman"/>
          <w:sz w:val="16"/>
          <w:szCs w:val="16"/>
          <w:color w:val="auto"/>
        </w:rPr>
      </w:pPr>
    </w:p>
    <w:p>
      <w:pPr>
        <w:ind w:right="40" w:firstLine="883"/>
        <w:spacing w:after="0" w:line="251" w:lineRule="auto"/>
        <w:tabs>
          <w:tab w:leader="none" w:pos="107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Company Material Adverse Effect, no current or former director, officer, employee, contractor or consultant of the Company or its Subsidiaries owns any rights in or to any Company Owned IP. To the knowledge of the Company, all current and former directors, officers, employees, contractors and consultants of the Company and its Subsidiaries who contributed to the business or to the discovery, creation or development of any Company Owned IP did so (i) within the scope of his or her employment such that it constituted a work made for hire and all Company Owned IP arising therefrom became the exclusive property of the Company or any of its Subsidiaries or (ii) pursuant to an executed, enforceable, valid written agreement, assigned all of his or her rights in Company Owned IP to the Company or any of its Subsidiaries, except any failure to assign would not, individually or in the aggregate, reasonably be expected to have a Company Material Adverse Effect. No current or former directors, officers, employees, contractors or consultants of the Company or any of its Subsidiaries has made a written claim, or threatened in writing to make any claim, of ownership or right, in whole or in part, to any Company Owned IP or asserted in an Action against the Company or any of its Subsidiaries such claim of ownership or right.</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9700"/>
          </w:cols>
          <w:pgMar w:left="1080" w:top="254" w:right="1119" w:bottom="1440" w:gutter="0" w:footer="0" w:header="0"/>
        </w:sectPr>
      </w:pPr>
    </w:p>
    <w:bookmarkStart w:id="59" w:name="page60"/>
    <w:bookmarkEnd w:id="59"/>
    <w:p>
      <w:pPr>
        <w:ind w:left="-9" w:right="180" w:firstLine="883"/>
        <w:spacing w:after="0" w:line="272" w:lineRule="auto"/>
        <w:tabs>
          <w:tab w:leader="none" w:pos="109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Except as would not, individually or in the aggregate, reasonably be expected to have a Company Material Adverse Effect, the IT Assets operate and perform as required to permit the operation of the Company’s business as currently conducted. To the knowledge of the Company, since January 1, 2018, except as would not, individually or in the aggregate, reasonably be expected to have a Company Material Adverse Effect,</w:t>
      </w:r>
    </w:p>
    <w:p>
      <w:pPr>
        <w:spacing w:after="0" w:line="1" w:lineRule="exact"/>
        <w:rPr>
          <w:rFonts w:ascii="Times New Roman" w:cs="Times New Roman" w:eastAsia="Times New Roman" w:hAnsi="Times New Roman"/>
          <w:sz w:val="15"/>
          <w:szCs w:val="15"/>
          <w:color w:val="auto"/>
        </w:rPr>
      </w:pPr>
    </w:p>
    <w:p>
      <w:pPr>
        <w:ind w:left="-9" w:right="40" w:firstLine="9"/>
        <w:spacing w:after="0" w:line="250" w:lineRule="auto"/>
        <w:tabs>
          <w:tab w:leader="none" w:pos="1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been no actual or threatened security breach or unauthorized access to or use of any of the IT Assets and (ii) the IT Assets do not contain any material viruses, worms, trojan horses, bugs, or faults, and have not experienced breakdowns, errors, contaminants, or continued substandard performance that has caused or reasonably could be expected to cause any material disruption or interruption in or to the use of any such IT Assets or to the business of the Company. The Company and its Subsidiaries have implemented reasonable backup, security and disaster recovery technology reasonably consistent with industry practices and are in compliance in all material respects with applicable Privacy and Data Security Requirements for the IT Assets used in the business.</w:t>
      </w:r>
    </w:p>
    <w:p>
      <w:pPr>
        <w:spacing w:after="0" w:line="165" w:lineRule="exact"/>
        <w:rPr>
          <w:rFonts w:ascii="Times New Roman" w:cs="Times New Roman" w:eastAsia="Times New Roman" w:hAnsi="Times New Roman"/>
          <w:sz w:val="16"/>
          <w:szCs w:val="16"/>
          <w:color w:val="auto"/>
        </w:rPr>
      </w:pPr>
    </w:p>
    <w:p>
      <w:pPr>
        <w:ind w:left="-9" w:right="80" w:firstLine="883"/>
        <w:spacing w:after="0" w:line="259" w:lineRule="auto"/>
        <w:tabs>
          <w:tab w:leader="none" w:pos="109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Company Material Adverse Effect, there is no Public Software included in the Company IP that is subject to any open source, public source, freeware or other third party license agreement that:</w:t>
      </w:r>
    </w:p>
    <w:p>
      <w:pPr>
        <w:ind w:left="-9" w:firstLine="9"/>
        <w:spacing w:after="0" w:line="249" w:lineRule="auto"/>
        <w:tabs>
          <w:tab w:leader="none" w:pos="1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requires the Company or its Subsidiaries to license, disclose or distribute any proprietary source code, IT Asset or Company IP to licensees or any other Person, (ii) prohibits or limits the receipt of consideration in connection with licensing, sublicensing or distributing any Software included in the Company Owned IP, (iii) except as specifically permitted by Law, allows any Person to decompile, disassemble or otherwise reverse-engineer any Software included in the Company Owned IP, (iv) requires the licensing of any Software included in the Company Owned IP to any other Person for the purpose of making derivative works or (v) otherwise materially limits the Company’s or its Subsidiaries’ right to require royalty payments for the use or restrict further distribution of such Software. Except as would not, individually or in the aggregate, reasonably be expected to have a Company Material Adverse Effect, the Company and its Subsidiaries are in compliance with all of the terms and conditions of any licenses applicable to any Public Software used by the Company and its Subsidiaries in the operation of the business as currently conducted.</w:t>
      </w:r>
    </w:p>
    <w:p>
      <w:pPr>
        <w:spacing w:after="0" w:line="169" w:lineRule="exact"/>
        <w:rPr>
          <w:rFonts w:ascii="Times New Roman" w:cs="Times New Roman" w:eastAsia="Times New Roman" w:hAnsi="Times New Roman"/>
          <w:sz w:val="16"/>
          <w:szCs w:val="16"/>
          <w:color w:val="auto"/>
        </w:rPr>
      </w:pPr>
    </w:p>
    <w:p>
      <w:pPr>
        <w:ind w:left="-9" w:firstLine="883"/>
        <w:spacing w:after="0" w:line="253" w:lineRule="auto"/>
        <w:tabs>
          <w:tab w:leader="none" w:pos="1054"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Company proprietary Software has been created, and the associated source code written, only by individuals, who, at the time they created and developed such Software, were Company employees, contractors or consultants of the Company or any of its Subsidiaries. To the knowledge of the Company, the Company and its Subsidiaries have not disclosed, delivered or licensed to any Person, or obligated themselves to disclose, deliver or license to any Person, any Software source code included in Company Owned IP other than to a current or former employee, contractor or consultant who has executed, enforceable, valid written confidentiality obligations to the Company or any of its Subsidiaries restricting the use and disclosure of such source code. To the knowledge of the Company, there has been no unauthorized use, reverse engineering, decompiling, disassembling, or other unauthorized disclosure of or access to any source code owned by the Company and its Subsidiaries.</w:t>
      </w:r>
    </w:p>
    <w:p>
      <w:pPr>
        <w:spacing w:after="0" w:line="106"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9671"/>
          </w:cols>
          <w:pgMar w:left="1089" w:top="254" w:right="1139" w:bottom="1440" w:gutter="0" w:footer="0" w:header="0"/>
        </w:sectPr>
      </w:pPr>
    </w:p>
    <w:bookmarkStart w:id="60" w:name="page61"/>
    <w:bookmarkEnd w:id="60"/>
    <w:p>
      <w:pPr>
        <w:ind w:left="-20" w:right="60" w:firstLine="883"/>
        <w:spacing w:after="0" w:line="255" w:lineRule="auto"/>
        <w:tabs>
          <w:tab w:leader="none" w:pos="104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4.12(j) of the Company Disclosure Letter</w:t>
      </w:r>
      <w:r>
        <w:rPr>
          <w:rFonts w:ascii="Times New Roman" w:cs="Times New Roman" w:eastAsia="Times New Roman" w:hAnsi="Times New Roman"/>
          <w:sz w:val="16"/>
          <w:szCs w:val="16"/>
          <w:color w:val="auto"/>
        </w:rPr>
        <w:t xml:space="preserve"> lists, as of the date hereof, all agreements pursuant to which a university, or other educational institution, research institution or agency, Governmental Authority, or other organization (each, an “</w:t>
      </w:r>
      <w:r>
        <w:rPr>
          <w:rFonts w:ascii="Times New Roman" w:cs="Times New Roman" w:eastAsia="Times New Roman" w:hAnsi="Times New Roman"/>
          <w:sz w:val="16"/>
          <w:szCs w:val="16"/>
          <w:u w:val="single" w:color="auto"/>
          <w:color w:val="auto"/>
        </w:rPr>
        <w:t>R&amp;D Sponsor</w:t>
      </w:r>
      <w:r>
        <w:rPr>
          <w:rFonts w:ascii="Times New Roman" w:cs="Times New Roman" w:eastAsia="Times New Roman" w:hAnsi="Times New Roman"/>
          <w:sz w:val="16"/>
          <w:szCs w:val="16"/>
          <w:color w:val="auto"/>
        </w:rPr>
        <w:t xml:space="preserve">”) has sponsored research or development conducted in connection with the businesses of the Company and its Subsidiaries. Except as set forth in </w:t>
      </w:r>
      <w:r>
        <w:rPr>
          <w:rFonts w:ascii="Times New Roman" w:cs="Times New Roman" w:eastAsia="Times New Roman" w:hAnsi="Times New Roman"/>
          <w:sz w:val="16"/>
          <w:szCs w:val="16"/>
          <w:u w:val="single" w:color="auto"/>
          <w:color w:val="auto"/>
        </w:rPr>
        <w:t>Schedule 4.12(j)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Company Disclosure Letter,</w:t>
      </w:r>
      <w:r>
        <w:rPr>
          <w:rFonts w:ascii="Times New Roman" w:cs="Times New Roman" w:eastAsia="Times New Roman" w:hAnsi="Times New Roman"/>
          <w:sz w:val="16"/>
          <w:szCs w:val="16"/>
          <w:color w:val="auto"/>
        </w:rPr>
        <w:t xml:space="preserve"> no R&amp;D Sponsor has any claim of right or license to, ownership of, or other Encumbrance (other than a Permitted Encumbrance) on, any Company IP.</w:t>
      </w:r>
    </w:p>
    <w:p>
      <w:pPr>
        <w:spacing w:after="0" w:line="164" w:lineRule="exact"/>
        <w:rPr>
          <w:rFonts w:ascii="Times New Roman" w:cs="Times New Roman" w:eastAsia="Times New Roman" w:hAnsi="Times New Roman"/>
          <w:sz w:val="16"/>
          <w:szCs w:val="16"/>
          <w:color w:val="auto"/>
        </w:rPr>
      </w:pPr>
    </w:p>
    <w:p>
      <w:pPr>
        <w:ind w:left="-20" w:firstLine="883"/>
        <w:spacing w:after="0" w:line="250" w:lineRule="auto"/>
        <w:tabs>
          <w:tab w:leader="none" w:pos="107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Company Material Adverse Effect, since January 1, 2018, the Processing of any Personal Data by the Company and its Subsidiaries has not violated, and does not violate, any applicable Privacy and Data Security Requirements. Without limiting the foregoing the Company and its Subsidiaries have ensured that all appropriate consents required by applicable Privacy and Data Security Requirements have been obtained from data subjects or other Persons whose Personal Data is Processed thereby, except where such failure to obtain a consent would not, individually or in the aggregate, reasonably be expected to have a Company Material Adverse Effect. Except as would not, individually or in the aggregate, reasonably be expected to have a Company Material Adverse Effect, the Company and its Subsidiaries have further obtained all rights and licenses necessary to Process Personal Data in the manner it is now Processed thereby or by any Person on its behalf. There is no Action pending, asserted in writing or threatened in writing against the Company or any of its Subsidiaries alleging a violation of any Privacy and Data Security Requirement or any Person’s right of privacy or publicity, and, to the knowledge of the Company, no valid basis exists for any such Action. Neither the Company nor its Subsidiaries has (i) received any written communications from or (ii) to the knowledge of the Company, been the subject of any investigation by a data protection authority or any other Governmental Authority, in each of (i) and (ii), regarding the Processing of Personal Data. Except as would not, individually or in the aggregate, reasonably be expected to have a Company Material Adverse Effect, the execution and performance of this Agreement will not breach or otherwise cause any violation on the part of the Company or any of its Subsidiaries of any applicable Privacy and Data Security Requirements.</w:t>
      </w:r>
    </w:p>
    <w:p>
      <w:pPr>
        <w:spacing w:after="0" w:line="172" w:lineRule="exact"/>
        <w:rPr>
          <w:rFonts w:ascii="Times New Roman" w:cs="Times New Roman" w:eastAsia="Times New Roman" w:hAnsi="Times New Roman"/>
          <w:sz w:val="16"/>
          <w:szCs w:val="16"/>
          <w:color w:val="auto"/>
        </w:rPr>
      </w:pPr>
    </w:p>
    <w:p>
      <w:pPr>
        <w:ind w:left="-20" w:right="40" w:firstLine="883"/>
        <w:spacing w:after="0" w:line="263" w:lineRule="auto"/>
        <w:tabs>
          <w:tab w:leader="none" w:pos="104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Company Material Adverse Effect, with respect to all Personal Data Processed by the Company and its Subsidiaries, the Company and its Subsidiaries have taken commercially reasonable measures designed to protect such information against loss and unauthorized access, use, disclosure or other misuse.</w:t>
      </w:r>
    </w:p>
    <w:p>
      <w:pPr>
        <w:spacing w:after="0" w:line="156" w:lineRule="exact"/>
        <w:rPr>
          <w:rFonts w:ascii="Times New Roman" w:cs="Times New Roman" w:eastAsia="Times New Roman" w:hAnsi="Times New Roman"/>
          <w:sz w:val="16"/>
          <w:szCs w:val="16"/>
          <w:color w:val="auto"/>
        </w:rPr>
      </w:pPr>
    </w:p>
    <w:p>
      <w:pPr>
        <w:ind w:left="-20" w:right="200" w:firstLine="883"/>
        <w:spacing w:after="0" w:line="281" w:lineRule="auto"/>
        <w:tabs>
          <w:tab w:leader="none" w:pos="1122"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individually or in the aggregate, reasonably be expected to have a Company Material Adverse Effect, to the extent required by applicable Privacy and Data Security Requirements, each of the Company and its Subsidiaries has contractually obligated all data processors to contractual terms relating to the protection and use of IT Assets, or Personal Data or confidential information thereon, no less protective than those implemented and maintained by the Company. The Company is not aware of any material violations of such contractual obligations.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9700"/>
          </w:cols>
          <w:pgMar w:left="1100" w:top="254" w:right="1099" w:bottom="1440" w:gutter="0" w:footer="0" w:header="0"/>
        </w:sectPr>
      </w:pPr>
    </w:p>
    <w:bookmarkStart w:id="61" w:name="page62"/>
    <w:bookmarkEnd w:id="61"/>
    <w:p>
      <w:pPr>
        <w:jc w:val="both"/>
        <w:ind w:right="60" w:firstLine="883"/>
        <w:spacing w:after="0" w:line="276" w:lineRule="auto"/>
        <w:tabs>
          <w:tab w:leader="none" w:pos="1098"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To the knowledge of the Company, no Person has gained unauthorized access to, engaged in unauthorized Processing, disclosure, use, or access to, or accidentally or unlawfully destroyed, lost or altered (i) any Personal Data related to the business of the Company and its Subsidiaries; or</w:t>
      </w:r>
    </w:p>
    <w:p>
      <w:pPr>
        <w:spacing w:after="0" w:line="1" w:lineRule="exact"/>
        <w:rPr>
          <w:rFonts w:ascii="Times New Roman" w:cs="Times New Roman" w:eastAsia="Times New Roman" w:hAnsi="Times New Roman"/>
          <w:sz w:val="15"/>
          <w:szCs w:val="15"/>
          <w:color w:val="auto"/>
        </w:rPr>
      </w:pPr>
    </w:p>
    <w:p>
      <w:pPr>
        <w:ind w:right="40" w:firstLine="9"/>
        <w:spacing w:after="0" w:line="249" w:lineRule="auto"/>
        <w:tabs>
          <w:tab w:leader="none" w:pos="23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IT Assets that Process Personal Data related to the business of and owned or maintained by the Company and its Subsidiaries, its respective personal data processors, customers, subcontractors or vendors, or any other Persons on its behalf. Neither the Company nor its Subsidiaries has notified or, as of the date hereof, plans to notify, either voluntarily or as required by any Privacy and Data Security Requirements, any affected individual, any third party, any Governmental Authority, or the media of any breach or non-permitted use or disclosure of Personal Data of the Company and its Subsidiaries. Neither the Company nor its Subsidiaries does, or permits any third party to, sell, rent, or otherwise make available to any Person any Personal Data, except in compliance with the applicable Privacy and Data Security Requirements. To the knowledge of the Company, the Personal Data Processed by the Company and its Subsidiaries can be used after the Closing in a manner substantially the same as currently used by the Company and its Subsidiaries.</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Except as would not, individually or in the aggregate, reasonably be expected to have a Company Material Adverse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w:t>
      </w:r>
    </w:p>
    <w:p>
      <w:pPr>
        <w:spacing w:after="0" w:line="180" w:lineRule="exact"/>
        <w:rPr>
          <w:sz w:val="20"/>
          <w:szCs w:val="20"/>
          <w:color w:val="auto"/>
        </w:rPr>
      </w:pPr>
    </w:p>
    <w:p>
      <w:pPr>
        <w:ind w:right="280" w:firstLine="883"/>
        <w:spacing w:after="0" w:line="278" w:lineRule="auto"/>
        <w:tabs>
          <w:tab w:leader="none" w:pos="109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Tax Returns required to be filed by or with respect to the Company or any of its Subsidiaries have been timely filed (taking into account any extension of time within which to file) and all such Tax Returns are true, complete and accurate.</w:t>
      </w:r>
    </w:p>
    <w:p>
      <w:pPr>
        <w:spacing w:after="0" w:line="144" w:lineRule="exact"/>
        <w:rPr>
          <w:rFonts w:ascii="Times New Roman" w:cs="Times New Roman" w:eastAsia="Times New Roman" w:hAnsi="Times New Roman"/>
          <w:sz w:val="16"/>
          <w:szCs w:val="16"/>
          <w:color w:val="auto"/>
        </w:rPr>
      </w:pPr>
    </w:p>
    <w:p>
      <w:pPr>
        <w:ind w:right="180" w:firstLine="883"/>
        <w:spacing w:after="0" w:line="289" w:lineRule="auto"/>
        <w:tabs>
          <w:tab w:leader="none" w:pos="1098"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Taxes due and payable by the Company and its Subsidiaries have been timely paid, whether or not required to be shown on a Tax Return, or, in the case of Taxes not yet due or that are being contested in good faith, have been accrued or reserved, in accordance with GAAP, on the Financial Statements. There are no Tax Encumbrances on the assets of the Company or any of its Subsidiaries other than Permitted Encumbrances.</w:t>
      </w:r>
    </w:p>
    <w:p>
      <w:pPr>
        <w:spacing w:after="0" w:line="138" w:lineRule="exact"/>
        <w:rPr>
          <w:rFonts w:ascii="Times New Roman" w:cs="Times New Roman" w:eastAsia="Times New Roman" w:hAnsi="Times New Roman"/>
          <w:sz w:val="15"/>
          <w:szCs w:val="15"/>
          <w:color w:val="auto"/>
        </w:rPr>
      </w:pPr>
    </w:p>
    <w:p>
      <w:pPr>
        <w:ind w:right="60" w:firstLine="883"/>
        <w:spacing w:after="0" w:line="263" w:lineRule="auto"/>
        <w:tabs>
          <w:tab w:leader="none" w:pos="109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its Subsidiaries has timely paid or withheld all Taxes required to be paid or withheld with respect to their employees, independent contractors, creditors and other third parties (and timely paid over such Taxes to the appropriate Governmental Authority to the extent required by applicable Law).</w:t>
      </w:r>
    </w:p>
    <w:p>
      <w:pPr>
        <w:spacing w:after="0" w:line="156" w:lineRule="exact"/>
        <w:rPr>
          <w:rFonts w:ascii="Times New Roman" w:cs="Times New Roman" w:eastAsia="Times New Roman" w:hAnsi="Times New Roman"/>
          <w:sz w:val="16"/>
          <w:szCs w:val="16"/>
          <w:color w:val="auto"/>
        </w:rPr>
      </w:pPr>
    </w:p>
    <w:p>
      <w:pPr>
        <w:ind w:firstLine="883"/>
        <w:spacing w:after="0" w:line="255" w:lineRule="auto"/>
        <w:tabs>
          <w:tab w:leader="none" w:pos="109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executed any outstanding waiver of any statute of limitations for the assessment or collection of any Tax and there is no pending request by a Governmental Authority in writing to execute such a waiver or extension. No material audit or other examination or administrative, judicial or other proceeding of, or with respect to, any Tax Return or Taxes of the Company or any of its Subsidiaries is currently in progress. No deficiency for any material amount of Tax has been asserted or assessed by a Governmental Authority in writing against the Company or any of its Subsidiaries that has not been settled, paid or withdrawn.</w:t>
      </w:r>
    </w:p>
    <w:p>
      <w:pPr>
        <w:spacing w:after="0" w:line="164" w:lineRule="exact"/>
        <w:rPr>
          <w:rFonts w:ascii="Times New Roman" w:cs="Times New Roman" w:eastAsia="Times New Roman" w:hAnsi="Times New Roman"/>
          <w:sz w:val="16"/>
          <w:szCs w:val="16"/>
          <w:color w:val="auto"/>
        </w:rPr>
      </w:pPr>
    </w:p>
    <w:p>
      <w:pPr>
        <w:ind w:right="420" w:firstLine="883"/>
        <w:spacing w:after="0" w:line="278" w:lineRule="auto"/>
        <w:tabs>
          <w:tab w:leader="none" w:pos="109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two (2)-year period ending on the date hereof, neither the Company nor any of its Subsidiaries has been a party to any transaction treated by the parties as a distribution to which Section 355 or 361 of the Code applies.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9720"/>
          </w:cols>
          <w:pgMar w:left="1080" w:top="254" w:right="1099" w:bottom="1440" w:gutter="0" w:footer="0" w:header="0"/>
        </w:sectPr>
      </w:pPr>
    </w:p>
    <w:bookmarkStart w:id="62" w:name="page63"/>
    <w:bookmarkEnd w:id="62"/>
    <w:p>
      <w:pPr>
        <w:ind w:right="120" w:firstLine="883"/>
        <w:spacing w:after="0" w:line="278" w:lineRule="auto"/>
        <w:tabs>
          <w:tab w:leader="none" w:pos="1072"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Neither the Company nor any of its Subsidiaries has participated in a “listed transaction” within the meaning of Treasury Regulation § 1.6011-4, or any similar provision of state, local or foreign Law.</w:t>
      </w:r>
    </w:p>
    <w:p>
      <w:pPr>
        <w:spacing w:after="0" w:line="144" w:lineRule="exact"/>
        <w:rPr>
          <w:rFonts w:ascii="Times New Roman" w:cs="Times New Roman" w:eastAsia="Times New Roman" w:hAnsi="Times New Roman"/>
          <w:sz w:val="16"/>
          <w:szCs w:val="16"/>
          <w:color w:val="auto"/>
        </w:rPr>
      </w:pPr>
    </w:p>
    <w:p>
      <w:pPr>
        <w:ind w:firstLine="883"/>
        <w:spacing w:after="0" w:line="255" w:lineRule="auto"/>
        <w:tabs>
          <w:tab w:leader="none" w:pos="1098"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the Company) or (iv) has liability for the Taxes of any Person (other than the Company or any of its Subsidiaries) under Treasury Regulation § 1.1502-6 (or any similar provision of state, local or foreign Law), as a transferee or successor, or by contract or otherwise.</w:t>
      </w:r>
    </w:p>
    <w:p>
      <w:pPr>
        <w:spacing w:after="0" w:line="164" w:lineRule="exact"/>
        <w:rPr>
          <w:rFonts w:ascii="Times New Roman" w:cs="Times New Roman" w:eastAsia="Times New Roman" w:hAnsi="Times New Roman"/>
          <w:sz w:val="16"/>
          <w:szCs w:val="16"/>
          <w:color w:val="auto"/>
        </w:rPr>
      </w:pPr>
    </w:p>
    <w:p>
      <w:pPr>
        <w:ind w:right="360" w:firstLine="883"/>
        <w:spacing w:after="0" w:line="278" w:lineRule="auto"/>
        <w:tabs>
          <w:tab w:leader="none" w:pos="1098"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4.13(h) of the Company Disclosure Letter</w:t>
      </w:r>
      <w:r>
        <w:rPr>
          <w:rFonts w:ascii="Times New Roman" w:cs="Times New Roman" w:eastAsia="Times New Roman" w:hAnsi="Times New Roman"/>
          <w:sz w:val="16"/>
          <w:szCs w:val="16"/>
          <w:color w:val="auto"/>
        </w:rPr>
        <w:t xml:space="preserve"> contains a list, as of the date of this Agreement, of all jurisdictions in which the Company or any of its Subsidiaries files any income Tax Returns.</w:t>
      </w:r>
    </w:p>
    <w:p>
      <w:pPr>
        <w:spacing w:after="0" w:line="144" w:lineRule="exact"/>
        <w:rPr>
          <w:rFonts w:ascii="Times New Roman" w:cs="Times New Roman" w:eastAsia="Times New Roman" w:hAnsi="Times New Roman"/>
          <w:sz w:val="16"/>
          <w:szCs w:val="16"/>
          <w:color w:val="auto"/>
        </w:rPr>
      </w:pPr>
    </w:p>
    <w:p>
      <w:pPr>
        <w:ind w:right="440" w:firstLine="883"/>
        <w:spacing w:after="0" w:line="278" w:lineRule="auto"/>
        <w:tabs>
          <w:tab w:leader="none" w:pos="1063"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 claim has been made in writing by any Governmental Authority in a jurisdiction where the Company or any of its Subsidiaries do not file Tax Returns that any such entity is, or may be, subject to taxation by that jurisdiction.</w:t>
      </w:r>
    </w:p>
    <w:p>
      <w:pPr>
        <w:spacing w:after="0" w:line="144" w:lineRule="exact"/>
        <w:rPr>
          <w:rFonts w:ascii="Times New Roman" w:cs="Times New Roman" w:eastAsia="Times New Roman" w:hAnsi="Times New Roman"/>
          <w:sz w:val="16"/>
          <w:szCs w:val="16"/>
          <w:color w:val="auto"/>
        </w:rPr>
      </w:pPr>
    </w:p>
    <w:p>
      <w:pPr>
        <w:ind w:right="140" w:firstLine="883"/>
        <w:spacing w:after="0" w:line="278" w:lineRule="auto"/>
        <w:tabs>
          <w:tab w:leader="none" w:pos="1063"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an outstanding request for a ruling or similar determination from a Governmental Authority with respect to Taxes.</w:t>
      </w:r>
    </w:p>
    <w:p>
      <w:pPr>
        <w:spacing w:after="0" w:line="144" w:lineRule="exact"/>
        <w:rPr>
          <w:rFonts w:ascii="Times New Roman" w:cs="Times New Roman" w:eastAsia="Times New Roman" w:hAnsi="Times New Roman"/>
          <w:sz w:val="16"/>
          <w:szCs w:val="16"/>
          <w:color w:val="auto"/>
        </w:rPr>
      </w:pPr>
    </w:p>
    <w:p>
      <w:pPr>
        <w:ind w:right="180" w:firstLine="883"/>
        <w:spacing w:after="0" w:line="270" w:lineRule="auto"/>
        <w:tabs>
          <w:tab w:leader="none" w:pos="1098"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was made on or before the date of this Agreement; (ii) closing agreement or other agreement with any Governmental Authority executed on or before the date of this Agreement;</w:t>
      </w:r>
    </w:p>
    <w:p>
      <w:pPr>
        <w:spacing w:after="0" w:line="2" w:lineRule="exact"/>
        <w:rPr>
          <w:rFonts w:ascii="Times New Roman" w:cs="Times New Roman" w:eastAsia="Times New Roman" w:hAnsi="Times New Roman"/>
          <w:sz w:val="15"/>
          <w:szCs w:val="15"/>
          <w:color w:val="auto"/>
        </w:rPr>
      </w:pPr>
    </w:p>
    <w:p>
      <w:pPr>
        <w:ind w:right="120" w:firstLine="9"/>
        <w:spacing w:after="0" w:line="252" w:lineRule="auto"/>
        <w:tabs>
          <w:tab w:leader="none" w:pos="27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spacing w:after="0" w:line="165" w:lineRule="exact"/>
        <w:rPr>
          <w:sz w:val="20"/>
          <w:szCs w:val="20"/>
          <w:color w:val="auto"/>
        </w:rPr>
      </w:pPr>
    </w:p>
    <w:p>
      <w:pPr>
        <w:ind w:firstLine="874"/>
        <w:spacing w:after="0" w:line="270" w:lineRule="auto"/>
        <w:rPr>
          <w:sz w:val="20"/>
          <w:szCs w:val="20"/>
          <w:color w:val="auto"/>
        </w:rPr>
      </w:pPr>
      <w:r>
        <w:rPr>
          <w:rFonts w:ascii="Times New Roman" w:cs="Times New Roman" w:eastAsia="Times New Roman" w:hAnsi="Times New Roman"/>
          <w:sz w:val="15"/>
          <w:szCs w:val="15"/>
          <w:color w:val="auto"/>
        </w:rPr>
        <w:t xml:space="preserve">Section 4.14 </w:t>
      </w:r>
      <w:r>
        <w:rPr>
          <w:rFonts w:ascii="Times New Roman" w:cs="Times New Roman" w:eastAsia="Times New Roman" w:hAnsi="Times New Roman"/>
          <w:sz w:val="15"/>
          <w:szCs w:val="15"/>
          <w:u w:val="single" w:color="auto"/>
          <w:color w:val="auto"/>
        </w:rPr>
        <w:t>Environmental Matters</w:t>
      </w:r>
      <w:r>
        <w:rPr>
          <w:rFonts w:ascii="Times New Roman" w:cs="Times New Roman" w:eastAsia="Times New Roman" w:hAnsi="Times New Roman"/>
          <w:sz w:val="15"/>
          <w:szCs w:val="15"/>
          <w:color w:val="auto"/>
        </w:rPr>
        <w:t>. Except as would not, individually or in the aggregate, reasonably be expected to have a Company Material Adverse Effect: (a) the Company is and, since January 1, 2018, has been in compliance with all Environmental Laws and possesses and is and, since January 1, 2018, has been in compliance with all Environmental Permits, (b) there is no Action, Order or notice of violation or liability, in each case pursuant to Environmental Law pending or, to the knowledge of the Company, threatened in writing against the Company or any of its Subsidiaries;</w:t>
      </w:r>
    </w:p>
    <w:p>
      <w:pPr>
        <w:spacing w:after="0" w:line="2" w:lineRule="exact"/>
        <w:rPr>
          <w:sz w:val="20"/>
          <w:szCs w:val="20"/>
          <w:color w:val="auto"/>
        </w:rPr>
      </w:pPr>
    </w:p>
    <w:p>
      <w:pPr>
        <w:ind w:right="200" w:firstLine="9"/>
        <w:spacing w:after="0" w:line="256" w:lineRule="auto"/>
        <w:tabs>
          <w:tab w:leader="none" w:pos="21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been no release, spill, discharge or disposal of or exposure to any Hazardous Material, nor are there any other facts or conditions, in each case that would reasonably be expected to form the basis of any Action or Order pursuant to</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9720"/>
          </w:cols>
          <w:pgMar w:left="1080" w:top="254" w:right="1099" w:bottom="1440" w:gutter="0" w:footer="0" w:header="0"/>
        </w:sectPr>
      </w:pPr>
    </w:p>
    <w:bookmarkStart w:id="63" w:name="page64"/>
    <w:bookmarkEnd w:id="63"/>
    <w:p>
      <w:pPr>
        <w:ind w:right="40"/>
        <w:spacing w:after="0" w:line="28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Environmental Law involving the Company or its Subsidiaries; (d) neither the Company nor any of its Subsidiaries has retained or assumed, either contractually or by operation of Law, any liabilities or obligations that would reasonably be expected to form the basis of any Action or Order pursuant to Environmental Law involving the Company or its Subsidiaries; and (e) there are no underground or aboveground storage tanks containing Hazardous Materials or any known or suspected asbestos-containing materials on, at or under any real property leased pursuant to any of the Real Property Leases.</w:t>
      </w:r>
    </w:p>
    <w:p>
      <w:pPr>
        <w:spacing w:after="0" w:line="144" w:lineRule="exact"/>
        <w:rPr>
          <w:sz w:val="20"/>
          <w:szCs w:val="20"/>
          <w:color w:val="auto"/>
        </w:rPr>
      </w:pPr>
    </w:p>
    <w:p>
      <w:pPr>
        <w:ind w:firstLine="874"/>
        <w:spacing w:after="0" w:line="253" w:lineRule="auto"/>
        <w:rPr>
          <w:sz w:val="20"/>
          <w:szCs w:val="20"/>
          <w:color w:val="auto"/>
        </w:rPr>
      </w:pPr>
      <w:r>
        <w:rPr>
          <w:rFonts w:ascii="Times New Roman" w:cs="Times New Roman" w:eastAsia="Times New Roman" w:hAnsi="Times New Roman"/>
          <w:sz w:val="16"/>
          <w:szCs w:val="16"/>
          <w:color w:val="auto"/>
        </w:rPr>
        <w:t xml:space="preserve">Section 4.15 </w:t>
      </w:r>
      <w:r>
        <w:rPr>
          <w:rFonts w:ascii="Times New Roman" w:cs="Times New Roman" w:eastAsia="Times New Roman" w:hAnsi="Times New Roman"/>
          <w:sz w:val="16"/>
          <w:szCs w:val="16"/>
          <w:u w:val="single" w:color="auto"/>
          <w:color w:val="auto"/>
        </w:rPr>
        <w:t>Material Contracts</w:t>
      </w:r>
      <w:r>
        <w:rPr>
          <w:rFonts w:ascii="Times New Roman" w:cs="Times New Roman" w:eastAsia="Times New Roman" w:hAnsi="Times New Roman"/>
          <w:sz w:val="16"/>
          <w:szCs w:val="16"/>
          <w:color w:val="auto"/>
        </w:rPr>
        <w:t xml:space="preserve">. (a) Other than any contracts described in, or included as exhibits to, the Company Registration Statement, </w:t>
      </w:r>
      <w:r>
        <w:rPr>
          <w:rFonts w:ascii="Times New Roman" w:cs="Times New Roman" w:eastAsia="Times New Roman" w:hAnsi="Times New Roman"/>
          <w:sz w:val="16"/>
          <w:szCs w:val="16"/>
          <w:u w:val="single" w:color="auto"/>
          <w:color w:val="auto"/>
        </w:rPr>
        <w:t>Section 4.15(a) of the Company Disclosure Letter</w:t>
      </w:r>
      <w:r>
        <w:rPr>
          <w:rFonts w:ascii="Times New Roman" w:cs="Times New Roman" w:eastAsia="Times New Roman" w:hAnsi="Times New Roman"/>
          <w:sz w:val="16"/>
          <w:szCs w:val="16"/>
          <w:color w:val="auto"/>
        </w:rPr>
        <w:t xml:space="preserve"> contains a true and complete list of the following types of contracts to which the Company or any of its Subsidiaries is a party and that are in effect, or pursuant to which the Company or any Subsidiary has material ongoing obligations, in each case as of the date of this Agreement (such contracts, including those described in, or included as exhibits to, the Company Registration Statement, whether or not set forth on </w:t>
      </w:r>
      <w:r>
        <w:rPr>
          <w:rFonts w:ascii="Times New Roman" w:cs="Times New Roman" w:eastAsia="Times New Roman" w:hAnsi="Times New Roman"/>
          <w:sz w:val="16"/>
          <w:szCs w:val="16"/>
          <w:u w:val="single" w:color="auto"/>
          <w:color w:val="auto"/>
        </w:rPr>
        <w:t>Section 4.15(a) of the Company Disclosure Letter</w:t>
      </w:r>
      <w:r>
        <w:rPr>
          <w:rFonts w:ascii="Times New Roman" w:cs="Times New Roman" w:eastAsia="Times New Roman" w:hAnsi="Times New Roman"/>
          <w:sz w:val="16"/>
          <w:szCs w:val="16"/>
          <w:color w:val="auto"/>
        </w:rPr>
        <w:t xml:space="preserve"> and including any contract entered into after the date hereof in accordance with the terms of this Agreement that would have been required to be set forth on </w:t>
      </w:r>
      <w:r>
        <w:rPr>
          <w:rFonts w:ascii="Times New Roman" w:cs="Times New Roman" w:eastAsia="Times New Roman" w:hAnsi="Times New Roman"/>
          <w:sz w:val="16"/>
          <w:szCs w:val="16"/>
          <w:u w:val="single" w:color="auto"/>
          <w:color w:val="auto"/>
        </w:rPr>
        <w:t>Section 4.15(a) of the Company Disclosure Letter</w:t>
      </w:r>
      <w:r>
        <w:rPr>
          <w:rFonts w:ascii="Times New Roman" w:cs="Times New Roman" w:eastAsia="Times New Roman" w:hAnsi="Times New Roman"/>
          <w:sz w:val="16"/>
          <w:szCs w:val="16"/>
          <w:color w:val="auto"/>
        </w:rPr>
        <w:t xml:space="preserve"> if it had been entered into as of the date of this Agreement, the “</w:t>
      </w:r>
      <w:r>
        <w:rPr>
          <w:rFonts w:ascii="Times New Roman" w:cs="Times New Roman" w:eastAsia="Times New Roman" w:hAnsi="Times New Roman"/>
          <w:sz w:val="16"/>
          <w:szCs w:val="16"/>
          <w:u w:val="single" w:color="auto"/>
          <w:color w:val="auto"/>
        </w:rPr>
        <w:t>Material Contracts</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ind w:left="400" w:right="280" w:firstLine="836"/>
        <w:spacing w:after="0" w:line="278" w:lineRule="auto"/>
        <w:tabs>
          <w:tab w:leader="none" w:pos="142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would, if the Company were an issuer of securities registered pursuant to Section 12 of the Exchange Act, be required to be filed by the Company as a “material contract” pursuant to Item 601(b)(10) of Regulation S-K under the Securities Act;</w:t>
      </w:r>
    </w:p>
    <w:p>
      <w:pPr>
        <w:spacing w:after="0" w:line="49" w:lineRule="exact"/>
        <w:rPr>
          <w:rFonts w:ascii="Times New Roman" w:cs="Times New Roman" w:eastAsia="Times New Roman" w:hAnsi="Times New Roman"/>
          <w:sz w:val="16"/>
          <w:szCs w:val="16"/>
          <w:color w:val="auto"/>
        </w:rPr>
      </w:pPr>
    </w:p>
    <w:p>
      <w:pPr>
        <w:ind w:left="400" w:right="60" w:firstLine="836"/>
        <w:spacing w:after="0" w:line="258" w:lineRule="auto"/>
        <w:tabs>
          <w:tab w:leader="none" w:pos="147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all joint venture contracts or partnership arrangements or (B) similar agreements involving a sharing with any third party of profits, losses, costs or liabilities by the Company or any of its Subsidiaries, pursuant to which, in the case of this clause (B), the Company would reasonably expect its share of such profits, losses, costs or liabilities in any fiscal year to exceed $2,000,000 (or its equivalent in another currency);</w:t>
      </w:r>
    </w:p>
    <w:p>
      <w:pPr>
        <w:spacing w:after="0" w:line="65" w:lineRule="exact"/>
        <w:rPr>
          <w:rFonts w:ascii="Times New Roman" w:cs="Times New Roman" w:eastAsia="Times New Roman" w:hAnsi="Times New Roman"/>
          <w:sz w:val="16"/>
          <w:szCs w:val="16"/>
          <w:color w:val="auto"/>
        </w:rPr>
      </w:pPr>
    </w:p>
    <w:p>
      <w:pPr>
        <w:ind w:left="400" w:right="60" w:firstLine="836"/>
        <w:spacing w:after="0" w:line="263" w:lineRule="auto"/>
        <w:tabs>
          <w:tab w:leader="none" w:pos="151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involving the payment of royalties or other amounts calculated based upon the revenues or income of the Company or any of its Subsidiaries or income or revenues related to any product of the Company or any of its Subsidiaries and requiring payments by the Company in any fiscal year in excess of $500,000 (or its equivalent in another currency);</w:t>
      </w:r>
    </w:p>
    <w:p>
      <w:pPr>
        <w:spacing w:after="0" w:line="61" w:lineRule="exact"/>
        <w:rPr>
          <w:rFonts w:ascii="Times New Roman" w:cs="Times New Roman" w:eastAsia="Times New Roman" w:hAnsi="Times New Roman"/>
          <w:sz w:val="16"/>
          <w:szCs w:val="16"/>
          <w:color w:val="auto"/>
        </w:rPr>
      </w:pPr>
    </w:p>
    <w:p>
      <w:pPr>
        <w:ind w:left="400" w:right="120" w:firstLine="836"/>
        <w:spacing w:after="0" w:line="254" w:lineRule="auto"/>
        <w:tabs>
          <w:tab w:leader="none" w:pos="150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(A) relating to the acquisition or disposition of any assets or properties (whether by merger, sale of stock, sale of assets or otherwise) for aggregate consideration in excess of $2,000,000 or (B) pursuant to which any earn-out, indemnification or deferred or contingent payment obligations remain outstanding that would reasonably be expected to involve payments by or to the Company or any of its Subsidiaries of more than $2,000,000 after the date hereof (in each case, excluding, for the avoidance of doubt, acquisitions or dispositions of supplies, products or other assets in the ordinary course of business or of supplies, products or other assets that are obsolete, worn out, surplus or no longer used or useful in the conduct of business of the Company or its Subsidiaries);</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9700"/>
          </w:cols>
          <w:pgMar w:left="1080" w:top="254" w:right="1119" w:bottom="1440" w:gutter="0" w:footer="0" w:header="0"/>
        </w:sectPr>
      </w:pPr>
    </w:p>
    <w:bookmarkStart w:id="64" w:name="page65"/>
    <w:bookmarkEnd w:id="64"/>
    <w:p>
      <w:pPr>
        <w:ind w:left="40" w:right="640" w:firstLine="836"/>
        <w:spacing w:after="0" w:line="278" w:lineRule="auto"/>
        <w:tabs>
          <w:tab w:leader="none" w:pos="110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all contracts relating to Indebtedness for borrowed money (including commitments to provide such Indebtedness) of the Company or any of its Subsidiaries;</w:t>
      </w:r>
    </w:p>
    <w:p>
      <w:pPr>
        <w:spacing w:after="0" w:line="49" w:lineRule="exact"/>
        <w:rPr>
          <w:rFonts w:ascii="Times New Roman" w:cs="Times New Roman" w:eastAsia="Times New Roman" w:hAnsi="Times New Roman"/>
          <w:sz w:val="16"/>
          <w:szCs w:val="16"/>
          <w:color w:val="auto"/>
        </w:rPr>
      </w:pPr>
    </w:p>
    <w:p>
      <w:pPr>
        <w:ind w:left="40" w:right="120" w:firstLine="836"/>
        <w:spacing w:after="0" w:line="313" w:lineRule="auto"/>
        <w:tabs>
          <w:tab w:leader="none" w:pos="1148"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contracts that limit, or purport to limit, in any material respect, the ability of the Company or any of its Affiliates to compete in any line of business or with any Person or entity or in any geographic area or during any period of time or in any customer segment;</w:t>
      </w:r>
    </w:p>
    <w:p>
      <w:pPr>
        <w:spacing w:after="0" w:line="26" w:lineRule="exact"/>
        <w:rPr>
          <w:rFonts w:ascii="Times New Roman" w:cs="Times New Roman" w:eastAsia="Times New Roman" w:hAnsi="Times New Roman"/>
          <w:sz w:val="15"/>
          <w:szCs w:val="15"/>
          <w:color w:val="auto"/>
        </w:rPr>
      </w:pPr>
    </w:p>
    <w:p>
      <w:pPr>
        <w:ind w:left="40" w:right="360" w:firstLine="836"/>
        <w:spacing w:after="0" w:line="263" w:lineRule="auto"/>
        <w:tabs>
          <w:tab w:leader="none" w:pos="119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Company IP Agreements, except for shrink-wrap or click-wrap licenses for off the shelf computer software, pursuant to which the Company or any of its Subsidiaries would reasonably be expected to make or receive payments of more than $500,000 during any fiscal year;</w:t>
      </w:r>
    </w:p>
    <w:p>
      <w:pPr>
        <w:spacing w:after="0" w:line="61" w:lineRule="exact"/>
        <w:rPr>
          <w:rFonts w:ascii="Times New Roman" w:cs="Times New Roman" w:eastAsia="Times New Roman" w:hAnsi="Times New Roman"/>
          <w:sz w:val="16"/>
          <w:szCs w:val="16"/>
          <w:color w:val="auto"/>
        </w:rPr>
      </w:pPr>
    </w:p>
    <w:p>
      <w:pPr>
        <w:ind w:left="1240" w:hanging="364"/>
        <w:spacing w:after="0"/>
        <w:tabs>
          <w:tab w:leader="none" w:pos="12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with respect to any Intellectual Property that contain a covenant not to sue;</w:t>
      </w:r>
    </w:p>
    <w:p>
      <w:pPr>
        <w:spacing w:after="0" w:line="101" w:lineRule="exact"/>
        <w:rPr>
          <w:rFonts w:ascii="Times New Roman" w:cs="Times New Roman" w:eastAsia="Times New Roman" w:hAnsi="Times New Roman"/>
          <w:sz w:val="16"/>
          <w:szCs w:val="16"/>
          <w:color w:val="auto"/>
        </w:rPr>
      </w:pPr>
    </w:p>
    <w:p>
      <w:pPr>
        <w:ind w:left="40" w:right="40" w:firstLine="836"/>
        <w:spacing w:after="0" w:line="254" w:lineRule="auto"/>
        <w:tabs>
          <w:tab w:leader="none" w:pos="114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between or among (A) the Company or any of its Subsidiaries, on the one hand, and (B) any Affiliate, stockholder, employee, officer or director of the Company or of any Subsidiary, or, to the knowledge of the Company, any of their respective Affiliates or family members, on the other hand, but excluding, for the avoidance of doubt, (I) any contracts or arrangements between the Company and any of its Subsidiaries or between any Subsidiary of the Company and another Subsidiary of the Company, (II) any Plan, (III) any contract providing for indemnification or reimbursement of expenses for officers or directors of the Company or any of its Subsidiaries (in such individual capacity as such), and (IV) any contract entered into in the ordinary course of business and on arms’ length terms;</w:t>
      </w:r>
    </w:p>
    <w:p>
      <w:pPr>
        <w:spacing w:after="0" w:line="69" w:lineRule="exact"/>
        <w:rPr>
          <w:rFonts w:ascii="Times New Roman" w:cs="Times New Roman" w:eastAsia="Times New Roman" w:hAnsi="Times New Roman"/>
          <w:sz w:val="16"/>
          <w:szCs w:val="16"/>
          <w:color w:val="auto"/>
        </w:rPr>
      </w:pPr>
    </w:p>
    <w:p>
      <w:pPr>
        <w:ind w:left="40" w:firstLine="836"/>
        <w:spacing w:after="0" w:line="263" w:lineRule="auto"/>
        <w:tabs>
          <w:tab w:leader="none" w:pos="110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(other than purchase orders under a master agreement) for the purchase of materials, supplies, goods, services, equipment or other assets pursuant to which the Company or any of its Subsidiaries would reasonably be expected to make payments of more than $1,000,000 during any fiscal year;</w:t>
      </w:r>
    </w:p>
    <w:p>
      <w:pPr>
        <w:spacing w:after="0" w:line="61" w:lineRule="exact"/>
        <w:rPr>
          <w:rFonts w:ascii="Times New Roman" w:cs="Times New Roman" w:eastAsia="Times New Roman" w:hAnsi="Times New Roman"/>
          <w:sz w:val="16"/>
          <w:szCs w:val="16"/>
          <w:color w:val="auto"/>
        </w:rPr>
      </w:pPr>
    </w:p>
    <w:p>
      <w:pPr>
        <w:ind w:left="40" w:right="340" w:firstLine="836"/>
        <w:spacing w:after="0" w:line="289" w:lineRule="auto"/>
        <w:tabs>
          <w:tab w:leader="none" w:pos="1148"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contracts relating to research services or clinical trials or pilot or other testing programs in respect of products (including products under development) of the Company or any of its Subsidiaries pursuant to which the Company or any of its Subsidiaries would reasonably be expected to make or receive payments of more than $500,000 during any fiscal year or which are otherwise material;</w:t>
      </w:r>
    </w:p>
    <w:p>
      <w:pPr>
        <w:spacing w:after="0" w:line="43" w:lineRule="exact"/>
        <w:rPr>
          <w:rFonts w:ascii="Times New Roman" w:cs="Times New Roman" w:eastAsia="Times New Roman" w:hAnsi="Times New Roman"/>
          <w:sz w:val="15"/>
          <w:szCs w:val="15"/>
          <w:color w:val="auto"/>
        </w:rPr>
      </w:pPr>
    </w:p>
    <w:p>
      <w:pPr>
        <w:ind w:left="40" w:firstLine="836"/>
        <w:spacing w:after="0" w:line="258" w:lineRule="auto"/>
        <w:tabs>
          <w:tab w:leader="none" w:pos="119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relate to collaboration or joint development or other similar agreement or arrangement with respect to any products (including products under development) or services of the Company or any of its Subsidiaries pursuant to which the Company or any of its Subsidiaries would reasonably be expected to make or receive payments of more than $2,000,000 during any fiscal year or which are otherwise material;</w:t>
      </w:r>
    </w:p>
    <w:p>
      <w:pPr>
        <w:spacing w:after="0" w:line="1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9340"/>
          </w:cols>
          <w:pgMar w:left="1440" w:top="254" w:right="1119" w:bottom="1440" w:gutter="0" w:footer="0" w:header="0"/>
        </w:sectPr>
      </w:pPr>
    </w:p>
    <w:bookmarkStart w:id="65" w:name="page66"/>
    <w:bookmarkEnd w:id="65"/>
    <w:p>
      <w:pPr>
        <w:ind w:left="400" w:right="20" w:firstLine="836"/>
        <w:spacing w:after="0" w:line="258" w:lineRule="auto"/>
        <w:tabs>
          <w:tab w:leader="none" w:pos="1596"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all contracts that limit in any material respect the research, development, manufacture, distribution, sale, supply, license, marketing or manufacturing of products (including products under development) or services of the Company or any of its Subsidiaries pursuant to which the Company or any of its Subsidiaries would reasonably be expected to make or receive payments of more than $2,000,000 during any fiscal year or which are otherwise material;</w:t>
      </w:r>
    </w:p>
    <w:p>
      <w:pPr>
        <w:spacing w:after="0" w:line="65" w:lineRule="exact"/>
        <w:rPr>
          <w:rFonts w:ascii="Times New Roman" w:cs="Times New Roman" w:eastAsia="Times New Roman" w:hAnsi="Times New Roman"/>
          <w:sz w:val="16"/>
          <w:szCs w:val="16"/>
          <w:color w:val="auto"/>
        </w:rPr>
      </w:pPr>
    </w:p>
    <w:p>
      <w:pPr>
        <w:ind w:left="400" w:right="60" w:firstLine="836"/>
        <w:spacing w:after="0" w:line="313" w:lineRule="auto"/>
        <w:tabs>
          <w:tab w:leader="none" w:pos="1587" w:val="left"/>
        </w:tabs>
        <w:numPr>
          <w:ilvl w:val="1"/>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contracts granting any put, call, right of first refusal, right of first negotiation, right of first offer, redemption or similar right in favor of any Person other than the Company or its Subsidiaries, in each case, with respect to any asset that is material to the Company; and</w:t>
      </w:r>
    </w:p>
    <w:p>
      <w:pPr>
        <w:spacing w:after="0" w:line="26" w:lineRule="exact"/>
        <w:rPr>
          <w:rFonts w:ascii="Times New Roman" w:cs="Times New Roman" w:eastAsia="Times New Roman" w:hAnsi="Times New Roman"/>
          <w:sz w:val="15"/>
          <w:szCs w:val="15"/>
          <w:color w:val="auto"/>
        </w:rPr>
      </w:pPr>
    </w:p>
    <w:p>
      <w:pPr>
        <w:ind w:left="400" w:right="40" w:firstLine="836"/>
        <w:spacing w:after="0" w:line="255" w:lineRule="auto"/>
        <w:tabs>
          <w:tab w:leader="none" w:pos="1543"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contracts that provide for “exclusivity” or any similar requirement or “most favored nation” or similar rights, in each case in favor of any Person other than the Company or any of its Subsidiaries, and, in the case of contracts with suppliers or vendors, (A) the current term of which is longer than two years (not including any renewal terms) and (B) pursuant to which the Company or any of its Subsidiaries would reasonably be expected to make or receive payments of more than $1,000,000 during any fiscal year, which are otherwise material, other than, in each case, any such contract that is terminable without penalty by the Company or its Subsidiaries on no more than 6 months’ notice.</w:t>
      </w:r>
    </w:p>
    <w:p>
      <w:pPr>
        <w:spacing w:after="0" w:line="164" w:lineRule="exact"/>
        <w:rPr>
          <w:rFonts w:ascii="Times New Roman" w:cs="Times New Roman" w:eastAsia="Times New Roman" w:hAnsi="Times New Roman"/>
          <w:sz w:val="16"/>
          <w:szCs w:val="16"/>
          <w:color w:val="auto"/>
        </w:rPr>
      </w:pPr>
    </w:p>
    <w:p>
      <w:pPr>
        <w:ind w:firstLine="883"/>
        <w:spacing w:after="0" w:line="252" w:lineRule="auto"/>
        <w:tabs>
          <w:tab w:leader="none" w:pos="109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Company Material Adverse Effect, each Material Contract is in full force and effect, and is legal, valid, binding and enforceable in accordance with its terms against the Company and its Subsidiaries (as applicable) and, to the knowledge of the Company, the other parties thereto. True and complete copies of each Material Contract (and a written summary of the terms of any oral Material Contracts) have been made available to Parent. None of the Company, any of its Subsidiaries or, to the knowledge of the Company, any other party thereto is in violation of or in default under (nor does there exist any condition which upon the passage of time or the giving of notice or both would cause such a violation of or default under) any Material Contract to which it is a party or by which it or any of its properties or other assets is bound, nor have any of them given or received any notice alleging any of the same, except, in each case, as would not, individually or in the aggregate, reasonably be expected to have a Company Material Adverse Effect.</w:t>
      </w:r>
    </w:p>
    <w:p>
      <w:pPr>
        <w:spacing w:after="0" w:line="168" w:lineRule="exact"/>
        <w:rPr>
          <w:sz w:val="20"/>
          <w:szCs w:val="20"/>
          <w:color w:val="auto"/>
        </w:rPr>
      </w:pPr>
    </w:p>
    <w:p>
      <w:pPr>
        <w:ind w:right="80"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4.16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Except as has not had and would not reasonably be expected to have, individually or in the aggregate, a Company Material Adverse Effect, all insurance policies and all self-insurance programs and arrangements relating to the business, assets and operations of the Company and its Subsidiaries are in full force and effect, and all premiums thereon have been timely paid or, if not yet due, accrued. As of the date of this Agreement, there is no claim pending under the Company’s or any of its Subsidiaries’ insurance</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9700"/>
          </w:cols>
          <w:pgMar w:left="1080" w:top="254" w:right="1119" w:bottom="1440" w:gutter="0" w:footer="0" w:header="0"/>
        </w:sectPr>
      </w:pPr>
    </w:p>
    <w:bookmarkStart w:id="66" w:name="page67"/>
    <w:bookmarkEnd w:id="66"/>
    <w:p>
      <w:pPr>
        <w:ind w:right="16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policies or fidelity bonds as to which coverage has been questioned, denied or disputed by the underwriters of such policies or bonds, except as would not reasonably be expected to have, individually or in the aggregate, a Company Material Adverse Effect. The Company and its Subsidiaries are in compliance with the terms of such policies and bonds and the Company has no knowledge of any threatened termination of, or premium increase with respect to, any of such policies or bonds, except as would not reasonably be expected to have, individually or in the aggregate, a Company Material Adverse Effect.</w:t>
      </w:r>
    </w:p>
    <w:p>
      <w:pPr>
        <w:spacing w:after="0" w:line="165" w:lineRule="exact"/>
        <w:rPr>
          <w:sz w:val="20"/>
          <w:szCs w:val="20"/>
          <w:color w:val="auto"/>
        </w:rPr>
      </w:pPr>
    </w:p>
    <w:p>
      <w:pPr>
        <w:ind w:right="40"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4.17 </w:t>
      </w: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No broker, finder, financial advisor or investment banker (other than Morgan Stanley &amp; Co. LLC, the fee payable to whom will not exceed the amount set forth in the engagement letter dated September 13, 2020, as made available to Parent prior to the date hereof) is entitled to any brokerage, finder’s or other fee or commission in connection with the Transactions based upon arrangements made by or on behalf of the Company.</w:t>
      </w:r>
    </w:p>
    <w:p>
      <w:pPr>
        <w:spacing w:after="0" w:line="161" w:lineRule="exact"/>
        <w:rPr>
          <w:sz w:val="20"/>
          <w:szCs w:val="20"/>
          <w:color w:val="auto"/>
        </w:rPr>
      </w:pPr>
    </w:p>
    <w:p>
      <w:pPr>
        <w:ind w:firstLine="874"/>
        <w:spacing w:after="0" w:line="251" w:lineRule="auto"/>
        <w:rPr>
          <w:sz w:val="20"/>
          <w:szCs w:val="20"/>
          <w:color w:val="auto"/>
        </w:rPr>
      </w:pPr>
      <w:r>
        <w:rPr>
          <w:rFonts w:ascii="Times New Roman" w:cs="Times New Roman" w:eastAsia="Times New Roman" w:hAnsi="Times New Roman"/>
          <w:sz w:val="16"/>
          <w:szCs w:val="16"/>
          <w:color w:val="auto"/>
        </w:rPr>
        <w:t xml:space="preserve">Section 4.18 </w:t>
      </w:r>
      <w:r>
        <w:rPr>
          <w:rFonts w:ascii="Times New Roman" w:cs="Times New Roman" w:eastAsia="Times New Roman" w:hAnsi="Times New Roman"/>
          <w:sz w:val="16"/>
          <w:szCs w:val="16"/>
          <w:u w:val="single" w:color="auto"/>
          <w:color w:val="auto"/>
        </w:rPr>
        <w:t>Regulatory Compliance</w:t>
      </w:r>
      <w:r>
        <w:rPr>
          <w:rFonts w:ascii="Times New Roman" w:cs="Times New Roman" w:eastAsia="Times New Roman" w:hAnsi="Times New Roman"/>
          <w:sz w:val="16"/>
          <w:szCs w:val="16"/>
          <w:color w:val="auto"/>
        </w:rPr>
        <w:t>. (a) Since January 1, 2018, except as would not, individually or in the aggregate, reasonably be expected to result in a Company Material Adverse Effect, none of the Company, any of its Subsidiaries or, to the knowledge of the Company, any of their respective directors, officers, employees or Collaboration Partners (solely with respect to such Collaboration Partners’ activities with the Company and its Subsidiaries) have (i) made an untrue statement of a material fact or fraudulent statement to the U.S. Food and Drug Administration (the “</w:t>
      </w:r>
      <w:r>
        <w:rPr>
          <w:rFonts w:ascii="Times New Roman" w:cs="Times New Roman" w:eastAsia="Times New Roman" w:hAnsi="Times New Roman"/>
          <w:sz w:val="16"/>
          <w:szCs w:val="16"/>
          <w:u w:val="single" w:color="auto"/>
          <w:color w:val="auto"/>
        </w:rPr>
        <w:t>FDA</w:t>
      </w:r>
      <w:r>
        <w:rPr>
          <w:rFonts w:ascii="Times New Roman" w:cs="Times New Roman" w:eastAsia="Times New Roman" w:hAnsi="Times New Roman"/>
          <w:sz w:val="16"/>
          <w:szCs w:val="16"/>
          <w:color w:val="auto"/>
        </w:rPr>
        <w:t>”) or any other Health Authority, (ii) failed to disclose a material fact required to be disclosed to the FDA or any other Health Authority, or (iii) committed any other act, made any statement or failed to make any statement, that (in the case of any of (i), (ii) or (iii)) establishes a reasonable basis for the FDA to invoke the policy respecting “Fraud, Untrue Statements of Material Facts, Bribery, and Illegal Gratuities” set forth in 56 Fed. Reg. 46191 (September 10, 1991) (the “</w:t>
      </w:r>
      <w:r>
        <w:rPr>
          <w:rFonts w:ascii="Times New Roman" w:cs="Times New Roman" w:eastAsia="Times New Roman" w:hAnsi="Times New Roman"/>
          <w:sz w:val="16"/>
          <w:szCs w:val="16"/>
          <w:u w:val="single" w:color="auto"/>
          <w:color w:val="auto"/>
        </w:rPr>
        <w:t>FDA Fraud Policy</w:t>
      </w:r>
      <w:r>
        <w:rPr>
          <w:rFonts w:ascii="Times New Roman" w:cs="Times New Roman" w:eastAsia="Times New Roman" w:hAnsi="Times New Roman"/>
          <w:sz w:val="16"/>
          <w:szCs w:val="16"/>
          <w:color w:val="auto"/>
        </w:rPr>
        <w:t>”) or for any other Health Authority to invoke a similar policy that may be applicable to the Company or any of its Subsidiaries in another jurisdiction. None of the Company, any of its Subsidiaries or, to the knowledge of the Company, any of their respective directors, officers, employees or Collaboration Partners (solely with respect to such Collaboration Partners’ activities with the Company and its Subsidiaries) are the subject of any pending or, to the Company’s knowledge, threatened investigation by the FDA under the FDA Fraud Policy, or the subject of any similar investigation by any other Health Authority.</w:t>
      </w:r>
    </w:p>
    <w:p>
      <w:pPr>
        <w:spacing w:after="0" w:line="166" w:lineRule="exact"/>
        <w:rPr>
          <w:sz w:val="20"/>
          <w:szCs w:val="20"/>
          <w:color w:val="auto"/>
        </w:rPr>
      </w:pPr>
    </w:p>
    <w:p>
      <w:pPr>
        <w:ind w:right="220" w:firstLine="883"/>
        <w:spacing w:after="0" w:line="278" w:lineRule="auto"/>
        <w:tabs>
          <w:tab w:leader="none" w:pos="109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Parent true and complete copies of all correspondence, pre-submissions, submissions and other communications with the FDA since January 1, 2018, other than immaterial correspondence of an administrative nature.</w:t>
      </w:r>
    </w:p>
    <w:p>
      <w:pPr>
        <w:spacing w:after="0" w:line="144" w:lineRule="exact"/>
        <w:rPr>
          <w:rFonts w:ascii="Times New Roman" w:cs="Times New Roman" w:eastAsia="Times New Roman" w:hAnsi="Times New Roman"/>
          <w:sz w:val="16"/>
          <w:szCs w:val="16"/>
          <w:color w:val="auto"/>
        </w:rPr>
      </w:pPr>
    </w:p>
    <w:p>
      <w:pPr>
        <w:ind w:right="60" w:firstLine="883"/>
        <w:spacing w:after="0" w:line="255" w:lineRule="auto"/>
        <w:tabs>
          <w:tab w:leader="none" w:pos="109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result in a Company Material Adverse Effect, since January 1, 2018, (i) the Company and each of its Subsidiaries and, to the knowledge of the Company, each Collaboration Partner (solely with respect to such Collaboration Partner’s activities with the Company and its Subsidiaries), has been in compliance with all Health Laws, including those relating to laboratory developed tests, and without limiting the generality of the foregoing, (ii) all products under development by or on behalf of the Company or any of its Subsidiaries have been researched, developed, tested, manufactured, handled, labeled, packaged, stored, supplied,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9700"/>
          </w:cols>
          <w:pgMar w:left="1080" w:top="254" w:right="1119" w:bottom="1440" w:gutter="0" w:footer="0" w:header="0"/>
        </w:sectPr>
      </w:pPr>
    </w:p>
    <w:bookmarkStart w:id="67" w:name="page68"/>
    <w:bookmarkEnd w:id="67"/>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distributed, imported, and exported, as applicable, in compliance with applicable Health Laws as presently enforced with respect to laboratory developed tests and (iii) all clinical trials conducted by or on behalf of the Company or any of its Subsidiaries have been conducted in compliance in all material respects with applicable protocols, procedures and applicable Health Laws. Except as would not, individually or in the aggregate, reasonably be expected to result in a Company Material Adverse Effect, none of the Company, any of its Subsidiaries or, to the knowledge of the Company, any Collaboration Partner (solely with respect to such Collaboration Partner’s activities with the Company and its Subsidiaries) (A) has received any written notice or other written communication from any Health Authority (including a warning, untitled or notice of violation letter or Form FDA-483) alleging any violation of any Health Law, including any failure to maintain systems and programs adequate to ensure compliance with any such Health Laws or any violation of or failure to comply with any such Health Laws with respect to clinical trials, or contesting the premarket clearance or approval of, the uses of or the labeling and promotion of any product subject to any Health Law, or (B) is subject to any enforcement, regulatory or administrative proceedings against or affecting the Company relating to or arising under any Health Law and, to the knowledge of the Company, no such enforcement, regulatory or administrative proceeding has been threatened.</w:t>
      </w:r>
    </w:p>
    <w:p>
      <w:pPr>
        <w:spacing w:after="0" w:line="168" w:lineRule="exact"/>
        <w:rPr>
          <w:sz w:val="20"/>
          <w:szCs w:val="20"/>
          <w:color w:val="auto"/>
        </w:rPr>
      </w:pPr>
    </w:p>
    <w:p>
      <w:pPr>
        <w:ind w:right="180" w:firstLine="883"/>
        <w:spacing w:after="0" w:line="258" w:lineRule="auto"/>
        <w:tabs>
          <w:tab w:leader="none" w:pos="109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result in a Company Material Adverse Effect, Company and its Subsidiaries have, since January 1, 2018, (i) filed with the applicable Health Authority all required filings, including adverse event reports, and (ii) all such filings were in material compliance with applicable Law when filed, and no deficiencies have been asserted in writing by any applicable Health Authority with respect to any such filings.</w:t>
      </w:r>
    </w:p>
    <w:p>
      <w:pPr>
        <w:spacing w:after="0" w:line="160" w:lineRule="exact"/>
        <w:rPr>
          <w:rFonts w:ascii="Times New Roman" w:cs="Times New Roman" w:eastAsia="Times New Roman" w:hAnsi="Times New Roman"/>
          <w:sz w:val="16"/>
          <w:szCs w:val="16"/>
          <w:color w:val="auto"/>
        </w:rPr>
      </w:pPr>
    </w:p>
    <w:p>
      <w:pPr>
        <w:jc w:val="both"/>
        <w:ind w:right="40" w:firstLine="883"/>
        <w:spacing w:after="0" w:line="258" w:lineRule="auto"/>
        <w:tabs>
          <w:tab w:leader="none" w:pos="109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nor, to the knowledge of the Company, any director, officer, employee or agent of the Company or any of its Subsidiaries, has been convicted of any crime or engaged in any conduct for which debarment is mandated by Section 306 of the Federal Food, Drug, and Cosmetic Act (including the rules and regulations promulgated thereunder, the “</w:t>
      </w:r>
      <w:r>
        <w:rPr>
          <w:rFonts w:ascii="Times New Roman" w:cs="Times New Roman" w:eastAsia="Times New Roman" w:hAnsi="Times New Roman"/>
          <w:sz w:val="16"/>
          <w:szCs w:val="16"/>
          <w:u w:val="single" w:color="auto"/>
          <w:color w:val="auto"/>
        </w:rPr>
        <w:t>FDCA</w:t>
      </w:r>
      <w:r>
        <w:rPr>
          <w:rFonts w:ascii="Times New Roman" w:cs="Times New Roman" w:eastAsia="Times New Roman" w:hAnsi="Times New Roman"/>
          <w:sz w:val="16"/>
          <w:szCs w:val="16"/>
          <w:color w:val="auto"/>
        </w:rPr>
        <w:t>”), (21 U.S.C. § 335a(a)) or any other Health Law or authorized by Section 306 of the FDCA (21 U.S.C. § 335a(b)) or any other Health Law.</w:t>
      </w:r>
    </w:p>
    <w:p>
      <w:pPr>
        <w:spacing w:after="0" w:line="160" w:lineRule="exact"/>
        <w:rPr>
          <w:rFonts w:ascii="Times New Roman" w:cs="Times New Roman" w:eastAsia="Times New Roman" w:hAnsi="Times New Roman"/>
          <w:sz w:val="16"/>
          <w:szCs w:val="16"/>
          <w:color w:val="auto"/>
        </w:rPr>
      </w:pPr>
    </w:p>
    <w:p>
      <w:pPr>
        <w:ind w:right="40" w:firstLine="883"/>
        <w:spacing w:after="0" w:line="258" w:lineRule="auto"/>
        <w:tabs>
          <w:tab w:leader="none" w:pos="107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nor, to the knowledge of the Company, any officer, employee or agent of the Company or any of its Subsidiaries, has been convicted of any crime or engaged in any conduct for which such Person or entity could be excluded from participating in the federal health care programs under Section 1128 of the Social Security Act of 1935 (the “</w:t>
      </w:r>
      <w:r>
        <w:rPr>
          <w:rFonts w:ascii="Times New Roman" w:cs="Times New Roman" w:eastAsia="Times New Roman" w:hAnsi="Times New Roman"/>
          <w:sz w:val="16"/>
          <w:szCs w:val="16"/>
          <w:u w:val="single" w:color="auto"/>
          <w:color w:val="auto"/>
        </w:rPr>
        <w:t>Social Security Act</w:t>
      </w:r>
      <w:r>
        <w:rPr>
          <w:rFonts w:ascii="Times New Roman" w:cs="Times New Roman" w:eastAsia="Times New Roman" w:hAnsi="Times New Roman"/>
          <w:sz w:val="16"/>
          <w:szCs w:val="16"/>
          <w:color w:val="auto"/>
        </w:rPr>
        <w:t>”), or any similar Law in any foreign jurisdiction.</w:t>
      </w:r>
    </w:p>
    <w:p>
      <w:pPr>
        <w:spacing w:after="0" w:line="160" w:lineRule="exact"/>
        <w:rPr>
          <w:rFonts w:ascii="Times New Roman" w:cs="Times New Roman" w:eastAsia="Times New Roman" w:hAnsi="Times New Roman"/>
          <w:sz w:val="16"/>
          <w:szCs w:val="16"/>
          <w:color w:val="auto"/>
        </w:rPr>
      </w:pPr>
    </w:p>
    <w:p>
      <w:pPr>
        <w:jc w:val="both"/>
        <w:ind w:right="140" w:firstLine="883"/>
        <w:spacing w:after="0" w:line="258" w:lineRule="auto"/>
        <w:tabs>
          <w:tab w:leader="none" w:pos="109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result in a Company Material Adverse Effect, to the knowledge of the Company, there are no facts, circumstances or conditions that would reasonably be expected to form the basis for any Action against or affecting the Company or any of its Subsidiaries, in each case relating to or arising under (i) the FDCA or any other Health Law or (ii) the Social Security Act or any similar Law in any foreign jurisdiction.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9700"/>
          </w:cols>
          <w:pgMar w:left="1080" w:top="254" w:right="1119" w:bottom="1440" w:gutter="0" w:footer="0" w:header="0"/>
        </w:sectPr>
      </w:pPr>
    </w:p>
    <w:bookmarkStart w:id="68" w:name="page69"/>
    <w:bookmarkEnd w:id="68"/>
    <w:p>
      <w:pPr>
        <w:ind w:firstLine="874"/>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4.19 </w:t>
      </w:r>
      <w:r>
        <w:rPr>
          <w:rFonts w:ascii="Times New Roman" w:cs="Times New Roman" w:eastAsia="Times New Roman" w:hAnsi="Times New Roman"/>
          <w:sz w:val="16"/>
          <w:szCs w:val="16"/>
          <w:u w:val="single" w:color="auto"/>
          <w:color w:val="auto"/>
        </w:rPr>
        <w:t>Prohibited Payments</w:t>
      </w:r>
      <w:r>
        <w:rPr>
          <w:rFonts w:ascii="Times New Roman" w:cs="Times New Roman" w:eastAsia="Times New Roman" w:hAnsi="Times New Roman"/>
          <w:sz w:val="16"/>
          <w:szCs w:val="16"/>
          <w:color w:val="auto"/>
        </w:rPr>
        <w:t>. (a) Except as would not, individually or in the aggregate, reasonably be expected to result in a Company Material Adverse Effect, none of the Company, any of its Subsidiaries, any of their respective officers or employees, and, to the knowledge of the Company, any supplier, distributor, licensee or agent or any other Person acting on behalf of the Company or any of its Subsidiaries, directly or indirectly, has (i) made or offered to make or received any direct or indirect payments in violation of the United States Foreign Corrupt Practices Act, the U.K. Bribery Act 2010, the OECD Convention on Combating Bribery of Foreign Public Officials in International Business Transactions or any other applicable anti-corruption or anti-bribery Law (collectively, “</w:t>
      </w:r>
      <w:r>
        <w:rPr>
          <w:rFonts w:ascii="Times New Roman" w:cs="Times New Roman" w:eastAsia="Times New Roman" w:hAnsi="Times New Roman"/>
          <w:sz w:val="16"/>
          <w:szCs w:val="16"/>
          <w:u w:val="single" w:color="auto"/>
          <w:color w:val="auto"/>
        </w:rPr>
        <w:t>Anti-Corruption Laws</w:t>
      </w:r>
      <w:r>
        <w:rPr>
          <w:rFonts w:ascii="Times New Roman" w:cs="Times New Roman" w:eastAsia="Times New Roman" w:hAnsi="Times New Roman"/>
          <w:sz w:val="16"/>
          <w:szCs w:val="16"/>
          <w:color w:val="auto"/>
        </w:rPr>
        <w:t>”),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Except as would not, individually or in the aggregate, reasonably be expected to result in a Company Material Adverse Effect, neither the Company nor any of its Subsidiaries has received any written or, to the knowledge of the Company, other communication from any Governmental Authority regarding any material violation of, or failure to comply with, any Anti-Corruption Laws or to the knowledge of the Company, is the subject of any internal complaint, audit or review process regarding a material violation of, or failure to comply with, any Anti-Corruption Laws. Since January 1, 2018, neither the Company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 Company Material Adverse Effect.</w:t>
      </w:r>
    </w:p>
    <w:p>
      <w:pPr>
        <w:spacing w:after="0" w:line="169" w:lineRule="exact"/>
        <w:rPr>
          <w:sz w:val="20"/>
          <w:szCs w:val="20"/>
          <w:color w:val="auto"/>
        </w:rPr>
      </w:pPr>
    </w:p>
    <w:p>
      <w:pPr>
        <w:ind w:right="80" w:firstLine="883"/>
        <w:spacing w:after="0" w:line="251" w:lineRule="auto"/>
        <w:tabs>
          <w:tab w:leader="none" w:pos="109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operations of the Company and its Subsidiaries are and have been conducted at all times in compliance in all respects with applicable financial recordkeeping, reporting and internal control requirements of the Currency and Foreign Transactions Reporting Act of 1970, the money laundering statutes of all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6"/>
          <w:szCs w:val="16"/>
          <w:u w:val="single" w:color="auto"/>
          <w:color w:val="auto"/>
        </w:rPr>
        <w:t>Money Laundering Laws</w:t>
      </w:r>
      <w:r>
        <w:rPr>
          <w:rFonts w:ascii="Times New Roman" w:cs="Times New Roman" w:eastAsia="Times New Roman" w:hAnsi="Times New Roman"/>
          <w:sz w:val="16"/>
          <w:szCs w:val="16"/>
          <w:color w:val="auto"/>
        </w:rPr>
        <w:t>”) and of the United States Foreign Corrupt Practices Act, except, in each case, where such non-compliance would not, individually or in the aggregate, reasonably be expected to have a Company Material Adverse Effect. No action, claim, suit or proceeding by or before any Governmental Authority involving the Company or any of its Subsidiaries with respect to the Money Laundering Laws is pending or, to the knowledge of the Company, threatened, nor, to the knowledge of the Company, is any investigation by or before any Governmental Authority involving the Company or any of its Subsidiaries with respect to the Money Laundering Laws pending or threatened, in each case except as would not, individually or in the aggregate, reasonably be expected to have a Company Material Adverse Effect.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9700"/>
          </w:cols>
          <w:pgMar w:left="1080" w:top="254" w:right="1119" w:bottom="1440" w:gutter="0" w:footer="0" w:header="0"/>
        </w:sectPr>
      </w:pPr>
    </w:p>
    <w:bookmarkStart w:id="69" w:name="page70"/>
    <w:bookmarkEnd w:id="69"/>
    <w:p>
      <w:pPr>
        <w:ind w:firstLine="883"/>
        <w:spacing w:after="0" w:line="251" w:lineRule="auto"/>
        <w:tabs>
          <w:tab w:leader="none" w:pos="109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None of the Company, any of its Subsidiaries or, to the knowledge of the Company, any of their respective Representatives or Affiliates (nor, to the knowledge of the Company, any Person or entity acting on behalf of any of the foregoing) is currently a Person that is, or is owned or controlled by a Person that is (“</w:t>
      </w:r>
      <w:r>
        <w:rPr>
          <w:rFonts w:ascii="Times New Roman" w:cs="Times New Roman" w:eastAsia="Times New Roman" w:hAnsi="Times New Roman"/>
          <w:sz w:val="16"/>
          <w:szCs w:val="16"/>
          <w:u w:val="single" w:color="auto"/>
          <w:color w:val="auto"/>
        </w:rPr>
        <w:t>Sanctioned Person</w:t>
      </w:r>
      <w:r>
        <w:rPr>
          <w:rFonts w:ascii="Times New Roman" w:cs="Times New Roman" w:eastAsia="Times New Roman" w:hAnsi="Times New Roman"/>
          <w:sz w:val="16"/>
          <w:szCs w:val="16"/>
          <w:color w:val="auto"/>
        </w:rPr>
        <w:t>”), (i) the subject or the target of any sanctions administered or enforced by the U.S. Government (including, without limitation, the Office of Foreign Assets Control of the U.S. Department of the Treasury or the U.S. Department of State), the United Nations Security Council, the European Union, or Her Majesty’s Treasury (collectively, “</w:t>
      </w:r>
      <w:r>
        <w:rPr>
          <w:rFonts w:ascii="Times New Roman" w:cs="Times New Roman" w:eastAsia="Times New Roman" w:hAnsi="Times New Roman"/>
          <w:sz w:val="16"/>
          <w:szCs w:val="16"/>
          <w:u w:val="single" w:color="auto"/>
          <w:color w:val="auto"/>
        </w:rPr>
        <w:t>Sanctions</w:t>
      </w:r>
      <w:r>
        <w:rPr>
          <w:rFonts w:ascii="Times New Roman" w:cs="Times New Roman" w:eastAsia="Times New Roman" w:hAnsi="Times New Roman"/>
          <w:sz w:val="16"/>
          <w:szCs w:val="16"/>
          <w:color w:val="auto"/>
        </w:rPr>
        <w:t>”), or (ii) located, organized, or resident in a country or territory subject to comprehensive Sanctions. The Company is not knowingly engaged in any dealings or transactions with any Sanctioned Person. No action, claim, suit or proceeding by or before any Governmental Authority involving the Company or any of its Subsidiaries with respect to any Sanctions is pending or, to the knowledge of the Company, threatened, nor, to the knowledge of the Company, is any investigation by or before any Governmental Authority involving the Company or any of its Subsidiaries with respect to any Sanctions pending or threatened, in each case except as would not, individually or in the aggregate, reasonably be expected to have a Company Material Adverse Effect.</w:t>
      </w:r>
    </w:p>
    <w:p>
      <w:pPr>
        <w:spacing w:after="0" w:line="170" w:lineRule="exact"/>
        <w:rPr>
          <w:rFonts w:ascii="Times New Roman" w:cs="Times New Roman" w:eastAsia="Times New Roman" w:hAnsi="Times New Roman"/>
          <w:sz w:val="16"/>
          <w:szCs w:val="16"/>
          <w:color w:val="auto"/>
        </w:rPr>
      </w:pPr>
    </w:p>
    <w:p>
      <w:pPr>
        <w:ind w:right="40" w:firstLine="883"/>
        <w:spacing w:after="0" w:line="273" w:lineRule="auto"/>
        <w:tabs>
          <w:tab w:leader="none" w:pos="1098"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have conducted their transactions in compliance with all applicable export and re-export control Laws, including the International Traffic in Arms Regulations and the Export Administration Regulations (collectively, “</w:t>
      </w:r>
      <w:r>
        <w:rPr>
          <w:rFonts w:ascii="Times New Roman" w:cs="Times New Roman" w:eastAsia="Times New Roman" w:hAnsi="Times New Roman"/>
          <w:sz w:val="15"/>
          <w:szCs w:val="15"/>
          <w:u w:val="single" w:color="auto"/>
          <w:color w:val="auto"/>
        </w:rPr>
        <w:t>Export Control Laws</w:t>
      </w:r>
      <w:r>
        <w:rPr>
          <w:rFonts w:ascii="Times New Roman" w:cs="Times New Roman" w:eastAsia="Times New Roman" w:hAnsi="Times New Roman"/>
          <w:sz w:val="15"/>
          <w:szCs w:val="15"/>
          <w:color w:val="auto"/>
        </w:rPr>
        <w:t>”), except, in each case, where such non-compliance would not, individually or in the aggregate, reasonably be expected to have a Company Material Adverse Effect. No action, claim, suit or proceeding by or before any Governmental Authority involving the Company or any of its Subsidiaries with respect to the Export Control Laws is pending or, to the knowledge of the Company, threatened, nor, to the knowledge of the Company, is any investigation by or before any Governmental Authority involving the Company or any of its Subsidiaries with respect to the Export Control Laws pending or threatened, in each case except as would not, individually or in the aggregate, reasonably be expected to have a Company Material Adverse Effect.</w:t>
      </w:r>
    </w:p>
    <w:p>
      <w:pPr>
        <w:spacing w:after="0" w:line="149" w:lineRule="exact"/>
        <w:rPr>
          <w:rFonts w:ascii="Times New Roman" w:cs="Times New Roman" w:eastAsia="Times New Roman" w:hAnsi="Times New Roman"/>
          <w:sz w:val="15"/>
          <w:szCs w:val="15"/>
          <w:color w:val="auto"/>
        </w:rPr>
      </w:pPr>
    </w:p>
    <w:p>
      <w:pPr>
        <w:jc w:val="both"/>
        <w:ind w:right="200" w:firstLine="883"/>
        <w:spacing w:after="0" w:line="263" w:lineRule="auto"/>
        <w:tabs>
          <w:tab w:leader="none" w:pos="109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and has implemented policies and procedures reasonably designed to ensure compliance with the Anti-Corruption Laws, Money Laundering Laws, Sanctions and Export Control Laws except as would not, individually or in the aggregate, reasonably be expected to have a Company Material Adverse Effect.</w:t>
      </w:r>
    </w:p>
    <w:p>
      <w:pPr>
        <w:spacing w:after="0" w:line="157" w:lineRule="exact"/>
        <w:rPr>
          <w:sz w:val="20"/>
          <w:szCs w:val="20"/>
          <w:color w:val="auto"/>
        </w:rPr>
      </w:pPr>
    </w:p>
    <w:p>
      <w:pPr>
        <w:ind w:right="240" w:firstLine="874"/>
        <w:spacing w:after="0" w:line="278" w:lineRule="auto"/>
        <w:rPr>
          <w:sz w:val="20"/>
          <w:szCs w:val="20"/>
          <w:color w:val="auto"/>
        </w:rPr>
      </w:pPr>
      <w:r>
        <w:rPr>
          <w:rFonts w:ascii="Times New Roman" w:cs="Times New Roman" w:eastAsia="Times New Roman" w:hAnsi="Times New Roman"/>
          <w:sz w:val="16"/>
          <w:szCs w:val="16"/>
          <w:color w:val="auto"/>
        </w:rPr>
        <w:t xml:space="preserve">Section 4.20 </w:t>
      </w:r>
      <w:r>
        <w:rPr>
          <w:rFonts w:ascii="Times New Roman" w:cs="Times New Roman" w:eastAsia="Times New Roman" w:hAnsi="Times New Roman"/>
          <w:sz w:val="16"/>
          <w:szCs w:val="16"/>
          <w:u w:val="single" w:color="auto"/>
          <w:color w:val="auto"/>
        </w:rPr>
        <w:t>Rights Agreement; State Takeover Statutes</w:t>
      </w:r>
      <w:r>
        <w:rPr>
          <w:rFonts w:ascii="Times New Roman" w:cs="Times New Roman" w:eastAsia="Times New Roman" w:hAnsi="Times New Roman"/>
          <w:sz w:val="16"/>
          <w:szCs w:val="16"/>
          <w:color w:val="auto"/>
        </w:rPr>
        <w:t>. (a) The Company is not party to any rights agreement, “poison pill” or similar agreement or plan.</w:t>
      </w:r>
    </w:p>
    <w:p>
      <w:pPr>
        <w:spacing w:after="0" w:line="145" w:lineRule="exact"/>
        <w:rPr>
          <w:sz w:val="20"/>
          <w:szCs w:val="20"/>
          <w:color w:val="auto"/>
        </w:rPr>
      </w:pPr>
    </w:p>
    <w:p>
      <w:pPr>
        <w:ind w:right="40" w:firstLine="883"/>
        <w:spacing w:after="0" w:line="251" w:lineRule="auto"/>
        <w:tabs>
          <w:tab w:leader="none" w:pos="109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Board, including both Preferred Directors (as defined in the Company’s certificate of incorporation) has approved unanimously by all directors present at a meeting of the Company Board held on the date hereof the terms of this Agreement, the consummation of the Transactions, including the Mergers, the terms of the Support Agreements and the terms of the Selling Investor Support Agreement and such approval is sufficient to render inapplicable to this Agreement, the Transactions, including the Mergers, the Support Agreements and the Selling Investor Support Agreement the restrictions on “business combinations” set forth in Section 203 of the DGCL, to the extent such restrictions would otherwise be applicable to this Agreement, the Transactions, including the Mergers, the Support Agreements and the Selling Investor Support Agreement. Assuming the accuracy of the representations and warranties of Parent, First Merger Sub and Second Merger Sub set forth in </w:t>
      </w:r>
      <w:r>
        <w:rPr>
          <w:rFonts w:ascii="Times New Roman" w:cs="Times New Roman" w:eastAsia="Times New Roman" w:hAnsi="Times New Roman"/>
          <w:sz w:val="16"/>
          <w:szCs w:val="16"/>
          <w:u w:val="single" w:color="auto"/>
          <w:color w:val="auto"/>
        </w:rPr>
        <w:t>Section 5.14</w:t>
      </w:r>
      <w:r>
        <w:rPr>
          <w:rFonts w:ascii="Times New Roman" w:cs="Times New Roman" w:eastAsia="Times New Roman" w:hAnsi="Times New Roman"/>
          <w:sz w:val="16"/>
          <w:szCs w:val="16"/>
          <w:color w:val="auto"/>
        </w:rPr>
        <w:t>, no “business combination”, “control share acquisition”, “fair price”, “moratorium” or other anti-takeover or similar Laws apply to this Agreement, the CVR Agreement or the Transactions, including the Mergers. To the knowledge of the Company, the Company and its Subsidiaries are not subject to Section 2115(b) of the California Corporations Code.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9720"/>
          </w:cols>
          <w:pgMar w:left="1080" w:top="254" w:right="1099" w:bottom="1440" w:gutter="0" w:footer="0" w:header="0"/>
        </w:sectPr>
      </w:pPr>
    </w:p>
    <w:bookmarkStart w:id="70" w:name="page71"/>
    <w:bookmarkEnd w:id="70"/>
    <w:p>
      <w:pPr>
        <w:ind w:right="180" w:firstLine="874"/>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4.21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The Company has received the opinion of Morgan Stanley &amp; Co. LLC, dated the date of this Agreement, to the effect that, as of the date of this Agreement, the Merger Consideration is fair, from a financial point of view, to the Company’s stockholders, a signed copy of which opinion has been, or will promptly be, delivered to Parent.</w:t>
      </w:r>
    </w:p>
    <w:p>
      <w:pPr>
        <w:spacing w:after="0" w:line="157" w:lineRule="exact"/>
        <w:rPr>
          <w:sz w:val="20"/>
          <w:szCs w:val="20"/>
          <w:color w:val="auto"/>
        </w:rPr>
      </w:pPr>
    </w:p>
    <w:p>
      <w:pPr>
        <w:ind w:right="20"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4.22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The information supplied by the Company for inclusion or incorporation by reference in the Registration Statement and the Consent Solicitation Statement will not when supplied contain any untrue statement of a material fact or omit to state any material fact required to be stated therein or necessary in order to make the statements therein, in light of the circumstances under which they were made, not misleading.</w:t>
      </w:r>
    </w:p>
    <w:p>
      <w:pPr>
        <w:spacing w:after="0" w:line="161" w:lineRule="exact"/>
        <w:rPr>
          <w:sz w:val="20"/>
          <w:szCs w:val="20"/>
          <w:color w:val="auto"/>
        </w:rPr>
      </w:pPr>
    </w:p>
    <w:p>
      <w:pPr>
        <w:ind w:firstLine="874"/>
        <w:spacing w:after="0" w:line="250" w:lineRule="auto"/>
        <w:rPr>
          <w:sz w:val="20"/>
          <w:szCs w:val="20"/>
          <w:color w:val="auto"/>
        </w:rPr>
      </w:pPr>
      <w:r>
        <w:rPr>
          <w:rFonts w:ascii="Times New Roman" w:cs="Times New Roman" w:eastAsia="Times New Roman" w:hAnsi="Times New Roman"/>
          <w:sz w:val="16"/>
          <w:szCs w:val="16"/>
          <w:color w:val="auto"/>
        </w:rPr>
        <w:t xml:space="preserve">Section 4.23 </w:t>
      </w:r>
      <w:r>
        <w:rPr>
          <w:rFonts w:ascii="Times New Roman" w:cs="Times New Roman" w:eastAsia="Times New Roman" w:hAnsi="Times New Roman"/>
          <w:sz w:val="16"/>
          <w:szCs w:val="16"/>
          <w:u w:val="single" w:color="auto"/>
          <w:color w:val="auto"/>
        </w:rPr>
        <w:t>No Other Representations and Warranties</w:t>
      </w:r>
      <w:r>
        <w:rPr>
          <w:rFonts w:ascii="Times New Roman" w:cs="Times New Roman" w:eastAsia="Times New Roman" w:hAnsi="Times New Roman"/>
          <w:sz w:val="16"/>
          <w:szCs w:val="16"/>
          <w:color w:val="auto"/>
        </w:rPr>
        <w:t xml:space="preserve">. Notwithstanding anything herein to the contrary, the representations and warranties of the Company expressly set forth in this Article IV and in the certificate delivered by the Company pursuant to </w:t>
      </w:r>
      <w:r>
        <w:rPr>
          <w:rFonts w:ascii="Times New Roman" w:cs="Times New Roman" w:eastAsia="Times New Roman" w:hAnsi="Times New Roman"/>
          <w:sz w:val="16"/>
          <w:szCs w:val="16"/>
          <w:u w:val="single" w:color="auto"/>
          <w:color w:val="auto"/>
        </w:rPr>
        <w:t>Section 8.02(c</w:t>
      </w:r>
      <w:r>
        <w:rPr>
          <w:rFonts w:ascii="Times New Roman" w:cs="Times New Roman" w:eastAsia="Times New Roman" w:hAnsi="Times New Roman"/>
          <w:sz w:val="16"/>
          <w:szCs w:val="16"/>
          <w:color w:val="auto"/>
        </w:rPr>
        <w:t xml:space="preserve">) are and shall constitute the sole and exclusive representations and warranties made with respect to the Company and its Subsidiaries in connection with this Agreement or the Transactions. Except for the representations and warranties referred to in previous sentence, none of the Company, its Subsidiaries or any other Person has made or is making any express or implied representations or warranty, statutory or otherwise, of any nature, including with respect to any express or implied representation or warranty as to the merchantability, quality, quantity, suitability or fitness for any particular purpose of the business or the assets of the Company and its Subsidiaries. Except for the representations and warranties expressly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in the certificate delivered pursuant to </w:t>
      </w:r>
      <w:r>
        <w:rPr>
          <w:rFonts w:ascii="Times New Roman" w:cs="Times New Roman" w:eastAsia="Times New Roman" w:hAnsi="Times New Roman"/>
          <w:sz w:val="16"/>
          <w:szCs w:val="16"/>
          <w:u w:val="single" w:color="auto"/>
          <w:color w:val="auto"/>
        </w:rPr>
        <w:t>Section 8.02(c</w:t>
      </w:r>
      <w:r>
        <w:rPr>
          <w:rFonts w:ascii="Times New Roman" w:cs="Times New Roman" w:eastAsia="Times New Roman" w:hAnsi="Times New Roman"/>
          <w:sz w:val="16"/>
          <w:szCs w:val="16"/>
          <w:color w:val="auto"/>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the Company and its Subsidiaries, are hereby expressly disclaimed. The Company hereby acknowledges and agrees that, except for the representations and warranties set forth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and in the certificate delivered by Parent, First Merger Sub or Second Merger Sub pursuant to </w:t>
      </w:r>
      <w:r>
        <w:rPr>
          <w:rFonts w:ascii="Times New Roman" w:cs="Times New Roman" w:eastAsia="Times New Roman" w:hAnsi="Times New Roman"/>
          <w:sz w:val="16"/>
          <w:szCs w:val="16"/>
          <w:u w:val="single" w:color="auto"/>
          <w:color w:val="auto"/>
        </w:rPr>
        <w:t>Section 8.03(c</w:t>
      </w:r>
      <w:r>
        <w:rPr>
          <w:rFonts w:ascii="Times New Roman" w:cs="Times New Roman" w:eastAsia="Times New Roman" w:hAnsi="Times New Roman"/>
          <w:sz w:val="16"/>
          <w:szCs w:val="16"/>
          <w:color w:val="auto"/>
        </w:rPr>
        <w:t>), (a) none of Parent or any of its Subsidiaries, or any of its or their respective Affiliates, stockholders or Representatives, or any other Person, has made or is making any express or implied representation or warranty with respect to Parent or any of its Subsidiaries or their respective business or operations, including with respect to any information provided or made available to the Company or any of its Affiliates, stockholders or Representatives, or any other Person, or, except as otherwise expressly set forth in this Agreement, had or has any duty or obligation to provide any information to the Company or any of its Affiliates, stockholders or Representatives, or any other Person, in connection with this Agreement, the transactions contemplated hereby or otherwise, and (b) to the fullest extent permitted by law, none of Parent or any of its Subsidiaries, or any of its or their respective Affiliates, stockholders or Representatives, or any other Person, will have or be subject to any liability or other obligation of any kind or nature to the Company or any of its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9720"/>
          </w:cols>
          <w:pgMar w:left="1080" w:top="254" w:right="10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Affiliates, stockholders or Representatives, or any other Person, resulting from the delivery, dissemination or any other distribution to the Company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its Affiliates, stockholders or Representatives, or any other Person, or the use by the Company or any of its Affiliates, stockholders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Representatives, or any other Person, of any such information provided or made available to any of them by Parent or any of its Subsidiaries, or any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its or their respective Affiliates, stockholders or Representatives, or any other Person, including any information, documents, estimates, projections,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forecasts or other forward-looking information, business plans or other material provided or made available to the Company or any of its Affiliates,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stockholders, or Representatives, or any other Person, in “data rooms,” confidential information memoranda, management presentations or otherwise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anticipation or contemplation of the Mergers or any other Transaction, and (subject to the express representations and warranties of Parent, First Merger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Sub and Second Merger Sub set forth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and the certificate delivered by Parent, First Merger Sub or Second Merger Sub pursuant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8.03(c)</w:t>
      </w:r>
      <w:r>
        <w:rPr>
          <w:rFonts w:ascii="Times New Roman" w:cs="Times New Roman" w:eastAsia="Times New Roman" w:hAnsi="Times New Roman"/>
          <w:sz w:val="16"/>
          <w:szCs w:val="16"/>
          <w:color w:val="auto"/>
        </w:rPr>
        <w:t>) none of the Company or any of its Affiliates, stockholders or Representatives, or any other Person, has relied on any such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the accuracy or completeness thereof).</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REPRESENTATIONS AND WARRANTIES OF PARENT, FIRST MERGER SUB AND SECOND MERGER SUB</w:t>
      </w:r>
    </w:p>
    <w:p>
      <w:pPr>
        <w:spacing w:after="0" w:line="199" w:lineRule="exact"/>
        <w:rPr>
          <w:sz w:val="20"/>
          <w:szCs w:val="20"/>
          <w:color w:val="auto"/>
        </w:rPr>
      </w:pPr>
    </w:p>
    <w:p>
      <w:pPr>
        <w:ind w:right="240" w:firstLine="874"/>
        <w:spacing w:after="0" w:line="277" w:lineRule="auto"/>
        <w:rPr>
          <w:sz w:val="20"/>
          <w:szCs w:val="20"/>
          <w:color w:val="auto"/>
        </w:rPr>
      </w:pPr>
      <w:r>
        <w:rPr>
          <w:rFonts w:ascii="Times New Roman" w:cs="Times New Roman" w:eastAsia="Times New Roman" w:hAnsi="Times New Roman"/>
          <w:sz w:val="15"/>
          <w:szCs w:val="15"/>
          <w:color w:val="auto"/>
        </w:rPr>
        <w:t>As an inducement to the Company to enter into this Agreement, except as disclosed in the Parent SEC Reports (including exhibits and other information incorporated by reference therein) filed by Parent and publicly available prior to the date of this Agreement (“</w:t>
      </w:r>
      <w:r>
        <w:rPr>
          <w:rFonts w:ascii="Times New Roman" w:cs="Times New Roman" w:eastAsia="Times New Roman" w:hAnsi="Times New Roman"/>
          <w:sz w:val="15"/>
          <w:szCs w:val="15"/>
          <w:u w:val="single" w:color="auto"/>
          <w:color w:val="auto"/>
        </w:rPr>
        <w:t>Filed Parent SEC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Reports</w:t>
      </w:r>
      <w:r>
        <w:rPr>
          <w:rFonts w:ascii="Times New Roman" w:cs="Times New Roman" w:eastAsia="Times New Roman" w:hAnsi="Times New Roman"/>
          <w:sz w:val="15"/>
          <w:szCs w:val="15"/>
          <w:color w:val="auto"/>
        </w:rPr>
        <w:t>”) (but excluding any forward-looking disclosures set forth in any “risk factors” section, any disclosures in any “forward-looking statements” section and any other disclosures included therein to the extent they are predictive or forward-looking in nature, in each case other than statements of historical fact), Parent, First Merger Sub and Second Merger Sub hereby, jointly and severally, represent and warrant to the Company that:</w:t>
      </w:r>
    </w:p>
    <w:p>
      <w:pPr>
        <w:spacing w:after="0" w:line="147" w:lineRule="exact"/>
        <w:rPr>
          <w:sz w:val="20"/>
          <w:szCs w:val="20"/>
          <w:color w:val="auto"/>
        </w:rPr>
      </w:pPr>
    </w:p>
    <w:p>
      <w:pPr>
        <w:ind w:firstLine="874"/>
        <w:spacing w:after="0" w:line="271" w:lineRule="auto"/>
        <w:rPr>
          <w:sz w:val="20"/>
          <w:szCs w:val="20"/>
          <w:color w:val="auto"/>
        </w:rPr>
      </w:pPr>
      <w:r>
        <w:rPr>
          <w:rFonts w:ascii="Times New Roman" w:cs="Times New Roman" w:eastAsia="Times New Roman" w:hAnsi="Times New Roman"/>
          <w:sz w:val="15"/>
          <w:szCs w:val="15"/>
          <w:color w:val="auto"/>
        </w:rPr>
        <w:t xml:space="preserve">Section 5.01 </w:t>
      </w:r>
      <w:r>
        <w:rPr>
          <w:rFonts w:ascii="Times New Roman" w:cs="Times New Roman" w:eastAsia="Times New Roman" w:hAnsi="Times New Roman"/>
          <w:sz w:val="15"/>
          <w:szCs w:val="15"/>
          <w:u w:val="single" w:color="auto"/>
          <w:color w:val="auto"/>
        </w:rPr>
        <w:t>Organization</w:t>
      </w:r>
      <w:r>
        <w:rPr>
          <w:rFonts w:ascii="Times New Roman" w:cs="Times New Roman" w:eastAsia="Times New Roman" w:hAnsi="Times New Roman"/>
          <w:sz w:val="15"/>
          <w:szCs w:val="15"/>
          <w:color w:val="auto"/>
        </w:rPr>
        <w:t>. Each of Parent, First Merger Sub and Second Merger Sub is a company duly organized, validly existing and in good standing under the Laws of the jurisdiction of its incorporation or formation, as applicable, and has the requisite corporate or limited liability company power and authority and all necessary governmental approvals to own, lease and operate its properties and assets and to carry on its business as it is now being conducted, except where the failure to possess such governmental approvals would not, individually or in the aggregate, reasonably be expected to have a Parent Material Adverse Effect. Each of Parent, First Merger Sub and Second Merger Sub is duly qualified or licensed as a foreign corporation or limited liability company to do business, and is in good standing, in each jurisdiction where the character of the properties or assets owned, leased or operated by it or the nature of its business makes such qualification or licensing necessary, except where the failure to be so qualified or licensed and in good standing would not, individually or in the aggregate, be reasonably expected to have a Parent Material Adverse Effect.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9700"/>
          </w:cols>
          <w:pgMar w:left="1080" w:top="254" w:right="1119" w:bottom="1440" w:gutter="0" w:footer="0" w:header="0"/>
        </w:sectPr>
      </w:pPr>
    </w:p>
    <w:bookmarkStart w:id="72" w:name="page73"/>
    <w:bookmarkEnd w:id="72"/>
    <w:p>
      <w:pPr>
        <w:ind w:right="20" w:firstLine="874"/>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5.02 </w:t>
      </w:r>
      <w:r>
        <w:rPr>
          <w:rFonts w:ascii="Times New Roman" w:cs="Times New Roman" w:eastAsia="Times New Roman" w:hAnsi="Times New Roman"/>
          <w:sz w:val="16"/>
          <w:szCs w:val="16"/>
          <w:u w:val="single" w:color="auto"/>
          <w:color w:val="auto"/>
        </w:rPr>
        <w:t>Certificate of Incorporation and Bylaws</w:t>
      </w:r>
      <w:r>
        <w:rPr>
          <w:rFonts w:ascii="Times New Roman" w:cs="Times New Roman" w:eastAsia="Times New Roman" w:hAnsi="Times New Roman"/>
          <w:sz w:val="16"/>
          <w:szCs w:val="16"/>
          <w:color w:val="auto"/>
        </w:rPr>
        <w:t>. Parent has made available to the Company, prior to the execution of this Agreement, a true and complete copy of the certificate of incorporation and bylaws of Parent and of First Merger Sub and a true and complete copy of the certificate of formation and operating agreement of Second Merger Sub, each as amended to the date of this Agreement. Such certificates of incorporation and bylaws and such certificate of formation and operating agreement are in full force and effect. None of Parent, First Merger Sub nor Second Merger Sub is in violation of any of the provisions of its certificate of incorporation, certificate of formation, bylaws, operating agreement or equivalent organizational documents.</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5.03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(a) The authorized capital stock of Parent consists of (i) 320,000,000 shares of Parent Common Stock and</w:t>
      </w:r>
    </w:p>
    <w:p>
      <w:pPr>
        <w:spacing w:after="0" w:line="23" w:lineRule="exact"/>
        <w:rPr>
          <w:sz w:val="20"/>
          <w:szCs w:val="20"/>
          <w:color w:val="auto"/>
        </w:rPr>
      </w:pPr>
    </w:p>
    <w:p>
      <w:pPr>
        <w:ind w:firstLine="9"/>
        <w:spacing w:after="0" w:line="249" w:lineRule="auto"/>
        <w:tabs>
          <w:tab w:leader="none" w:pos="23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10,000,000 shares of preferred stock, par value $0.01 per share. As of September 11, 2020, (A) 146,360,372 shares of Parent Common Stock are issued and outstanding, all of which are duly authorized, validly issued, fully paid and non-assessable, (B) 47,967,116 shares of Parent Common Stock are held in the treasury of Parent, (C) 1,817,350 shares of Parent Common Stock are subject to outstanding equity-based awards granted pursuant to Parent’s stock incentive plans and (D) there are no outstanding shares of preferred stock. Except as set forth in this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and except for stock options granted pursuant to the stock option plans of Parent, there are no options, calls, warrants, convertible debt or other convertible or exchangeable instruments or other rights, agreements, arrangements or commitments of any character made or issued by Parent, First Merger Sub or Second Merger Sub relating to the issued or unissued capital stock of Parent, First Merger Sub or Second Merger Sub or obligating Parent, First Merger Sub or Second Merger Sub to issue, deliver or sell any shares of capital stock, voting securities or other equity interests or securities convertible into or exchangeable or exercisable for capital stock, voting securities or other equity interests of Parent, First Merger Sub or Second Merger Sub. All shares of Parent Common Stock subject to issuance as aforesaid, upon issuance on the terms and conditions specified in the instruments pursuant to which they are issuable, will be duly authorized, validly issued, fully paid and non-assessable.</w:t>
      </w:r>
    </w:p>
    <w:p>
      <w:pPr>
        <w:spacing w:after="0" w:line="168" w:lineRule="exact"/>
        <w:rPr>
          <w:rFonts w:ascii="Times New Roman" w:cs="Times New Roman" w:eastAsia="Times New Roman" w:hAnsi="Times New Roman"/>
          <w:sz w:val="16"/>
          <w:szCs w:val="16"/>
          <w:color w:val="auto"/>
        </w:rPr>
      </w:pPr>
    </w:p>
    <w:p>
      <w:pPr>
        <w:jc w:val="both"/>
        <w:ind w:right="60" w:firstLine="883"/>
        <w:spacing w:after="0" w:line="281" w:lineRule="auto"/>
        <w:tabs>
          <w:tab w:leader="none" w:pos="1098"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authorized capital stock of First Merger Sub consists of 1,000 shares of common stock, par value $0.01 per share, all of which are duly authorized, validly issued, fully paid and non-assessable and free of any preemptive rights in respect thereof and all of which are owned by Parent. Each outstanding share of capital stock of First Merger Sub is owned by Parent free and clear of all Encumbrances, except where failure to own such shares free and clear would not, individually or in the aggregate, materially adversely affect Parent’s ability to consummate the Transactions.</w:t>
      </w:r>
    </w:p>
    <w:p>
      <w:pPr>
        <w:spacing w:after="0" w:line="144" w:lineRule="exact"/>
        <w:rPr>
          <w:rFonts w:ascii="Times New Roman" w:cs="Times New Roman" w:eastAsia="Times New Roman" w:hAnsi="Times New Roman"/>
          <w:sz w:val="15"/>
          <w:szCs w:val="15"/>
          <w:color w:val="auto"/>
        </w:rPr>
      </w:pPr>
    </w:p>
    <w:p>
      <w:pPr>
        <w:ind w:right="40" w:firstLine="883"/>
        <w:spacing w:after="0" w:line="258" w:lineRule="auto"/>
        <w:tabs>
          <w:tab w:leader="none" w:pos="109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outstanding limited liability company interests of Second Merger Sub have been duly authorized, validly issued and are free of any preemptive rights in respect thereof and all of which are owned by Parent. All limited liability company interests of Second Merger Sub are owned by Parent free and clear of all Encumbrances, except where failure to own such limited liability company interests free and clear would not, individually or in the aggregate, materially adversely affect Parent’s ability to consummate the Transactions.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9700"/>
          </w:cols>
          <w:pgMar w:left="1080" w:top="254" w:right="1119" w:bottom="1440" w:gutter="0" w:footer="0" w:header="0"/>
        </w:sectPr>
      </w:pPr>
    </w:p>
    <w:bookmarkStart w:id="73" w:name="page74"/>
    <w:bookmarkEnd w:id="73"/>
    <w:p>
      <w:pPr>
        <w:ind w:firstLine="874"/>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5.04 </w:t>
      </w:r>
      <w:r>
        <w:rPr>
          <w:rFonts w:ascii="Times New Roman" w:cs="Times New Roman" w:eastAsia="Times New Roman" w:hAnsi="Times New Roman"/>
          <w:sz w:val="16"/>
          <w:szCs w:val="16"/>
          <w:u w:val="single" w:color="auto"/>
          <w:color w:val="auto"/>
        </w:rPr>
        <w:t>Authority Relative to This Agreement; Vote Required</w:t>
      </w:r>
      <w:r>
        <w:rPr>
          <w:rFonts w:ascii="Times New Roman" w:cs="Times New Roman" w:eastAsia="Times New Roman" w:hAnsi="Times New Roman"/>
          <w:sz w:val="16"/>
          <w:szCs w:val="16"/>
          <w:color w:val="auto"/>
        </w:rPr>
        <w:t>. (a) Each of Parent, First Merger Sub and Second Merger Sub has all necessary corporate or limited liability company power and authority to execute and deliver this Agreement and the CVR Agreement (as applicable) and, subject to adoption of this Agreement by Parent, as sole stockholder of First Merger Sub (which such adoption will occur on the date hereof), to perform its obligations hereunder and thereunder and to consummate the Transactions. The execution and delivery of this Agreement and the CVR Agreement (as applicable) by Parent, First Merger Sub and Second Merger Sub and the consummation by Parent, First Merger Sub and Second Merger Sub of the Transactions have been duly and validly authorized by all necessary corporate or limited liability company action, and no other corporate or limited liability company proceedings on the part of Parent, First Merger Sub or Second Merger Sub are necessary to authorize this Agreement or the CVR Agreement or to consummate the Transactions (other than, with respect to the Mergers, the adoption of this Agreement by Parent, as sole stockholder of First Merger Sub (which such adoption will occur on the date hereof), and the filing of the Certificates of Merger with the Secretary of State of the State of Delaware as required by the DGCL, and the DLLCA, as applicable). This Agreement has been duly and validly executed and delivered by Parent, First Merger Sub and Second Merger Sub and, assuming due authorization, execution and delivery by the Company, constitutes a legal, valid and binding obligation of each of Parent, First Merger Sub and Second Merger Sub, enforceable against each of Parent, First Merger Sub and Second Merger Sub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72" w:lineRule="exact"/>
        <w:rPr>
          <w:sz w:val="20"/>
          <w:szCs w:val="20"/>
          <w:color w:val="auto"/>
        </w:rPr>
      </w:pPr>
    </w:p>
    <w:p>
      <w:pPr>
        <w:ind w:right="40" w:firstLine="883"/>
        <w:spacing w:after="0" w:line="258" w:lineRule="auto"/>
        <w:tabs>
          <w:tab w:leader="none" w:pos="109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vote of the stockholders of Parent is required by Law, Parent’s certificate of incorporation or bylaws or otherwise in order for Parent to execute and deliver this Agreement, and to perform its obligations hereunder and to consummate the Transactions. The adoption of this Agreement by Parent, as sole stockholder of First Merger Sub, is the only vote of stockholders required in order for First Merger Sub to consummate the Transactions to perform its obligations hereunder.</w:t>
      </w:r>
    </w:p>
    <w:p>
      <w:pPr>
        <w:spacing w:after="0" w:line="161" w:lineRule="exact"/>
        <w:rPr>
          <w:sz w:val="20"/>
          <w:szCs w:val="20"/>
          <w:color w:val="auto"/>
        </w:rPr>
      </w:pPr>
    </w:p>
    <w:p>
      <w:pPr>
        <w:ind w:right="20" w:firstLine="874"/>
        <w:spacing w:after="0" w:line="251" w:lineRule="auto"/>
        <w:rPr>
          <w:sz w:val="20"/>
          <w:szCs w:val="20"/>
          <w:color w:val="auto"/>
        </w:rPr>
      </w:pPr>
      <w:r>
        <w:rPr>
          <w:rFonts w:ascii="Times New Roman" w:cs="Times New Roman" w:eastAsia="Times New Roman" w:hAnsi="Times New Roman"/>
          <w:sz w:val="16"/>
          <w:szCs w:val="16"/>
          <w:color w:val="auto"/>
        </w:rPr>
        <w:t xml:space="preserve">Section 5.05 </w:t>
      </w:r>
      <w:r>
        <w:rPr>
          <w:rFonts w:ascii="Times New Roman" w:cs="Times New Roman" w:eastAsia="Times New Roman" w:hAnsi="Times New Roman"/>
          <w:sz w:val="16"/>
          <w:szCs w:val="16"/>
          <w:u w:val="single" w:color="auto"/>
          <w:color w:val="auto"/>
        </w:rPr>
        <w:t>No Conflict; Required Filings and Consents</w:t>
      </w:r>
      <w:r>
        <w:rPr>
          <w:rFonts w:ascii="Times New Roman" w:cs="Times New Roman" w:eastAsia="Times New Roman" w:hAnsi="Times New Roman"/>
          <w:sz w:val="16"/>
          <w:szCs w:val="16"/>
          <w:color w:val="auto"/>
        </w:rPr>
        <w:t xml:space="preserve">. (a) The execution and delivery of this Agreement and the CVR Agreement (as applicable) by each of Parent, First Merger Sub and Second Merger Sub do not, and the performance of this Agreement and the CVR Agreement (as applicable) by each of Parent, First Merger Sub and Second Merger Sub, and the consummation of the Transactions, will not, (i) conflict with or violate the certificate of incorporation, certificate of formation, bylaws, operating agreement or other equivalent organizational documents of either Parent, First Merger Sub or Second Merger Sub, (ii) assuming all consents, approvals, authorizations and other actions described in </w:t>
      </w:r>
      <w:r>
        <w:rPr>
          <w:rFonts w:ascii="Times New Roman" w:cs="Times New Roman" w:eastAsia="Times New Roman" w:hAnsi="Times New Roman"/>
          <w:sz w:val="16"/>
          <w:szCs w:val="16"/>
          <w:u w:val="single" w:color="auto"/>
          <w:color w:val="auto"/>
        </w:rPr>
        <w:t>Section 5.05(b</w:t>
      </w:r>
      <w:r>
        <w:rPr>
          <w:rFonts w:ascii="Times New Roman" w:cs="Times New Roman" w:eastAsia="Times New Roman" w:hAnsi="Times New Roman"/>
          <w:sz w:val="16"/>
          <w:szCs w:val="16"/>
          <w:color w:val="auto"/>
        </w:rPr>
        <w:t xml:space="preserve">) have been obtained or taken and all filings and obligations described in </w:t>
      </w:r>
      <w:r>
        <w:rPr>
          <w:rFonts w:ascii="Times New Roman" w:cs="Times New Roman" w:eastAsia="Times New Roman" w:hAnsi="Times New Roman"/>
          <w:sz w:val="16"/>
          <w:szCs w:val="16"/>
          <w:u w:val="single" w:color="auto"/>
          <w:color w:val="auto"/>
        </w:rPr>
        <w:t>Section 5.05(b</w:t>
      </w:r>
      <w:r>
        <w:rPr>
          <w:rFonts w:ascii="Times New Roman" w:cs="Times New Roman" w:eastAsia="Times New Roman" w:hAnsi="Times New Roman"/>
          <w:sz w:val="16"/>
          <w:szCs w:val="16"/>
          <w:color w:val="auto"/>
        </w:rPr>
        <w:t>) have been made or satisfied, conflict with or violate any Law applicable to Parent, First Merger Sub or Second Merger Sub or by which any property or asset of either of them is bound,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(other than a Permitted Encumbrance) on any property or asset of Parent, First Merger Sub or Second Merger Sub pursuant to, any loan or credit agreement, note, bond, debenture, mortgage, indenture, deed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9720"/>
          </w:cols>
          <w:pgMar w:left="1080" w:top="254" w:right="1099" w:bottom="1440" w:gutter="0" w:footer="0" w:header="0"/>
        </w:sectPr>
      </w:pPr>
    </w:p>
    <w:bookmarkStart w:id="74" w:name="page75"/>
    <w:bookmarkEnd w:id="74"/>
    <w:p>
      <w:pPr>
        <w:spacing w:after="0" w:line="27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of trust, contract, agreement, lease, Parent Permit or other instrument or obligation to which Parent, First Merger Sub or Second Merger Sub is a party or by which Parent, First Merger Sub or Second Merger Sub or any of their respective assets or properties is bound, except, with respect to clauses (ii) and</w:t>
      </w:r>
    </w:p>
    <w:p>
      <w:pPr>
        <w:spacing w:after="0" w:line="1" w:lineRule="exact"/>
        <w:rPr>
          <w:sz w:val="20"/>
          <w:szCs w:val="20"/>
          <w:color w:val="auto"/>
        </w:rPr>
      </w:pPr>
    </w:p>
    <w:p>
      <w:pPr>
        <w:ind w:right="80" w:firstLine="9"/>
        <w:spacing w:after="0" w:line="256" w:lineRule="auto"/>
        <w:tabs>
          <w:tab w:leader="none" w:pos="277"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of this </w:t>
      </w:r>
      <w:r>
        <w:rPr>
          <w:rFonts w:ascii="Times New Roman" w:cs="Times New Roman" w:eastAsia="Times New Roman" w:hAnsi="Times New Roman"/>
          <w:sz w:val="16"/>
          <w:szCs w:val="16"/>
          <w:u w:val="single" w:color="auto"/>
          <w:color w:val="auto"/>
        </w:rPr>
        <w:t>Section 5.05(a</w:t>
      </w:r>
      <w:r>
        <w:rPr>
          <w:rFonts w:ascii="Times New Roman" w:cs="Times New Roman" w:eastAsia="Times New Roman" w:hAnsi="Times New Roman"/>
          <w:sz w:val="16"/>
          <w:szCs w:val="16"/>
          <w:color w:val="auto"/>
        </w:rPr>
        <w:t>), for any such conflicts, violations, breaches, defaults or other occurrences which would not, individually or in the aggregate, reasonably be expected to have a Parent Material Adverse Effect.</w:t>
      </w:r>
    </w:p>
    <w:p>
      <w:pPr>
        <w:spacing w:after="0" w:line="161" w:lineRule="exact"/>
        <w:rPr>
          <w:rFonts w:ascii="Times New Roman" w:cs="Times New Roman" w:eastAsia="Times New Roman" w:hAnsi="Times New Roman"/>
          <w:sz w:val="16"/>
          <w:szCs w:val="16"/>
          <w:color w:val="auto"/>
        </w:rPr>
      </w:pPr>
    </w:p>
    <w:p>
      <w:pPr>
        <w:ind w:right="20" w:firstLine="883"/>
        <w:spacing w:after="0" w:line="272" w:lineRule="auto"/>
        <w:tabs>
          <w:tab w:leader="none" w:pos="1098"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and delivery of this Agreement and the CVR Agreement (as applicable) by each of Parent, First Merger Sub and Second Merger Sub do not, and the performance of this Agreement by each of Parent, First Merger Sub and Second Merger Sub, and the consummation of the Transactions, will not, require any consent, approval, authorization or permit of, or filing with or notification to, any Governmental Authority, except</w:t>
      </w:r>
    </w:p>
    <w:p>
      <w:pPr>
        <w:spacing w:after="0" w:line="1" w:lineRule="exact"/>
        <w:rPr>
          <w:rFonts w:ascii="Times New Roman" w:cs="Times New Roman" w:eastAsia="Times New Roman" w:hAnsi="Times New Roman"/>
          <w:sz w:val="15"/>
          <w:szCs w:val="15"/>
          <w:color w:val="auto"/>
        </w:rPr>
      </w:pPr>
    </w:p>
    <w:p>
      <w:pPr>
        <w:ind w:right="20" w:firstLine="9"/>
        <w:spacing w:after="0" w:line="250" w:lineRule="auto"/>
        <w:tabs>
          <w:tab w:leader="none" w:pos="18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applicable requirements, if any, of the Securities Act (including in connection with the Registration Statement), the Exchange Act, the Trust Indenture Act, Blue Sky Laws and state takeover Laws, any filings required to be made with the NASDAQ, the HSR Act, the requirements of any other applicable Antitrust Laws and the filing of the Certificates of Merger with the Secretary of State of the State of Delaware as required by the DGCL and the DLLCA, as applicable, or (ii) where the failure to obtain such consents, approvals, authorizations or permits, or to make such filings or notifications, would not, individually or in the aggregate, prevent or materially delay consummation of any of the Transactions.</w:t>
      </w:r>
    </w:p>
    <w:p>
      <w:pPr>
        <w:spacing w:after="0" w:line="167" w:lineRule="exact"/>
        <w:rPr>
          <w:sz w:val="20"/>
          <w:szCs w:val="20"/>
          <w:color w:val="auto"/>
        </w:rPr>
      </w:pPr>
    </w:p>
    <w:p>
      <w:pPr>
        <w:ind w:right="120"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u w:val="single" w:color="auto"/>
          <w:color w:val="auto"/>
        </w:rPr>
        <w:t>Compliance</w:t>
      </w:r>
      <w:r>
        <w:rPr>
          <w:rFonts w:ascii="Times New Roman" w:cs="Times New Roman" w:eastAsia="Times New Roman" w:hAnsi="Times New Roman"/>
          <w:sz w:val="16"/>
          <w:szCs w:val="16"/>
          <w:color w:val="auto"/>
        </w:rPr>
        <w:t>. Since January 1, 2018, Parent and its Subsidiaries have operated and conducted their businesses in compliance with all Laws of any Governmental Authority applicable to their respective businesses or operations, except where such non-compliance would not, individually or in the aggregate, reasonably be expected to have a Parent Material Adverse Effect. Since January 1, 2018, neither Parent nor any of its Subsidiaries has received any written notice from any Governmental Authority alleging, or been charged by a Governmental Authority with, any violation of any Laws, except where such violation would not, individually or in the aggregate, reasonably be expected to have a Parent Material Adverse Effect.</w:t>
      </w:r>
    </w:p>
    <w:p>
      <w:pPr>
        <w:spacing w:after="0" w:line="165" w:lineRule="exact"/>
        <w:rPr>
          <w:sz w:val="20"/>
          <w:szCs w:val="20"/>
          <w:color w:val="auto"/>
        </w:rPr>
      </w:pPr>
    </w:p>
    <w:p>
      <w:pPr>
        <w:ind w:firstLine="874"/>
        <w:spacing w:after="0" w:line="253" w:lineRule="auto"/>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(a) The Registered Parent IP owned by Parent is subsisting and, to the knowledge of Parent, valid and enforceable, except as would not, individually or in the aggregate, reasonably be expected to have a Parent Material Adverse Effect. Parent and its Subsidiaries possess all rights, title and interests in and to the Parent Owned IP, free and clear of any Encumbrances other than Permitted Encumbrances, except as would not, individually or in the aggregate, reasonably be expected to have a Parent Material Adverse Effect. To the knowledge of Parent, the Registered Parent IP owned by Parent is currently in compliance with any and all formal legal requirements necessary to record, perfect and maintain Parent or any of its Subsidiaries’ interest therein and the chain of title thereof, except where any non-compliance would not, individually or in the aggregate, reasonably be expected to have a Parent Material Adverse Effect.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9700"/>
          </w:cols>
          <w:pgMar w:left="1080" w:top="254" w:right="1119" w:bottom="1440" w:gutter="0" w:footer="0" w:header="0"/>
        </w:sectPr>
      </w:pPr>
    </w:p>
    <w:bookmarkStart w:id="75" w:name="page76"/>
    <w:bookmarkEnd w:id="75"/>
    <w:p>
      <w:pPr>
        <w:ind w:firstLine="883"/>
        <w:spacing w:after="0" w:line="252" w:lineRule="auto"/>
        <w:tabs>
          <w:tab w:leader="none" w:pos="1098"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Parent Owned IP constitutes all of the material Intellectual Property owned by Parent and its Subsidiaries that is used, held for use or planned for use in the operation or conduct of Parent’s business as currently conducted; and the Parent IP constitutes all of the Intellectual Property that is used, held for use or planned for use in the conduct of Parent’s business in the manner in which it is currently being conducted, except where failure to own or otherwise possess rights to any such Intellectual Property would not, individually or in the aggregate, reasonably be expected to have a Parent Material Adverse Effect. To the knowledge of Parent, the consummation of this Agreement and compliance by Parent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(other than a Permitted Encumbrance) in or upon, any Parent IP.</w:t>
      </w:r>
    </w:p>
    <w:p>
      <w:pPr>
        <w:spacing w:after="0" w:line="168" w:lineRule="exact"/>
        <w:rPr>
          <w:sz w:val="20"/>
          <w:szCs w:val="20"/>
          <w:color w:val="auto"/>
        </w:rPr>
      </w:pPr>
    </w:p>
    <w:p>
      <w:pPr>
        <w:ind w:right="40" w:firstLine="874"/>
        <w:spacing w:after="0" w:line="249" w:lineRule="auto"/>
        <w:rPr>
          <w:sz w:val="20"/>
          <w:szCs w:val="20"/>
          <w:color w:val="auto"/>
        </w:rPr>
      </w:pPr>
      <w:r>
        <w:rPr>
          <w:rFonts w:ascii="Times New Roman" w:cs="Times New Roman" w:eastAsia="Times New Roman" w:hAnsi="Times New Roman"/>
          <w:sz w:val="16"/>
          <w:szCs w:val="16"/>
          <w:color w:val="auto"/>
        </w:rPr>
        <w:t xml:space="preserve">Section 5.08 </w:t>
      </w: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Parent has delivered to the Company complete and correct copies of executed commitment letters from Goldman Sachs Bank USA, together with related fee letters (with respect to such fee letters, complete copies with only the fee amounts, interest rates, original issue discount, and economic and other “market flex” terms redacted, none of which redacted provisions would adversely affect the amount or availability of the Financing on the Closing Date) of which have been provided to the Company (collectively, the “</w:t>
      </w:r>
      <w:r>
        <w:rPr>
          <w:rFonts w:ascii="Times New Roman" w:cs="Times New Roman" w:eastAsia="Times New Roman" w:hAnsi="Times New Roman"/>
          <w:sz w:val="16"/>
          <w:szCs w:val="16"/>
          <w:u w:val="single" w:color="auto"/>
          <w:color w:val="auto"/>
        </w:rPr>
        <w:t>Financing Commitments</w:t>
      </w:r>
      <w:r>
        <w:rPr>
          <w:rFonts w:ascii="Times New Roman" w:cs="Times New Roman" w:eastAsia="Times New Roman" w:hAnsi="Times New Roman"/>
          <w:sz w:val="16"/>
          <w:szCs w:val="16"/>
          <w:color w:val="auto"/>
        </w:rPr>
        <w:t>”), pursuant to which the Financing Sources party thereto have committed, subject to the terms and conditions set forth therein, to lend the amounts set forth therein for the purposes of financing the Transactions and related Expenses (together with any Alternative Financing and any capital markets debt or equity financing in replacement thereof or supplemental thereto, the “</w:t>
      </w: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xml:space="preserve">”). Subject to Parent’s rights with respect to Alternative Financing pursuant to and subject to the terms and conditions of </w:t>
      </w:r>
      <w:r>
        <w:rPr>
          <w:rFonts w:ascii="Times New Roman" w:cs="Times New Roman" w:eastAsia="Times New Roman" w:hAnsi="Times New Roman"/>
          <w:sz w:val="16"/>
          <w:szCs w:val="16"/>
          <w:u w:val="single" w:color="auto"/>
          <w:color w:val="auto"/>
        </w:rPr>
        <w:t>Section 7.18</w:t>
      </w:r>
      <w:r>
        <w:rPr>
          <w:rFonts w:ascii="Times New Roman" w:cs="Times New Roman" w:eastAsia="Times New Roman" w:hAnsi="Times New Roman"/>
          <w:sz w:val="16"/>
          <w:szCs w:val="16"/>
          <w:color w:val="auto"/>
        </w:rPr>
        <w:t xml:space="preserve">, as of the date hereof, (i) none of the Financing Commitments has been amended or modified as of the date hereof in any material respect and (ii) the respective commitments contained in the Financing Commitments have not been withdrawn or rescinded in any material respect (it being understood that the exercise of “market flex” provisions under any fee letter shall not be deemed an amendment, modification, withdrawal or rescission). Except for engagement letters with respect to the Financing, there are no side letters or contracts, agreements or understandings to which Parent, First Merger Sub or Second Merger Sub is a party related to the funding or investing, as applicable, of the Financing other than as expressly set forth in the Financing Commitments. Parent has fully paid any and all commitment fees or other fees in connection with the Financing Commitments that are payable on or prior to the date of this Agreement. As of the date hereof, the Financing Commitments are in full force and effect and are the legal, valid, binding and enforceable obligations of Parent, First Merger Sub and Second Merger Sub, as the case may be, and, to the knowledge of Parent, First Merger Sub and Second Merger Sub, each of the other parties thereto, subject to bankruptcy, insolvency, fraudulent transfer, reorganization, moratorium and similar Laws of general applicability relating to or affecting creditors’ rights and to general equity principles. There are no conditions precedent or other contingencies related to the funding of the full amount of the Financing Commitments, other than as expressly set forth in the Financing Commitments. Assuming the accuracy of the representations and warranties of the Company set forth in this Agreement, compliance by the Company with the covenants set forth in this Agreement and the satisfaction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no event has occurred as of the date hereof which, with or without notice, lapse of time or both, would constitute, or would reasonably be expected to constitute, a default or breach of the Financing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9720"/>
          </w:cols>
          <w:pgMar w:left="1080" w:top="254" w:right="1099" w:bottom="1440" w:gutter="0" w:footer="0" w:header="0"/>
        </w:sectPr>
      </w:pPr>
    </w:p>
    <w:bookmarkStart w:id="76" w:name="page77"/>
    <w:bookmarkEnd w:id="76"/>
    <w:p>
      <w:pPr>
        <w:ind w:right="4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Commitments on the part of Parent, First Merger Sub or Second Merger Sub or, to the knowledge of Parent, First Merger Sub and Second Merger Sub, any other party thereto. Subject to the accuracy of the representations and warranties of the Company set forth in this Agreement and compliance by the Company with the covenants set forth in this Agreement, as of the date hereof, Parent has no reason to believe that any of the conditions to the Financing contemplated by the Financing Commitments will not be satisfied. Assuming the Financing is funded in accordance with the Financing Commitments (and assuming the accuracy of the representations and warranties of the Company set forth in this Agreement, compliance by the Company with the covenants set forth in this Agreement and the satisfaction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Parent, First Merger Sub and Second Merger Sub will have on the Closing Date sufficient funds to (i) pay the Merger Consideration; (ii) pay any and all Expenses required to be paid by Parent, First Merger Sub, Second Merger Sub, the Surviving Corporation and the Surviving Entity in connection with the Mergers and the Financing; and (iii) satisfy all of the other payment obligations of Parent, First Merger Sub, Second Merger Sub, the Surviving Corporation and the Surviving Entity contemplated hereunder.</w:t>
      </w:r>
    </w:p>
    <w:p>
      <w:pPr>
        <w:spacing w:after="0" w:line="170" w:lineRule="exact"/>
        <w:rPr>
          <w:sz w:val="20"/>
          <w:szCs w:val="20"/>
          <w:color w:val="auto"/>
        </w:rPr>
      </w:pPr>
    </w:p>
    <w:p>
      <w:pPr>
        <w:ind w:firstLine="874"/>
        <w:spacing w:after="0" w:line="252" w:lineRule="auto"/>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u w:val="single" w:color="auto"/>
          <w:color w:val="auto"/>
        </w:rPr>
        <w:t>SEC Filings; Financial Statements; Absence of Changes</w:t>
      </w:r>
      <w:r>
        <w:rPr>
          <w:rFonts w:ascii="Times New Roman" w:cs="Times New Roman" w:eastAsia="Times New Roman" w:hAnsi="Times New Roman"/>
          <w:sz w:val="16"/>
          <w:szCs w:val="16"/>
          <w:color w:val="auto"/>
        </w:rPr>
        <w:t>. (a) Parent has filed all forms, reports, statements, schedules and other documents required to be filed by it, including all contracts required to be filed by Parent as a “material contract” pursuant to Item 601(b) (10) of Regulation S-K under the Securities Act, with the SEC since January 1, 2018 (collectively, the “</w:t>
      </w:r>
      <w:r>
        <w:rPr>
          <w:rFonts w:ascii="Times New Roman" w:cs="Times New Roman" w:eastAsia="Times New Roman" w:hAnsi="Times New Roman"/>
          <w:sz w:val="16"/>
          <w:szCs w:val="16"/>
          <w:u w:val="single" w:color="auto"/>
          <w:color w:val="auto"/>
        </w:rPr>
        <w:t>Parent SEC Reports</w:t>
      </w:r>
      <w:r>
        <w:rPr>
          <w:rFonts w:ascii="Times New Roman" w:cs="Times New Roman" w:eastAsia="Times New Roman" w:hAnsi="Times New Roman"/>
          <w:sz w:val="16"/>
          <w:szCs w:val="16"/>
          <w:color w:val="auto"/>
        </w:rPr>
        <w:t>”). The Parent SEC Reports (i) at the time they were filed and, if amended, as of the date of such amendment, complied in all material respects with all applicable requirements of the Securities Act, the Exchange Act or SOX, as the case may be, and the rules and regulations promulgated thereunder, and (ii) did not, at the time they were filed, and, if amended, as of the date of such amendment,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68" w:lineRule="exact"/>
        <w:rPr>
          <w:sz w:val="20"/>
          <w:szCs w:val="20"/>
          <w:color w:val="auto"/>
        </w:rPr>
      </w:pPr>
    </w:p>
    <w:p>
      <w:pPr>
        <w:ind w:right="180" w:firstLine="883"/>
        <w:spacing w:after="0" w:line="254" w:lineRule="auto"/>
        <w:tabs>
          <w:tab w:leader="none" w:pos="109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consolidated financial statements (including, in each case, any notes thereto) contained (or incorporated by reference) in the Parent SEC Reports was prepared in accordance with GAAP applied on a consistent basis throughout the periods indicated (except as may be indicated in the notes thereto or, in the case of unaudited statements, as permitted by Form 10-Q of the SEC) and each fairly presents, in all material respects, the consolidated financial condition, results of operations, changes in stockholders’ equity and cash flows of Parent and its consolidated Subsidiaries as of the respective dates thereof and for the respective periods indicated therein (subject, in the case of unaudited financial statements, to normal year-end adjustments).</w:t>
      </w:r>
    </w:p>
    <w:p>
      <w:pPr>
        <w:spacing w:after="0" w:line="164" w:lineRule="exact"/>
        <w:rPr>
          <w:rFonts w:ascii="Times New Roman" w:cs="Times New Roman" w:eastAsia="Times New Roman" w:hAnsi="Times New Roman"/>
          <w:sz w:val="16"/>
          <w:szCs w:val="16"/>
          <w:color w:val="auto"/>
        </w:rPr>
      </w:pPr>
    </w:p>
    <w:p>
      <w:pPr>
        <w:ind w:right="20" w:firstLine="883"/>
        <w:spacing w:after="0" w:line="263" w:lineRule="auto"/>
        <w:tabs>
          <w:tab w:leader="none" w:pos="109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maintains disclosure controls and procedures required by Rule 13a-15 or Rule 15d-15 under the Exchange Act and such controls and procedures are effective to ensure that all material information concerning Parent and its Subsidiaries is made known on a timely basis to the individuals responsible for the preparation of Parent’s SEC filings and other public disclosure documents.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9720"/>
          </w:cols>
          <w:pgMar w:left="1080" w:top="254" w:right="1099" w:bottom="1440" w:gutter="0" w:footer="0" w:header="0"/>
        </w:sectPr>
      </w:pPr>
    </w:p>
    <w:bookmarkStart w:id="77" w:name="page78"/>
    <w:bookmarkEnd w:id="77"/>
    <w:p>
      <w:pPr>
        <w:ind w:right="100" w:firstLine="883"/>
        <w:spacing w:after="0" w:line="253" w:lineRule="auto"/>
        <w:tabs>
          <w:tab w:leader="none" w:pos="1098"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Neither Parent nor any of its Subsidiaries has any liabilities or obligations of any nature (whether accrued, absolute, contingent or otherwise), except liabilities (i) reflected or reserved against in the consolidated balance sheet (or the notes thereto) of Parent as of December 31, 2019, included in the Filed Parent SEC Reports, (ii) incurred after December 31, 2019 in the ordinary course of business, (iii) incurred in connection with the negotiation, execution, delivery or performance of, or pursuant to the terms of, this Agreement or the other Transaction Documents (for clarity, any liability caused by or resulting from a breach by the Parent of this Agreement shall not be deemed a liability “incurred in connection with the negotiation, execution, delivery or performance of, or pursuant to the terms of, this Agreement) or (iv) that would not, individually or in the aggregate, reasonably be expected to have a Parent Material Adverse Effect.</w:t>
      </w:r>
    </w:p>
    <w:p>
      <w:pPr>
        <w:spacing w:after="0" w:line="165" w:lineRule="exact"/>
        <w:rPr>
          <w:rFonts w:ascii="Times New Roman" w:cs="Times New Roman" w:eastAsia="Times New Roman" w:hAnsi="Times New Roman"/>
          <w:sz w:val="16"/>
          <w:szCs w:val="16"/>
          <w:color w:val="auto"/>
        </w:rPr>
      </w:pPr>
    </w:p>
    <w:p>
      <w:pPr>
        <w:ind w:right="140" w:firstLine="883"/>
        <w:spacing w:after="0" w:line="313" w:lineRule="auto"/>
        <w:tabs>
          <w:tab w:leader="none" w:pos="109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Since December 31, 2019, (i) there has not been any Parent Material Adverse Effect and (ii) neither Parent nor any of its Subsidiaries has taken any action that, if taken after the date of this Agreement, would constitute a breach of any of the covenants set forth in </w:t>
      </w:r>
      <w:r>
        <w:rPr>
          <w:rFonts w:ascii="Times New Roman" w:cs="Times New Roman" w:eastAsia="Times New Roman" w:hAnsi="Times New Roman"/>
          <w:sz w:val="15"/>
          <w:szCs w:val="15"/>
          <w:u w:val="single" w:color="auto"/>
          <w:color w:val="auto"/>
        </w:rPr>
        <w:t>Section 6.02</w:t>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ind w:right="160"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The information supplied by Parent for inclusion or incorporation by reference in the Registration Statement and the Consent Solicitation Statement does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157" w:lineRule="exact"/>
        <w:rPr>
          <w:sz w:val="20"/>
          <w:szCs w:val="20"/>
          <w:color w:val="auto"/>
        </w:rPr>
      </w:pPr>
    </w:p>
    <w:p>
      <w:pPr>
        <w:ind w:firstLine="874"/>
        <w:spacing w:after="0" w:line="250"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There is no Action pending or, to the knowledge of Parent, threatened (i) against or involving Parent, First Merger Sub or Second Merger Sub, any of their respective Subsidiaries or any of their respective assets, officers, directors or key employees (in the case of officers, directors or key employees, arising out of such officer’s, director’s or key employee’s relationship with Parent, First Merger Sub or Second Merger Sub, as applicable) that, individually or in the aggregate, had or would reasonably be expected to have a Parent Material Adverse Effect, or (ii) that seeks to restrain or enjoin the consummation of the Transactions or that would reasonably be expected to affect the ability of Parent, First Merger Sub or Second Merger Sub to perform its obligations under this Agreement or prevent or materially impede or delay the consummation of the Transactions. There is no Order of any Governmental Authority or arbitrator outstanding against, or, to the knowledge of Parent, investigation by any Governmental Authority involving, Parent, any of its Subsidiaries or any of their respective assets, officers, directors or key employees (in the case of such officers, directors or key employees, such as would affect Parent or any of its Subsidiaries) that would reasonably be expected to affect the ability of Parent, First Merger Sub or Second Merger Sub to perform its obligations under this Agreement or prevent or materially impede or delay the consummation of the Transactions. There is no material Action pending by Parent, First Merger Sub or Second Merger Sub or any of their respective Subsidiaries, or which Parent, First Merger Sub or Second Merger Sub or any of their respective Subsidiaries intends to initiate, against any other Person, except where the failure of which would not have, or would not reasonably be expected to have, a Parent Material Adverse Effect.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9700"/>
          </w:cols>
          <w:pgMar w:left="1080" w:top="254" w:right="1119" w:bottom="1440" w:gutter="0" w:footer="0" w:header="0"/>
        </w:sectPr>
      </w:pPr>
    </w:p>
    <w:bookmarkStart w:id="78" w:name="page79"/>
    <w:bookmarkEnd w:id="78"/>
    <w:p>
      <w:pPr>
        <w:ind w:right="20" w:firstLine="874"/>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5.12 </w:t>
      </w:r>
      <w:r>
        <w:rPr>
          <w:rFonts w:ascii="Times New Roman" w:cs="Times New Roman" w:eastAsia="Times New Roman" w:hAnsi="Times New Roman"/>
          <w:sz w:val="16"/>
          <w:szCs w:val="16"/>
          <w:u w:val="single" w:color="auto"/>
          <w:color w:val="auto"/>
        </w:rPr>
        <w:t>Operations of First Merger Sub and Second Merger Sub</w:t>
      </w:r>
      <w:r>
        <w:rPr>
          <w:rFonts w:ascii="Times New Roman" w:cs="Times New Roman" w:eastAsia="Times New Roman" w:hAnsi="Times New Roman"/>
          <w:sz w:val="16"/>
          <w:szCs w:val="16"/>
          <w:color w:val="auto"/>
        </w:rPr>
        <w:t>. Each of First Merger Sub and Second Merger Sub is a direct, wholly owned Subsidiary of Parent, was formed solely for the purpose of engaging in the Transactions, has engaged in no other business activities and has conducted its operations only as contemplated by this Agreement.</w:t>
      </w:r>
    </w:p>
    <w:p>
      <w:pPr>
        <w:spacing w:after="0" w:line="157" w:lineRule="exact"/>
        <w:rPr>
          <w:sz w:val="20"/>
          <w:szCs w:val="20"/>
          <w:color w:val="auto"/>
        </w:rPr>
      </w:pPr>
    </w:p>
    <w:p>
      <w:pPr>
        <w:ind w:right="120"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5.13 </w:t>
      </w: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No broker, finder, financial advisor or investment banker (other than Goldman Sachs &amp; Co. LLC) is entitled to any brokerage, finder’s or other fee or commission in connection with the Transactions based upon arrangements made by or on behalf of Parent, First Merger Sub or Second Merger Sub.</w:t>
      </w:r>
    </w:p>
    <w:p>
      <w:pPr>
        <w:spacing w:after="0" w:line="157" w:lineRule="exact"/>
        <w:rPr>
          <w:sz w:val="20"/>
          <w:szCs w:val="20"/>
          <w:color w:val="auto"/>
        </w:rPr>
      </w:pPr>
    </w:p>
    <w:p>
      <w:pPr>
        <w:ind w:firstLine="874"/>
        <w:spacing w:after="0" w:line="249" w:lineRule="auto"/>
        <w:rPr>
          <w:sz w:val="20"/>
          <w:szCs w:val="20"/>
          <w:color w:val="auto"/>
        </w:rPr>
      </w:pPr>
      <w:r>
        <w:rPr>
          <w:rFonts w:ascii="Times New Roman" w:cs="Times New Roman" w:eastAsia="Times New Roman" w:hAnsi="Times New Roman"/>
          <w:sz w:val="16"/>
          <w:szCs w:val="16"/>
          <w:color w:val="auto"/>
        </w:rPr>
        <w:t xml:space="preserve">Section 5.14 </w:t>
      </w:r>
      <w:r>
        <w:rPr>
          <w:rFonts w:ascii="Times New Roman" w:cs="Times New Roman" w:eastAsia="Times New Roman" w:hAnsi="Times New Roman"/>
          <w:sz w:val="16"/>
          <w:szCs w:val="16"/>
          <w:u w:val="single" w:color="auto"/>
          <w:color w:val="auto"/>
        </w:rPr>
        <w:t>No Other Representations and Warranties</w:t>
      </w:r>
      <w:r>
        <w:rPr>
          <w:rFonts w:ascii="Times New Roman" w:cs="Times New Roman" w:eastAsia="Times New Roman" w:hAnsi="Times New Roman"/>
          <w:sz w:val="16"/>
          <w:szCs w:val="16"/>
          <w:color w:val="auto"/>
        </w:rPr>
        <w:t xml:space="preserve">. Notwithstanding anything herein to the contrary, the representations and warranties of Parent, First Merger Sub and Second Merger Sub expressly set forth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and in the certificate delivered by Parent, First Merger Sub or Second Merger Sub pursuant to </w:t>
      </w:r>
      <w:r>
        <w:rPr>
          <w:rFonts w:ascii="Times New Roman" w:cs="Times New Roman" w:eastAsia="Times New Roman" w:hAnsi="Times New Roman"/>
          <w:sz w:val="16"/>
          <w:szCs w:val="16"/>
          <w:u w:val="single" w:color="auto"/>
          <w:color w:val="auto"/>
        </w:rPr>
        <w:t>Section 8.03(c</w:t>
      </w:r>
      <w:r>
        <w:rPr>
          <w:rFonts w:ascii="Times New Roman" w:cs="Times New Roman" w:eastAsia="Times New Roman" w:hAnsi="Times New Roman"/>
          <w:sz w:val="16"/>
          <w:szCs w:val="16"/>
          <w:color w:val="auto"/>
        </w:rPr>
        <w:t xml:space="preserve">) are and shall constitute the sole and exclusive representations and warranties made with respect to Parent and its Subsidiaries in connection with this Agreement or the Transactions. Except for the representations and warranties referred to in previous sentence, none of Parent, its Subsidiaries or any other Person has made or is making any express or implied representations or warranty, statutory or otherwise, of any nature, including with respect to any express or implied representation or warranty as to the merchantability, quality, quantity, suitability or fitness for any particular purpose of the business or the assets of Parent and its Subsidiaries. Except for the representations and warranties expressly set forth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and in the certificate delivered by Parent, First Merger Sub or Second Merger Sub pursuant to </w:t>
      </w:r>
      <w:r>
        <w:rPr>
          <w:rFonts w:ascii="Times New Roman" w:cs="Times New Roman" w:eastAsia="Times New Roman" w:hAnsi="Times New Roman"/>
          <w:sz w:val="16"/>
          <w:szCs w:val="16"/>
          <w:u w:val="single" w:color="auto"/>
          <w:color w:val="auto"/>
        </w:rPr>
        <w:t>Section 8.03(c</w:t>
      </w:r>
      <w:r>
        <w:rPr>
          <w:rFonts w:ascii="Times New Roman" w:cs="Times New Roman" w:eastAsia="Times New Roman" w:hAnsi="Times New Roman"/>
          <w:sz w:val="16"/>
          <w:szCs w:val="16"/>
          <w:color w:val="auto"/>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Parent and its Subsidiaries, are hereby expressly disclaimed. Parent, First Merger Sub and Second Merger Sub hereby acknowledge and agree that, except for the representations and warranties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in the certificate delivered by the Company pursuant to </w:t>
      </w:r>
      <w:r>
        <w:rPr>
          <w:rFonts w:ascii="Times New Roman" w:cs="Times New Roman" w:eastAsia="Times New Roman" w:hAnsi="Times New Roman"/>
          <w:sz w:val="16"/>
          <w:szCs w:val="16"/>
          <w:u w:val="single" w:color="auto"/>
          <w:color w:val="auto"/>
        </w:rPr>
        <w:t>Section 8.02(c</w:t>
      </w:r>
      <w:r>
        <w:rPr>
          <w:rFonts w:ascii="Times New Roman" w:cs="Times New Roman" w:eastAsia="Times New Roman" w:hAnsi="Times New Roman"/>
          <w:sz w:val="16"/>
          <w:szCs w:val="16"/>
          <w:color w:val="auto"/>
        </w:rPr>
        <w:t>) (in each case as qualified and limited by the Company Disclosure Letter), (a) none of the Company or any of its Subsidiaries, or any of its or their respective Affiliates, stockholders or Representatives, or any other Person, has made or is making any express or implied representation or warranty with respect to the Company or any of its Subsidiaries or their respective business or operations, including with respect to any information provided or made available to Parent, First Merger Sub, Second Merger Sub or any of their respective Affiliates, stockholders or Representatives, or any other Person, or, except as otherwise expressly set forth in this Agreement, had or has any duty or obligation to provide any information to Parent, First Merger Sub, Second Merger Sub or any of their respective Affiliates, stockholders, members or Representatives, or any other Person, in connection with this Agreement, the transactions contemplated hereby or otherwise, and (b) to the fullest extent permitted by law, none of the Company or any of its Subsidiaries, or any of its or their respective Affiliates, stockholders or Representatives, or any other Person, will have or be subject to any liability or other obligation of any kind or nature to Parent, First Merger Sub, Second Merger Sub or any of their respective Affiliates, stockholders, members or Representatives, or any other Person, resulting from the delivery, dissemination or any other distribution to Parent, First Merger Sub, Second Merger Sub or any of their respective Affiliates, stockholders or Representatives, or any other Person, or the use by Parent, First Merger Sub,</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9720"/>
          </w:cols>
          <w:pgMar w:left="1080" w:top="254" w:right="1099" w:bottom="1440" w:gutter="0" w:footer="0" w:header="0"/>
        </w:sectPr>
      </w:pPr>
    </w:p>
    <w:bookmarkStart w:id="79" w:name="page80"/>
    <w:bookmarkEnd w:id="79"/>
    <w:p>
      <w:pPr>
        <w:ind w:right="18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Second Merger Sub or any of their respective Affiliates, stockholders, members or Representatives, or any other Person, of any such information provided or made available to any of them by the Company or any of its Subsidiaries, or any of its or their respective Affiliates, stockholders or Representatives, or any other Person, including any information, documents, estimates, projections, forecasts or other forward-looking information, business plans or other material provided or made available to Parent, First Merger Sub, Second Merger Sub or any of their respective Affiliates, stockholders, members or Representatives, or any other Person, in “data rooms,” confidential information memoranda, management presentations or otherwise in anticipation or contemplation of the Mergers or any other Transaction, and (subject to the express representations and warranties of the Company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the certificate delivered by the Company pursuant to </w:t>
      </w:r>
      <w:r>
        <w:rPr>
          <w:rFonts w:ascii="Times New Roman" w:cs="Times New Roman" w:eastAsia="Times New Roman" w:hAnsi="Times New Roman"/>
          <w:sz w:val="16"/>
          <w:szCs w:val="16"/>
          <w:u w:val="single" w:color="auto"/>
          <w:color w:val="auto"/>
        </w:rPr>
        <w:t>Section 8.02(c</w:t>
      </w:r>
      <w:r>
        <w:rPr>
          <w:rFonts w:ascii="Times New Roman" w:cs="Times New Roman" w:eastAsia="Times New Roman" w:hAnsi="Times New Roman"/>
          <w:sz w:val="16"/>
          <w:szCs w:val="16"/>
          <w:color w:val="auto"/>
        </w:rPr>
        <w:t>) (in each case as qualified and limited by the Company Disclosure Letter)) none of Parent, First Merger Sub, Second Merger Sub or any of their respective Affiliates, stockholders, members or Representatives, or any other Person, has relied on any such information (including the accuracy or completeness thereof).</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CONDUCT OF BUSINESS PENDING THE MERGERS</w:t>
      </w:r>
    </w:p>
    <w:p>
      <w:pPr>
        <w:spacing w:after="0" w:line="199" w:lineRule="exact"/>
        <w:rPr>
          <w:sz w:val="20"/>
          <w:szCs w:val="20"/>
          <w:color w:val="auto"/>
        </w:rPr>
      </w:pPr>
    </w:p>
    <w:p>
      <w:pPr>
        <w:ind w:firstLine="874"/>
        <w:spacing w:after="0" w:line="251" w:lineRule="auto"/>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u w:val="single" w:color="auto"/>
          <w:color w:val="auto"/>
        </w:rPr>
        <w:t>Conduct of Business by the Company Pending the Mergers</w:t>
      </w:r>
      <w:r>
        <w:rPr>
          <w:rFonts w:ascii="Times New Roman" w:cs="Times New Roman" w:eastAsia="Times New Roman" w:hAnsi="Times New Roman"/>
          <w:sz w:val="16"/>
          <w:szCs w:val="16"/>
          <w:color w:val="auto"/>
        </w:rPr>
        <w:t xml:space="preserve">. (a) The Company covenants and agrees that, between the date of this Agreement and the Effective Time or such earlier date as this Agreement may be terminated in accordance with its terms, except (i) as set forth in </w:t>
      </w:r>
      <w:r>
        <w:rPr>
          <w:rFonts w:ascii="Times New Roman" w:cs="Times New Roman" w:eastAsia="Times New Roman" w:hAnsi="Times New Roman"/>
          <w:sz w:val="16"/>
          <w:szCs w:val="16"/>
          <w:u w:val="single" w:color="auto"/>
          <w:color w:val="auto"/>
        </w:rPr>
        <w:t>Section 6.01 of the Company Disclosure Letter</w:t>
      </w:r>
      <w:r>
        <w:rPr>
          <w:rFonts w:ascii="Times New Roman" w:cs="Times New Roman" w:eastAsia="Times New Roman" w:hAnsi="Times New Roman"/>
          <w:sz w:val="16"/>
          <w:szCs w:val="16"/>
          <w:color w:val="auto"/>
        </w:rPr>
        <w:t xml:space="preserve">, (ii) as expressly contemplated by this Agreement or (iii) with the prior written consent of Parent (which consent shall not be unreasonably withheld, delayed or conditioned), the Company shall, and shall cause each of its Subsidiaries to, conduct its business in the ordinary course. Without limiting the generality of the foregoing, the Company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 In addition, notwithstanding anything to the contrary contained in herein (including the foregoing sentences of this </w:t>
      </w:r>
      <w:r>
        <w:rPr>
          <w:rFonts w:ascii="Times New Roman" w:cs="Times New Roman" w:eastAsia="Times New Roman" w:hAnsi="Times New Roman"/>
          <w:sz w:val="16"/>
          <w:szCs w:val="16"/>
          <w:u w:val="single" w:color="auto"/>
          <w:color w:val="auto"/>
        </w:rPr>
        <w:t>Section 6.01(a)</w:t>
      </w:r>
      <w:r>
        <w:rPr>
          <w:rFonts w:ascii="Times New Roman" w:cs="Times New Roman" w:eastAsia="Times New Roman" w:hAnsi="Times New Roman"/>
          <w:sz w:val="16"/>
          <w:szCs w:val="16"/>
          <w:color w:val="auto"/>
        </w:rPr>
        <w:t xml:space="preserve">), the Company and its Subsidiaries shall be permitted, without the prior consent of Parent, to take or refrain from taking all actions, whether or not in the ordinary course of business, that the Company or its Subsidiaries reasonably believe necessary or appropriate in response to the COVID-19 pandemic, including complying with orders, directives or recommendations of any Governmental Authority;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to the extent reasonably practicable in the circumstances, reasonably consult with Parent prior to taking or refraining from taking any such action to the extent it would otherwise constitute a breach of this </w:t>
      </w:r>
      <w:r>
        <w:rPr>
          <w:rFonts w:ascii="Times New Roman" w:cs="Times New Roman" w:eastAsia="Times New Roman" w:hAnsi="Times New Roman"/>
          <w:sz w:val="16"/>
          <w:szCs w:val="16"/>
          <w:u w:val="single" w:color="auto"/>
          <w:color w:val="auto"/>
        </w:rPr>
        <w:t>Section 6.01(a</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firstLine="883"/>
        <w:spacing w:after="0" w:line="253" w:lineRule="auto"/>
        <w:tabs>
          <w:tab w:leader="none" w:pos="109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way of amplification and not limitation, except (v) as set forth in </w:t>
      </w:r>
      <w:r>
        <w:rPr>
          <w:rFonts w:ascii="Times New Roman" w:cs="Times New Roman" w:eastAsia="Times New Roman" w:hAnsi="Times New Roman"/>
          <w:sz w:val="16"/>
          <w:szCs w:val="16"/>
          <w:u w:val="single" w:color="auto"/>
          <w:color w:val="auto"/>
        </w:rPr>
        <w:t>Section 6.01 of the Company Disclosure Letter</w:t>
      </w:r>
      <w:r>
        <w:rPr>
          <w:rFonts w:ascii="Times New Roman" w:cs="Times New Roman" w:eastAsia="Times New Roman" w:hAnsi="Times New Roman"/>
          <w:sz w:val="16"/>
          <w:szCs w:val="16"/>
          <w:color w:val="auto"/>
        </w:rPr>
        <w:t xml:space="preserve">, (w) as expressly contemplated by this Agreement (including pursuant to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or the other Transaction Documents, (x) with the prior written consent of Parent (which consent shall not be unreasonably withheld, delayed or conditioned), (y) as required by Law, or (z) as the Company reasonably believes necessary or appropriate in response to the COVID-19 pandemic, including complying with orders, directives or recommendations of any Governmental Authority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to the extent reasonably practicable in the circumstances, reasonably consult with Parent prior to taking or refraining from taking any action in reliance on this clause (z) to the extent it would otherwise constitute a breach of this </w:t>
      </w:r>
      <w:r>
        <w:rPr>
          <w:rFonts w:ascii="Times New Roman" w:cs="Times New Roman" w:eastAsia="Times New Roman" w:hAnsi="Times New Roman"/>
          <w:sz w:val="16"/>
          <w:szCs w:val="16"/>
          <w:u w:val="single" w:color="auto"/>
          <w:color w:val="auto"/>
        </w:rPr>
        <w:t>Section 6.01(b)</w:t>
      </w:r>
      <w:r>
        <w:rPr>
          <w:rFonts w:ascii="Times New Roman" w:cs="Times New Roman" w:eastAsia="Times New Roman" w:hAnsi="Times New Roman"/>
          <w:sz w:val="16"/>
          <w:szCs w:val="16"/>
          <w:color w:val="auto"/>
        </w:rPr>
        <w:t>), neither the Company nor any of its Subsidiaries shall, between the date of this Agreement and the Effective Time, do any of the following: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9700"/>
          </w:cols>
          <w:pgMar w:left="1080" w:top="254" w:right="1119" w:bottom="1440" w:gutter="0" w:footer="0" w:header="0"/>
        </w:sectPr>
      </w:pPr>
    </w:p>
    <w:bookmarkStart w:id="80" w:name="page81"/>
    <w:bookmarkEnd w:id="80"/>
    <w:p>
      <w:pPr>
        <w:ind w:left="40" w:right="240" w:firstLine="836"/>
        <w:spacing w:after="0" w:line="313" w:lineRule="auto"/>
        <w:tabs>
          <w:tab w:leader="none" w:pos="1068"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amend or otherwise change its certificate of incorporation or bylaws, or equivalent organizational documents, or the equivalent organizational documents of any of its Subsidiaries or create any new Subsidiaries other than direct or indirect wholly owned Subsidiaries;</w:t>
      </w:r>
    </w:p>
    <w:p>
      <w:pPr>
        <w:spacing w:after="0" w:line="26" w:lineRule="exact"/>
        <w:rPr>
          <w:rFonts w:ascii="Times New Roman" w:cs="Times New Roman" w:eastAsia="Times New Roman" w:hAnsi="Times New Roman"/>
          <w:sz w:val="15"/>
          <w:szCs w:val="15"/>
          <w:color w:val="auto"/>
        </w:rPr>
      </w:pPr>
    </w:p>
    <w:p>
      <w:pPr>
        <w:ind w:left="40" w:right="580" w:firstLine="836"/>
        <w:spacing w:after="0" w:line="278" w:lineRule="auto"/>
        <w:tabs>
          <w:tab w:leader="none" w:pos="111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or otherwise change the Investor Agreements in a manner adverse to Parent or that would materially to prevent or materially delay the consummation of the Transactions;</w:t>
      </w:r>
    </w:p>
    <w:p>
      <w:pPr>
        <w:spacing w:after="0" w:line="49" w:lineRule="exact"/>
        <w:rPr>
          <w:rFonts w:ascii="Times New Roman" w:cs="Times New Roman" w:eastAsia="Times New Roman" w:hAnsi="Times New Roman"/>
          <w:sz w:val="16"/>
          <w:szCs w:val="16"/>
          <w:color w:val="auto"/>
        </w:rPr>
      </w:pPr>
    </w:p>
    <w:p>
      <w:pPr>
        <w:ind w:left="1160" w:hanging="284"/>
        <w:spacing w:after="0"/>
        <w:tabs>
          <w:tab w:leader="none" w:pos="11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 or consolidate the Company with any other Person or restructure, reorganize or completely or partially liquidate;</w:t>
      </w:r>
    </w:p>
    <w:p>
      <w:pPr>
        <w:spacing w:after="0" w:line="101" w:lineRule="exact"/>
        <w:rPr>
          <w:rFonts w:ascii="Times New Roman" w:cs="Times New Roman" w:eastAsia="Times New Roman" w:hAnsi="Times New Roman"/>
          <w:sz w:val="16"/>
          <w:szCs w:val="16"/>
          <w:color w:val="auto"/>
        </w:rPr>
      </w:pPr>
    </w:p>
    <w:p>
      <w:pPr>
        <w:ind w:left="40" w:firstLine="836"/>
        <w:spacing w:after="0" w:line="253" w:lineRule="auto"/>
        <w:tabs>
          <w:tab w:leader="none" w:pos="114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issue, deliver, sell, grant, pledge, dispose of or grant an Encumbrance (other than any Encumbrance arising under applicable securities Laws) on any shares of any class of capital stock of the Company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the Company or any of its Subsidiaries (except (i) for the issuance of shares of Company Stock issuable pursuant to the exercise of Company Stock Options or the settlement of Company RSU Awards, in each case, outstanding on the date hereof in accordance with their terms on the date hereof and (ii) as set forth in </w:t>
      </w:r>
      <w:r>
        <w:rPr>
          <w:rFonts w:ascii="Times New Roman" w:cs="Times New Roman" w:eastAsia="Times New Roman" w:hAnsi="Times New Roman"/>
          <w:sz w:val="16"/>
          <w:szCs w:val="16"/>
          <w:u w:val="single" w:color="auto"/>
          <w:color w:val="auto"/>
        </w:rPr>
        <w:t>Section 6.01(b) of the Company Disclosure Letter</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40" w:right="260" w:firstLine="836"/>
        <w:spacing w:after="0" w:line="278" w:lineRule="auto"/>
        <w:tabs>
          <w:tab w:leader="none" w:pos="110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 sell, lease, license, pledge or dispose of or (B) grant an Encumbrance on any properties or assets or any interests therein of the Company or any of its Subsidiaries, other than Permitted Encumbrances;</w:t>
      </w:r>
    </w:p>
    <w:p>
      <w:pPr>
        <w:spacing w:after="0" w:line="49" w:lineRule="exact"/>
        <w:rPr>
          <w:rFonts w:ascii="Times New Roman" w:cs="Times New Roman" w:eastAsia="Times New Roman" w:hAnsi="Times New Roman"/>
          <w:sz w:val="16"/>
          <w:szCs w:val="16"/>
          <w:color w:val="auto"/>
        </w:rPr>
      </w:pPr>
    </w:p>
    <w:p>
      <w:pPr>
        <w:ind w:left="40" w:right="220" w:firstLine="836"/>
        <w:spacing w:after="0" w:line="255" w:lineRule="auto"/>
        <w:tabs>
          <w:tab w:leader="none" w:pos="114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lease, sublease, license, sublicense, assign or otherwise grant rights under any Company IP (except for non-exclusive licenses or exclusive licenses for therapeutics granted in fields other than the Field (as defined in the CVR Agreement), in each case, granted in the ordinary course of business, consistent with past practice) or transfer, cancel, abandon, or fail to renew, maintain or diligently pursue applications for or otherwise dispose of any Company IP (except for patent and trademark portfolio management in the ordinary course of business, consistent with past practices, but excluding abandonment of patent applications);</w:t>
      </w:r>
    </w:p>
    <w:p>
      <w:pPr>
        <w:spacing w:after="0" w:line="69" w:lineRule="exact"/>
        <w:rPr>
          <w:rFonts w:ascii="Times New Roman" w:cs="Times New Roman" w:eastAsia="Times New Roman" w:hAnsi="Times New Roman"/>
          <w:sz w:val="16"/>
          <w:szCs w:val="16"/>
          <w:color w:val="auto"/>
        </w:rPr>
      </w:pPr>
    </w:p>
    <w:p>
      <w:pPr>
        <w:ind w:left="40" w:right="340" w:firstLine="836"/>
        <w:spacing w:after="0" w:line="263" w:lineRule="auto"/>
        <w:tabs>
          <w:tab w:leader="none" w:pos="1192"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set aside, make or pay any dividend, payable in cash, stock, property or otherwise, with respect to any of its capital stock, except for dividends by any of the Company’s direct or indirect wholly owned Subsidiaries to the Company or any of its other wholly owned Subsidiaries;</w:t>
      </w:r>
    </w:p>
    <w:p>
      <w:pPr>
        <w:spacing w:after="0" w:line="9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9360"/>
          </w:cols>
          <w:pgMar w:left="1440" w:top="254" w:right="1099" w:bottom="1440" w:gutter="0" w:footer="0" w:header="0"/>
        </w:sectPr>
      </w:pPr>
    </w:p>
    <w:bookmarkStart w:id="81" w:name="page82"/>
    <w:bookmarkEnd w:id="81"/>
    <w:p>
      <w:pPr>
        <w:ind w:left="40" w:right="40" w:firstLine="836"/>
        <w:spacing w:after="0" w:line="263" w:lineRule="auto"/>
        <w:tabs>
          <w:tab w:leader="none" w:pos="1236"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w:t>
      </w:r>
    </w:p>
    <w:p>
      <w:pPr>
        <w:spacing w:after="0" w:line="61" w:lineRule="exact"/>
        <w:rPr>
          <w:rFonts w:ascii="Times New Roman" w:cs="Times New Roman" w:eastAsia="Times New Roman" w:hAnsi="Times New Roman"/>
          <w:sz w:val="16"/>
          <w:szCs w:val="16"/>
          <w:color w:val="auto"/>
        </w:rPr>
      </w:pPr>
    </w:p>
    <w:p>
      <w:pPr>
        <w:ind w:left="40" w:firstLine="836"/>
        <w:spacing w:after="0" w:line="278" w:lineRule="auto"/>
        <w:tabs>
          <w:tab w:leader="none" w:pos="1148"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any assets outside the ordinary course of business from any other Person for consideration in excess of $5,000,000 in any individual transaction or series of related transactions or $25,000,000 in the aggregate;</w:t>
      </w:r>
    </w:p>
    <w:p>
      <w:pPr>
        <w:spacing w:after="0" w:line="49" w:lineRule="exact"/>
        <w:rPr>
          <w:rFonts w:ascii="Times New Roman" w:cs="Times New Roman" w:eastAsia="Times New Roman" w:hAnsi="Times New Roman"/>
          <w:sz w:val="16"/>
          <w:szCs w:val="16"/>
          <w:color w:val="auto"/>
        </w:rPr>
      </w:pPr>
    </w:p>
    <w:p>
      <w:pPr>
        <w:ind w:left="40" w:right="180" w:firstLine="836"/>
        <w:spacing w:after="0" w:line="276" w:lineRule="auto"/>
        <w:tabs>
          <w:tab w:leader="none" w:pos="1104"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loans, advances, guarantees or capital contributions to or investments in any Person, other than (A) advances to employees of the Company or any of its Subsidiaries in respect of travel or other related business expenses in the ordinary course of business or</w:t>
      </w:r>
    </w:p>
    <w:p>
      <w:pPr>
        <w:spacing w:after="0" w:line="1" w:lineRule="exact"/>
        <w:rPr>
          <w:rFonts w:ascii="Times New Roman" w:cs="Times New Roman" w:eastAsia="Times New Roman" w:hAnsi="Times New Roman"/>
          <w:sz w:val="15"/>
          <w:szCs w:val="15"/>
          <w:color w:val="auto"/>
        </w:rPr>
      </w:pPr>
    </w:p>
    <w:p>
      <w:pPr>
        <w:ind w:left="280" w:hanging="243"/>
        <w:spacing w:after="0"/>
        <w:tabs>
          <w:tab w:leader="none" w:pos="2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payments or prepayments under any contract in the ordinary course of business;</w:t>
      </w:r>
    </w:p>
    <w:p>
      <w:pPr>
        <w:spacing w:after="0" w:line="84" w:lineRule="exact"/>
        <w:rPr>
          <w:rFonts w:ascii="Times New Roman" w:cs="Times New Roman" w:eastAsia="Times New Roman" w:hAnsi="Times New Roman"/>
          <w:sz w:val="16"/>
          <w:szCs w:val="16"/>
          <w:color w:val="auto"/>
        </w:rPr>
      </w:pPr>
    </w:p>
    <w:p>
      <w:pPr>
        <w:ind w:left="40" w:right="20" w:firstLine="836"/>
        <w:spacing w:after="0" w:line="278" w:lineRule="auto"/>
        <w:tabs>
          <w:tab w:leader="none" w:pos="1148"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with a principal amount in excess of $10,000,000 or guarantee such Indebtedness of another Person, or issue or sell any debt securities or warrants or other rights to acquire any debt security of the Company;</w:t>
      </w:r>
    </w:p>
    <w:p>
      <w:pPr>
        <w:spacing w:after="0" w:line="49" w:lineRule="exact"/>
        <w:rPr>
          <w:rFonts w:ascii="Times New Roman" w:cs="Times New Roman" w:eastAsia="Times New Roman" w:hAnsi="Times New Roman"/>
          <w:sz w:val="16"/>
          <w:szCs w:val="16"/>
          <w:color w:val="auto"/>
        </w:rPr>
      </w:pPr>
    </w:p>
    <w:p>
      <w:pPr>
        <w:ind w:left="40" w:right="120" w:firstLine="836"/>
        <w:spacing w:after="0" w:line="278" w:lineRule="auto"/>
        <w:tabs>
          <w:tab w:leader="none" w:pos="1192"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make or authorize any capital expenditure in excess of $25,000,000 in the aggregate during any 12-month period beginning on or after the date hereof (excluding any capital expenditures referenced on </w:t>
      </w:r>
      <w:r>
        <w:rPr>
          <w:rFonts w:ascii="Times New Roman" w:cs="Times New Roman" w:eastAsia="Times New Roman" w:hAnsi="Times New Roman"/>
          <w:sz w:val="16"/>
          <w:szCs w:val="16"/>
          <w:u w:val="single" w:color="auto"/>
          <w:color w:val="auto"/>
        </w:rPr>
        <w:t>Section 6.01(b) of the Company Disclosure Letter)</w:t>
      </w:r>
      <w:r>
        <w:rPr>
          <w:rFonts w:ascii="Times New Roman" w:cs="Times New Roman" w:eastAsia="Times New Roman" w:hAnsi="Times New Roman"/>
          <w:sz w:val="16"/>
          <w:szCs w:val="16"/>
          <w:color w:val="auto"/>
        </w:rPr>
        <w:t>;</w:t>
      </w:r>
    </w:p>
    <w:p>
      <w:pPr>
        <w:spacing w:after="0" w:line="49" w:lineRule="exact"/>
        <w:rPr>
          <w:rFonts w:ascii="Times New Roman" w:cs="Times New Roman" w:eastAsia="Times New Roman" w:hAnsi="Times New Roman"/>
          <w:sz w:val="16"/>
          <w:szCs w:val="16"/>
          <w:color w:val="auto"/>
        </w:rPr>
      </w:pPr>
    </w:p>
    <w:p>
      <w:pPr>
        <w:ind w:left="1240" w:hanging="364"/>
        <w:spacing w:after="0"/>
        <w:tabs>
          <w:tab w:leader="none" w:pos="124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modify in any material respect any accounting policies, other than as required by GAAP or Law;</w:t>
      </w:r>
    </w:p>
    <w:p>
      <w:pPr>
        <w:spacing w:after="0" w:line="101" w:lineRule="exact"/>
        <w:rPr>
          <w:rFonts w:ascii="Times New Roman" w:cs="Times New Roman" w:eastAsia="Times New Roman" w:hAnsi="Times New Roman"/>
          <w:sz w:val="16"/>
          <w:szCs w:val="16"/>
          <w:color w:val="auto"/>
        </w:rPr>
      </w:pPr>
    </w:p>
    <w:p>
      <w:pPr>
        <w:ind w:left="40" w:right="20" w:firstLine="836"/>
        <w:spacing w:after="0" w:line="255" w:lineRule="auto"/>
        <w:tabs>
          <w:tab w:leader="none" w:pos="1227"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by applicable Law, (A) make any material change (or file any such change) in any method of Tax accounting, (B) make, change or rescind any material Tax election; (C) settle or compromise any material Tax liability for an amount materially in excess of the amount accrued or reserved therefor in the Financial Statements or enter into any closing agreement relating to a material amount of Taxes; or (D) other than in the ordinary course of business, waive or extend the statute of limitations in respect of any material Tax claim or assessment, unless requested by the appropriate Governmental Authority;</w:t>
      </w:r>
    </w:p>
    <w:p>
      <w:pPr>
        <w:spacing w:after="0" w:line="1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9340"/>
          </w:cols>
          <w:pgMar w:left="1440" w:top="254" w:right="1119" w:bottom="1440" w:gutter="0" w:footer="0" w:header="0"/>
        </w:sectPr>
      </w:pPr>
    </w:p>
    <w:bookmarkStart w:id="82" w:name="page83"/>
    <w:bookmarkEnd w:id="82"/>
    <w:p>
      <w:pPr>
        <w:ind w:left="40" w:firstLine="836"/>
        <w:spacing w:after="0" w:line="251" w:lineRule="auto"/>
        <w:tabs>
          <w:tab w:leader="none" w:pos="1183"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except as required by applicable Law or the terms of any Plan in effect on the date hereof or adopted or entered into after the date hereof in accordance with, or as set forth on, </w:t>
      </w:r>
      <w:r>
        <w:rPr>
          <w:rFonts w:ascii="Times New Roman" w:cs="Times New Roman" w:eastAsia="Times New Roman" w:hAnsi="Times New Roman"/>
          <w:sz w:val="16"/>
          <w:szCs w:val="16"/>
          <w:u w:val="single" w:color="auto"/>
          <w:color w:val="auto"/>
        </w:rPr>
        <w:t>Section 6.01(b) of the Company Disclosure Letter</w:t>
      </w:r>
      <w:r>
        <w:rPr>
          <w:rFonts w:ascii="Times New Roman" w:cs="Times New Roman" w:eastAsia="Times New Roman" w:hAnsi="Times New Roman"/>
          <w:sz w:val="16"/>
          <w:szCs w:val="16"/>
          <w:color w:val="auto"/>
        </w:rPr>
        <w:t>, (A) adopt, enter into, terminate, materially modify or materially amend any collective bargaining agreement or similar contract or any Plan; (B) other than annual base cash compensation raises (x) that are merit-based and do not exceed 4% per annum in the aggregate or (y) in connection with promotions for employees below the level of Vice President, in each case, in the ordinary course of business and in a manner consistent with past practice, increase the compensation or benefits of any current or former Service Provider; (C) grant or pay any change-in-control, retention, severance or termination pay to, or increase in any manner the change-in-control, retention, severance or termination pay of any current or former Service Provider; (D) accelerate the vesting or payment of any compensation or benefit to any Service Provider under any Plan; or (E) terminate or hire any Service Provider, other than terminations in the ordinary course of business consistent with past practice (which, for the avoidance of doubt, shall include terminations for “cause”, as reasonably determined by the Company);</w:t>
      </w:r>
    </w:p>
    <w:p>
      <w:pPr>
        <w:spacing w:after="0" w:line="75" w:lineRule="exact"/>
        <w:rPr>
          <w:rFonts w:ascii="Times New Roman" w:cs="Times New Roman" w:eastAsia="Times New Roman" w:hAnsi="Times New Roman"/>
          <w:sz w:val="16"/>
          <w:szCs w:val="16"/>
          <w:color w:val="auto"/>
        </w:rPr>
      </w:pPr>
    </w:p>
    <w:p>
      <w:pPr>
        <w:ind w:left="40" w:right="280" w:firstLine="836"/>
        <w:spacing w:after="0" w:line="278" w:lineRule="auto"/>
        <w:tabs>
          <w:tab w:leader="none" w:pos="1227"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for any loan under the Paycheck Protection Program under the CARES Act or make any election pursuant to Sections 2301-2308 of the CARES Act, Sections 7001-7005 of the FFCRA, IRS Notice 2020-65 or any other similar Law;</w:t>
      </w:r>
    </w:p>
    <w:p>
      <w:pPr>
        <w:spacing w:after="0" w:line="49" w:lineRule="exact"/>
        <w:rPr>
          <w:rFonts w:ascii="Times New Roman" w:cs="Times New Roman" w:eastAsia="Times New Roman" w:hAnsi="Times New Roman"/>
          <w:sz w:val="16"/>
          <w:szCs w:val="16"/>
          <w:color w:val="auto"/>
        </w:rPr>
      </w:pPr>
    </w:p>
    <w:p>
      <w:pPr>
        <w:ind w:left="40" w:right="80" w:firstLine="836"/>
        <w:spacing w:after="0" w:line="255" w:lineRule="auto"/>
        <w:tabs>
          <w:tab w:leader="none" w:pos="1271"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by Law or any judgment by a court of competent jurisdiction, (A) settle or compromise any Action which involves payment to or by the Company or any of its Subsidiaries (exclusive of attorney’s fees) in excess of $10,000,000 in any single instance or involves any non-</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injunctive or equitable relief or the imposition of any non-</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restrictions on the business activities of the Company and its Subsidiaries; (B) cancel or compromise any Indebtedness in excess of $2,000,000 in the aggregate; or (C) waive or assign any claims or rights in excess of $250,000 individually or $2,000,000 in the aggregate;</w:t>
      </w:r>
    </w:p>
    <w:p>
      <w:pPr>
        <w:spacing w:after="0" w:line="69" w:lineRule="exact"/>
        <w:rPr>
          <w:rFonts w:ascii="Times New Roman" w:cs="Times New Roman" w:eastAsia="Times New Roman" w:hAnsi="Times New Roman"/>
          <w:sz w:val="16"/>
          <w:szCs w:val="16"/>
          <w:color w:val="auto"/>
        </w:rPr>
      </w:pPr>
    </w:p>
    <w:p>
      <w:pPr>
        <w:ind w:left="40" w:right="100" w:firstLine="836"/>
        <w:spacing w:after="0" w:line="270" w:lineRule="auto"/>
        <w:tabs>
          <w:tab w:leader="none" w:pos="1315" w:val="left"/>
        </w:tabs>
        <w:numPr>
          <w:ilvl w:val="1"/>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 enter into new clinical trial contracts or (2) terminate, cancel, fail to renew, or modify or amend, or waive, release or assign any material rights or claims under any existing clinical trial contract, other than in the ordinary course of business, or (B) enter into, terminate, cancel, fail to renew, or modify or amend, or waive, release or assign any material rights or claims under, (x) any Material Contract described in clause (iii) of the definition thereof, or any contract that, if existing on the date hereof, would have been such a Material Contract; or</w:t>
      </w:r>
    </w:p>
    <w:p>
      <w:pPr>
        <w:spacing w:after="0" w:line="2" w:lineRule="exact"/>
        <w:rPr>
          <w:rFonts w:ascii="Times New Roman" w:cs="Times New Roman" w:eastAsia="Times New Roman" w:hAnsi="Times New Roman"/>
          <w:sz w:val="15"/>
          <w:szCs w:val="15"/>
          <w:color w:val="auto"/>
        </w:rPr>
      </w:pPr>
    </w:p>
    <w:p>
      <w:pPr>
        <w:ind w:left="40" w:right="140" w:hanging="3"/>
        <w:spacing w:after="0" w:line="256" w:lineRule="auto"/>
        <w:tabs>
          <w:tab w:leader="none" w:pos="26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Contract (other than of the type described in clause (A) or clause (B)(x)) or Real Property Lease, or any contract or lease that, if existing on the date hereof, would have been a Material Contract or Real Property Lease, other than in the ordinary course of business;</w:t>
      </w:r>
    </w:p>
    <w:p>
      <w:pPr>
        <w:spacing w:after="0" w:line="66" w:lineRule="exact"/>
        <w:rPr>
          <w:rFonts w:ascii="Times New Roman" w:cs="Times New Roman" w:eastAsia="Times New Roman" w:hAnsi="Times New Roman"/>
          <w:sz w:val="16"/>
          <w:szCs w:val="16"/>
          <w:color w:val="auto"/>
        </w:rPr>
      </w:pPr>
    </w:p>
    <w:p>
      <w:pPr>
        <w:ind w:left="40" w:right="440" w:firstLine="836"/>
        <w:spacing w:after="0" w:line="276" w:lineRule="auto"/>
        <w:tabs>
          <w:tab w:leader="none" w:pos="1227"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in the ordinary course of business, amend any material Company Permit in any material respect, or allow any material Company Permit to lapse, expire or terminate, other than (A) amendments, renewals or extensions of material Company Permits or</w:t>
      </w:r>
    </w:p>
    <w:p>
      <w:pPr>
        <w:spacing w:after="0" w:line="1" w:lineRule="exact"/>
        <w:rPr>
          <w:rFonts w:ascii="Times New Roman" w:cs="Times New Roman" w:eastAsia="Times New Roman" w:hAnsi="Times New Roman"/>
          <w:sz w:val="15"/>
          <w:szCs w:val="15"/>
          <w:color w:val="auto"/>
        </w:rPr>
      </w:pP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(B) non-renewal or non-extension of material Company Permits that are not necessary to conduct the Company’s business as then conducted;</w:t>
      </w:r>
    </w:p>
    <w:p>
      <w:pPr>
        <w:spacing w:after="0" w:line="1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9360"/>
          </w:cols>
          <w:pgMar w:left="1440" w:top="254" w:right="1099" w:bottom="1440" w:gutter="0" w:footer="0" w:header="0"/>
        </w:sectPr>
      </w:pPr>
    </w:p>
    <w:bookmarkStart w:id="83" w:name="page84"/>
    <w:bookmarkEnd w:id="83"/>
    <w:p>
      <w:pPr>
        <w:ind w:left="400" w:right="60" w:firstLine="836"/>
        <w:spacing w:after="0" w:line="278" w:lineRule="auto"/>
        <w:tabs>
          <w:tab w:leader="none" w:pos="154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authorize, apply for, or cause to be approved, the listing of shares of Company Common Stock or Company Preferred Stock on any stock exchange;</w:t>
      </w:r>
    </w:p>
    <w:p>
      <w:pPr>
        <w:spacing w:after="0" w:line="49" w:lineRule="exact"/>
        <w:rPr>
          <w:rFonts w:ascii="Times New Roman" w:cs="Times New Roman" w:eastAsia="Times New Roman" w:hAnsi="Times New Roman"/>
          <w:sz w:val="16"/>
          <w:szCs w:val="16"/>
          <w:color w:val="auto"/>
        </w:rPr>
      </w:pPr>
    </w:p>
    <w:p>
      <w:pPr>
        <w:jc w:val="both"/>
        <w:ind w:left="400" w:right="440" w:firstLine="836"/>
        <w:spacing w:after="0" w:line="263" w:lineRule="auto"/>
        <w:tabs>
          <w:tab w:leader="none" w:pos="1587"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any amendment to the Company Registration Statement, or cause, request or seek to have the Company Registration Statement declared effective under the Securities Act other than any such actions taken in connection with the withdrawal of the Company Registration Statement; or</w:t>
      </w:r>
    </w:p>
    <w:p>
      <w:pPr>
        <w:spacing w:after="0" w:line="61" w:lineRule="exact"/>
        <w:rPr>
          <w:rFonts w:ascii="Times New Roman" w:cs="Times New Roman" w:eastAsia="Times New Roman" w:hAnsi="Times New Roman"/>
          <w:sz w:val="16"/>
          <w:szCs w:val="16"/>
          <w:color w:val="auto"/>
        </w:rPr>
      </w:pPr>
    </w:p>
    <w:p>
      <w:pPr>
        <w:ind w:left="1620" w:hanging="384"/>
        <w:spacing w:after="0"/>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commit or agree to do any of the foregoing.</w:t>
      </w:r>
    </w:p>
    <w:p>
      <w:pPr>
        <w:spacing w:after="0" w:line="197" w:lineRule="exact"/>
        <w:rPr>
          <w:sz w:val="20"/>
          <w:szCs w:val="20"/>
          <w:color w:val="auto"/>
        </w:rPr>
      </w:pPr>
    </w:p>
    <w:p>
      <w:pPr>
        <w:ind w:firstLine="883"/>
        <w:spacing w:after="0" w:line="278" w:lineRule="auto"/>
        <w:tabs>
          <w:tab w:leader="none" w:pos="109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this Agreement is intended to give Parent, directly or indirectly, the right to control or direct the operations of the Company or its Subsidiaries prior to the Effective Time in violation of applicable Law.</w:t>
      </w:r>
    </w:p>
    <w:p>
      <w:pPr>
        <w:spacing w:after="0" w:line="145" w:lineRule="exact"/>
        <w:rPr>
          <w:sz w:val="20"/>
          <w:szCs w:val="20"/>
          <w:color w:val="auto"/>
        </w:rPr>
      </w:pPr>
    </w:p>
    <w:p>
      <w:pPr>
        <w:ind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u w:val="single" w:color="auto"/>
          <w:color w:val="auto"/>
        </w:rPr>
        <w:t>Conduct of Business by Parent Pending the Mergers</w:t>
      </w:r>
      <w:r>
        <w:rPr>
          <w:rFonts w:ascii="Times New Roman" w:cs="Times New Roman" w:eastAsia="Times New Roman" w:hAnsi="Times New Roman"/>
          <w:sz w:val="16"/>
          <w:szCs w:val="16"/>
          <w:color w:val="auto"/>
        </w:rPr>
        <w:t>. Parent covenants and agrees that, between the date of this Agreement and the Effective Time, except (a) as expressly contemplated by this Agreement or the other Transaction Documents or (b) with the prior consent of the Company (which consent shall not be unreasonably withheld, delayed or conditioned), Parent shall not, and shall cause its Subsidiaries not to, do any of the following:</w:t>
      </w:r>
    </w:p>
    <w:p>
      <w:pPr>
        <w:spacing w:after="0" w:line="66" w:lineRule="exact"/>
        <w:rPr>
          <w:sz w:val="20"/>
          <w:szCs w:val="20"/>
          <w:color w:val="auto"/>
        </w:rPr>
      </w:pPr>
    </w:p>
    <w:p>
      <w:pPr>
        <w:ind w:left="400" w:right="20" w:firstLine="836"/>
        <w:spacing w:after="0" w:line="276" w:lineRule="auto"/>
        <w:tabs>
          <w:tab w:leader="none" w:pos="1428"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or otherwise change, including by merger, consolidation or otherwise, Parent’s certificate of incorporation or bylaws, except for any amendments or changes that would not (x) materially delay, materially impede or prevent the consummation of the Transactions or</w:t>
      </w:r>
    </w:p>
    <w:p>
      <w:pPr>
        <w:spacing w:after="0" w:line="1" w:lineRule="exact"/>
        <w:rPr>
          <w:rFonts w:ascii="Times New Roman" w:cs="Times New Roman" w:eastAsia="Times New Roman" w:hAnsi="Times New Roman"/>
          <w:sz w:val="15"/>
          <w:szCs w:val="15"/>
          <w:color w:val="auto"/>
        </w:rPr>
      </w:pPr>
    </w:p>
    <w:p>
      <w:pPr>
        <w:ind w:left="620" w:hanging="223"/>
        <w:spacing w:after="0"/>
        <w:tabs>
          <w:tab w:leader="none" w:pos="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adversely affect the stockholders of the Company in any material respect differently than the stockholders of Parent;</w:t>
      </w:r>
    </w:p>
    <w:p>
      <w:pPr>
        <w:spacing w:after="0" w:line="84" w:lineRule="exact"/>
        <w:rPr>
          <w:rFonts w:ascii="Times New Roman" w:cs="Times New Roman" w:eastAsia="Times New Roman" w:hAnsi="Times New Roman"/>
          <w:sz w:val="16"/>
          <w:szCs w:val="16"/>
          <w:color w:val="auto"/>
        </w:rPr>
      </w:pPr>
    </w:p>
    <w:p>
      <w:pPr>
        <w:ind w:left="1460" w:hanging="224"/>
        <w:spacing w:after="0"/>
        <w:tabs>
          <w:tab w:leader="none" w:pos="1460"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set aside, make or pay any dividend, payable in cash, stock, property or otherwise, with respect to any of Parent’s capital</w:t>
      </w:r>
    </w:p>
    <w:p>
      <w:pPr>
        <w:spacing w:after="0" w:line="34" w:lineRule="exact"/>
        <w:rPr>
          <w:rFonts w:ascii="Times New Roman" w:cs="Times New Roman" w:eastAsia="Times New Roman" w:hAnsi="Times New Roman"/>
          <w:sz w:val="15"/>
          <w:szCs w:val="15"/>
          <w:color w:val="auto"/>
        </w:rPr>
      </w:pPr>
    </w:p>
    <w:p>
      <w:pPr>
        <w:ind w:left="4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stock;</w:t>
      </w:r>
    </w:p>
    <w:p>
      <w:pPr>
        <w:spacing w:after="0" w:line="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(iii) liquidate, dissolve, reorganize or otherwise wind up the business and operations of Parent, First Merger Sub or Second Merger</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Sub; or</w:t>
      </w:r>
    </w:p>
    <w:p>
      <w:pPr>
        <w:spacing w:after="0" w:line="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(iv) authorize, commit or agree to do any of, the foregoing.</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199" w:lineRule="exact"/>
        <w:rPr>
          <w:sz w:val="20"/>
          <w:szCs w:val="20"/>
          <w:color w:val="auto"/>
        </w:rPr>
      </w:pPr>
    </w:p>
    <w:p>
      <w:pPr>
        <w:ind w:right="20"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u w:val="single" w:color="auto"/>
          <w:color w:val="auto"/>
        </w:rPr>
        <w:t>Registration Statement; Consent Solicitation Statement</w:t>
      </w:r>
      <w:r>
        <w:rPr>
          <w:rFonts w:ascii="Times New Roman" w:cs="Times New Roman" w:eastAsia="Times New Roman" w:hAnsi="Times New Roman"/>
          <w:sz w:val="16"/>
          <w:szCs w:val="16"/>
          <w:color w:val="auto"/>
        </w:rPr>
        <w:t>. (a) As promptly as practicable after the execution of this Agreement, Parent and the Company shall cooperate in preparing and shall prepare (i) a consent solicitation statement (such consent solicitation statement, as amended or supplemented from time to time, the “</w:t>
      </w:r>
      <w:r>
        <w:rPr>
          <w:rFonts w:ascii="Times New Roman" w:cs="Times New Roman" w:eastAsia="Times New Roman" w:hAnsi="Times New Roman"/>
          <w:sz w:val="16"/>
          <w:szCs w:val="16"/>
          <w:u w:val="single" w:color="auto"/>
          <w:color w:val="auto"/>
        </w:rPr>
        <w:t>Consent Solicitation Statement</w:t>
      </w:r>
      <w:r>
        <w:rPr>
          <w:rFonts w:ascii="Times New Roman" w:cs="Times New Roman" w:eastAsia="Times New Roman" w:hAnsi="Times New Roman"/>
          <w:sz w:val="16"/>
          <w:szCs w:val="16"/>
          <w:color w:val="auto"/>
        </w:rPr>
        <w:t>”) to be sent to the stockholders of the Company relating to the solicitation of consents from the Company’s stockholders in connection with obtaining the Company Stockholder Approvals and (ii) a registration statement on Form S-4 to register the shares of Parent Common Stock and CVRs to be issued in connection with the Mergers (together with all amendments</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9660"/>
          </w:cols>
          <w:pgMar w:left="1080" w:top="254" w:right="1159" w:bottom="1440" w:gutter="0" w:footer="0" w:header="0"/>
        </w:sectPr>
      </w:pPr>
    </w:p>
    <w:bookmarkStart w:id="84" w:name="page85"/>
    <w:bookmarkEnd w:id="84"/>
    <w:p>
      <w:pPr>
        <w:ind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thereto, the “</w:t>
      </w:r>
      <w:r>
        <w:rPr>
          <w:rFonts w:ascii="Times New Roman" w:cs="Times New Roman" w:eastAsia="Times New Roman" w:hAnsi="Times New Roman"/>
          <w:sz w:val="16"/>
          <w:szCs w:val="16"/>
          <w:u w:val="single" w:color="auto"/>
          <w:color w:val="auto"/>
        </w:rPr>
        <w:t>S-4 Registration Statement</w:t>
      </w:r>
      <w:r>
        <w:rPr>
          <w:rFonts w:ascii="Times New Roman" w:cs="Times New Roman" w:eastAsia="Times New Roman" w:hAnsi="Times New Roman"/>
          <w:sz w:val="16"/>
          <w:szCs w:val="16"/>
          <w:color w:val="auto"/>
        </w:rPr>
        <w:t>”), and Parent shall file with the SEC the S-4 Registration Statement, in which the Consent Solicitation Statement shall be included as part of the prospectus, in connection with the registration under the Securities Act of the shares of Parent Common Stock to be issued to the stockholders of the Company pursuant to the Mergers and CVRs to be issued in connection with the Mergers. Parent shall use its reasonable best efforts to cause the Registration Statement to become effective as promptly as practicable and to keep the Registration Statement effective as long as necessary to consummate the Transactions, and, if required by Law, each of Parent and the Company shall use its reasonable best efforts to have the CVR Agreement become qualified under the Trust Indenture Act as promptly as practicable. Each of Parent and the Company shall furnish all information concerning itself as the other may reasonably request in connection with such actions and the preparation of the Registration Statement and the Consent Solicitation Statement. The Registration Statement and the Consent Solicitation Statement shall include all information reasonably requested by such other party to be included therein.</w:t>
      </w:r>
    </w:p>
    <w:p>
      <w:pPr>
        <w:spacing w:after="0" w:line="165" w:lineRule="exact"/>
        <w:rPr>
          <w:sz w:val="20"/>
          <w:szCs w:val="20"/>
          <w:color w:val="auto"/>
        </w:rPr>
      </w:pPr>
    </w:p>
    <w:p>
      <w:pPr>
        <w:ind w:right="20" w:firstLine="883"/>
        <w:spacing w:after="0" w:line="251" w:lineRule="auto"/>
        <w:tabs>
          <w:tab w:leader="none" w:pos="109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shall use its reasonable best efforts to cause the Consent Solicitation Statement to be mailed to the stockholders of the Company and shall use commercially reasonable efforts to solicit and obtain the Company Stockholder Approvals via written consent, in each case as promptly as practicable after the S-4 Registration Statement is declared effective under the Securities Act (the “</w:t>
      </w:r>
      <w:r>
        <w:rPr>
          <w:rFonts w:ascii="Times New Roman" w:cs="Times New Roman" w:eastAsia="Times New Roman" w:hAnsi="Times New Roman"/>
          <w:sz w:val="16"/>
          <w:szCs w:val="16"/>
          <w:u w:val="single" w:color="auto"/>
          <w:color w:val="auto"/>
        </w:rPr>
        <w:t>S-4 Effectiveness Time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the foregoing, in no event shall the Company or any of its Subsidiaries be obligated to bear any expense or pay any fee (other than the payment of nominal administrative, processing or similar fees or charges) or grant any concession in connection with obtaining the Company Stockholder Approvals following such solicitation. The Company shall include the Company Recommendation in the Consent Solicitation Statement (unless there has been a Change in the Company Recommendation in accordance with </w:t>
      </w:r>
      <w:r>
        <w:rPr>
          <w:rFonts w:ascii="Times New Roman" w:cs="Times New Roman" w:eastAsia="Times New Roman" w:hAnsi="Times New Roman"/>
          <w:sz w:val="16"/>
          <w:szCs w:val="16"/>
          <w:u w:val="single" w:color="auto"/>
          <w:color w:val="auto"/>
        </w:rPr>
        <w:t>Section 7.02(d)</w:t>
      </w:r>
      <w:r>
        <w:rPr>
          <w:rFonts w:ascii="Times New Roman" w:cs="Times New Roman" w:eastAsia="Times New Roman" w:hAnsi="Times New Roman"/>
          <w:sz w:val="16"/>
          <w:szCs w:val="16"/>
          <w:color w:val="auto"/>
        </w:rPr>
        <w:t xml:space="preserve"> prior to the date of distribution of the Consent Solicitation Statement in accordance with this </w:t>
      </w:r>
      <w:r>
        <w:rPr>
          <w:rFonts w:ascii="Times New Roman" w:cs="Times New Roman" w:eastAsia="Times New Roman" w:hAnsi="Times New Roman"/>
          <w:sz w:val="16"/>
          <w:szCs w:val="16"/>
          <w:u w:val="single" w:color="auto"/>
          <w:color w:val="auto"/>
        </w:rPr>
        <w:t>Section 7.01(b)</w:t>
      </w:r>
      <w:r>
        <w:rPr>
          <w:rFonts w:ascii="Times New Roman" w:cs="Times New Roman" w:eastAsia="Times New Roman" w:hAnsi="Times New Roman"/>
          <w:sz w:val="16"/>
          <w:szCs w:val="16"/>
          <w:color w:val="auto"/>
        </w:rPr>
        <w:t xml:space="preserve">). Notwithstanding anything to the contrary in this Agreement, the Company’s obligations pursuant to the first sentence of this </w:t>
      </w:r>
      <w:r>
        <w:rPr>
          <w:rFonts w:ascii="Times New Roman" w:cs="Times New Roman" w:eastAsia="Times New Roman" w:hAnsi="Times New Roman"/>
          <w:sz w:val="16"/>
          <w:szCs w:val="16"/>
          <w:u w:val="single" w:color="auto"/>
          <w:color w:val="auto"/>
        </w:rPr>
        <w:t>Section 7.01(b)</w:t>
      </w:r>
      <w:r>
        <w:rPr>
          <w:rFonts w:ascii="Times New Roman" w:cs="Times New Roman" w:eastAsia="Times New Roman" w:hAnsi="Times New Roman"/>
          <w:sz w:val="16"/>
          <w:szCs w:val="16"/>
          <w:color w:val="auto"/>
        </w:rPr>
        <w:t xml:space="preserve"> shall not be affected by the commencement, public proposal, public disclosure or communication to the Company of any Competing Proposal or any Change in the Company Recommendation.</w:t>
      </w:r>
    </w:p>
    <w:p>
      <w:pPr>
        <w:spacing w:after="0" w:line="170" w:lineRule="exact"/>
        <w:rPr>
          <w:rFonts w:ascii="Times New Roman" w:cs="Times New Roman" w:eastAsia="Times New Roman" w:hAnsi="Times New Roman"/>
          <w:sz w:val="16"/>
          <w:szCs w:val="16"/>
          <w:color w:val="auto"/>
        </w:rPr>
      </w:pPr>
    </w:p>
    <w:p>
      <w:pPr>
        <w:ind w:firstLine="883"/>
        <w:spacing w:after="0" w:line="252" w:lineRule="auto"/>
        <w:tabs>
          <w:tab w:leader="none" w:pos="109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amendment or supplement to the Consent Solicitation Statement or the S-4 Registration Statement will be made by Parent or the Company without providing the other party a reasonable opportunity to review and comment thereon. Each party will advise the other promptly after receiving oral or written notice of any oral or written request by the SEC for amendment of the S-4 Registration Statement or Consent Solicitation Statement or SEC comments thereon or requests by the SEC for additional information. Parent will advise the Company promptly after receiving oral or written notice of the issuance of any stop order or the suspension of the qualification for offering or sale in any jurisdiction of the Parent Common Stock issuable in connection with the Mergers. Each party shall promptly provide the other with copies of any written communication from the SEC and shall cooperate on the preparation of appropriate responses thereto (and will provide the other with copies of any such responses given to the SEC) and modifications to the S-4 Registration Statement or Consent Solicitation Statement as shall be reasonably appropriate.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9680"/>
          </w:cols>
          <w:pgMar w:left="1080" w:top="254" w:right="1139" w:bottom="1440" w:gutter="0" w:footer="0" w:header="0"/>
        </w:sectPr>
      </w:pPr>
    </w:p>
    <w:bookmarkStart w:id="85" w:name="page86"/>
    <w:bookmarkEnd w:id="85"/>
    <w:p>
      <w:pPr>
        <w:ind w:left="-20" w:firstLine="883"/>
        <w:spacing w:after="0" w:line="253" w:lineRule="auto"/>
        <w:tabs>
          <w:tab w:leader="none" w:pos="107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If, at any time prior to the Effective Time, any information relating to (i) the Company or any of its Subsidiaries, or their respective Affiliates or Representatives, or (ii) Parent, First Merger Sub or Second Merger Sub, or their respective Affiliates or Representatives, shall be discovered by the Company or Parent which should be set forth in an amendment or a supplement to the S-4 Registration Statement or the Consent Solicitation Statement so that either such document would not include any misstatement of a material fact or omit to state any material fact necessary to make the statements therein, in light of the circumstances under which they were made, not misleading, the party which discovers such information shall promptly inform the other party and the parties will cooperate to prepare an appropriate amendment or supplement describing such information which shall promptly be filed with the SEC and, to the extent required by Law, disseminated to the stockholders of the Company.</w:t>
      </w:r>
    </w:p>
    <w:p>
      <w:pPr>
        <w:spacing w:after="0" w:line="165" w:lineRule="exact"/>
        <w:rPr>
          <w:rFonts w:ascii="Times New Roman" w:cs="Times New Roman" w:eastAsia="Times New Roman" w:hAnsi="Times New Roman"/>
          <w:sz w:val="16"/>
          <w:szCs w:val="16"/>
          <w:color w:val="auto"/>
        </w:rPr>
      </w:pPr>
    </w:p>
    <w:p>
      <w:pPr>
        <w:ind w:left="-20" w:right="200" w:firstLine="883"/>
        <w:spacing w:after="0" w:line="255" w:lineRule="auto"/>
        <w:tabs>
          <w:tab w:leader="none" w:pos="107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call or convene any meeting of its stockholders in connection with the Company Stockholder Approvals. The only corporate actions to be set forth in the Consent Solicitation Statement are (i) the adoption of this Agreement and approval of the Transactions, including the Mergers, by the holders of Company Common Stock and Company Preferred Stock and (ii) any other matters contemplated by this Agreement that may be required to be approved by the holders of Company Common Stock and/or the holders of Company Preferred Stock under applicable Law.</w:t>
      </w:r>
    </w:p>
    <w:p>
      <w:pPr>
        <w:spacing w:after="0" w:line="164" w:lineRule="exact"/>
        <w:rPr>
          <w:rFonts w:ascii="Times New Roman" w:cs="Times New Roman" w:eastAsia="Times New Roman" w:hAnsi="Times New Roman"/>
          <w:sz w:val="16"/>
          <w:szCs w:val="16"/>
          <w:color w:val="auto"/>
        </w:rPr>
      </w:pPr>
    </w:p>
    <w:p>
      <w:pPr>
        <w:ind w:left="-20" w:right="500" w:firstLine="883"/>
        <w:spacing w:after="0" w:line="278" w:lineRule="auto"/>
        <w:tabs>
          <w:tab w:leader="none" w:pos="105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receipt of the Company Stockholder Approvals via written consent, the Company shall promptly provide any notices required by Section 228 of the DGCL in accordance therewith.</w:t>
      </w:r>
    </w:p>
    <w:p>
      <w:pPr>
        <w:spacing w:after="0" w:line="144" w:lineRule="exact"/>
        <w:rPr>
          <w:rFonts w:ascii="Times New Roman" w:cs="Times New Roman" w:eastAsia="Times New Roman" w:hAnsi="Times New Roman"/>
          <w:sz w:val="16"/>
          <w:szCs w:val="16"/>
          <w:color w:val="auto"/>
        </w:rPr>
      </w:pPr>
    </w:p>
    <w:p>
      <w:pPr>
        <w:ind w:left="-20" w:right="20" w:firstLine="883"/>
        <w:spacing w:after="0" w:line="251" w:lineRule="auto"/>
        <w:tabs>
          <w:tab w:leader="none" w:pos="107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as promptly as practicable and (i) no later than 45 days after the end of any fiscal quarter (other than any fourth fiscal quarter) ending after the date hereof, prepare and furnish to Parent copies of the unaudited consolidated financial statements of the Company and its Subsidiaries as of the end of and for such fiscal quarter, together with the comparable period of the prior fiscal year, reviewed by the Company’s independent accountants as provided in the procedures specified by the Public Company Accounting Oversight Board in AU 722 and (ii) no later than 90 days after the end of any fiscal year ended after the date hereof, prepare and furnish to Parent copies of the annual consolidated financial statements of the Company and its Subsidiaries as of the end of and for such fiscal year, accompanied by an audit report, on such annual financial statements from the Company’s independent accountants, in the case of each of clauses (i) and (ii) together with the notes thereto, and prepared from the books and records of the Company and its Subsidiaries and in accordance with GAAP applied on a consistent basis through the periods involved (except as may be otherwise required under GAAP) and the rules and regulations of the SEC, including the requirements of Regulation S-X. When delivered pursuant to this </w:t>
      </w:r>
      <w:r>
        <w:rPr>
          <w:rFonts w:ascii="Times New Roman" w:cs="Times New Roman" w:eastAsia="Times New Roman" w:hAnsi="Times New Roman"/>
          <w:sz w:val="16"/>
          <w:szCs w:val="16"/>
          <w:u w:val="single" w:color="auto"/>
          <w:color w:val="auto"/>
        </w:rPr>
        <w:t>Section 7.01(g)</w:t>
      </w:r>
      <w:r>
        <w:rPr>
          <w:rFonts w:ascii="Times New Roman" w:cs="Times New Roman" w:eastAsia="Times New Roman" w:hAnsi="Times New Roman"/>
          <w:sz w:val="16"/>
          <w:szCs w:val="16"/>
          <w:color w:val="auto"/>
        </w:rPr>
        <w:t>, such financial statements shall present fairly in all material respects the consolidated financial position and results of operations of the Company and its Subsidiaries as of the dates and for the periods shown therein.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9680"/>
          </w:cols>
          <w:pgMar w:left="1100" w:top="254" w:right="1119" w:bottom="1440" w:gutter="0" w:footer="0" w:header="0"/>
        </w:sectPr>
      </w:pPr>
    </w:p>
    <w:bookmarkStart w:id="86" w:name="page87"/>
    <w:bookmarkEnd w:id="86"/>
    <w:p>
      <w:pPr>
        <w:ind w:firstLine="874"/>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7.02 </w:t>
      </w:r>
      <w:r>
        <w:rPr>
          <w:rFonts w:ascii="Times New Roman" w:cs="Times New Roman" w:eastAsia="Times New Roman" w:hAnsi="Times New Roman"/>
          <w:sz w:val="16"/>
          <w:szCs w:val="16"/>
          <w:u w:val="single" w:color="auto"/>
          <w:color w:val="auto"/>
        </w:rPr>
        <w:t>No Solicitation of Transactions</w:t>
      </w:r>
      <w:r>
        <w:rPr>
          <w:rFonts w:ascii="Times New Roman" w:cs="Times New Roman" w:eastAsia="Times New Roman" w:hAnsi="Times New Roman"/>
          <w:sz w:val="16"/>
          <w:szCs w:val="16"/>
          <w:color w:val="auto"/>
        </w:rPr>
        <w:t>. (a) The Company agrees that it will not, and that it will cause each of its Subsidiaries not to and will direct each of its and its Subsidiaries’ Representatives not to, directly or indirectly, (i) solicit, initiate, seek or take any other action to facilitate or knowingly encourage the making, submission or announcement of any proposal that constitutes, or would be reasonably be expected to lead to any Competing Proposal, (ii) enter into, maintain, continue or participate in any discussions or negotiations with any Person or entity in furtherance of, or furnish to any Person any information or otherwise cooperate in any way with respect to, any Competing Proposal, (iii) agree to, approve, endorse, recommend or consummate any Competing Proposal, (iv) enter into, or propose to enter into, any Competing Transaction Agreement, or (v) resolve, propose or agree, or authorize or permit any Representative to do any of the foregoing. The Company shall, and shall cause its Subsidiaries to and will direct its and its Subsidiaries’ Representatives to, immediately cease and cause to be terminated all existing discussions or negotiations with any Persons conducted prior to the execution of this Agreement by the Company, any of its Subsidiaries or its or any of their respective Representatives with respect to any Competing Proposal, request the prompt return or destruction of all confidential information previously furnished and terminate access to any physical or electronic data rooms related to a potential Competing Proposal previously granted to such Person.</w:t>
      </w:r>
    </w:p>
    <w:p>
      <w:pPr>
        <w:spacing w:after="0" w:line="168" w:lineRule="exact"/>
        <w:rPr>
          <w:sz w:val="20"/>
          <w:szCs w:val="20"/>
          <w:color w:val="auto"/>
        </w:rPr>
      </w:pPr>
    </w:p>
    <w:p>
      <w:pPr>
        <w:ind w:right="60" w:firstLine="883"/>
        <w:spacing w:after="0" w:line="271" w:lineRule="auto"/>
        <w:tabs>
          <w:tab w:leader="none" w:pos="1098"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promptly, and in any event within 24 hours of the Company obtaining knowledge of the receipt thereof, advise Parent in writing of any Competing Proposal, the financial and other material terms and conditions of any such Competing Proposal (including any changes thereto) and the identity of the Person making any such Competing Proposal. The Company shall (i) keep Parent reasonably informed of the status and material details (including any change to the terms thereof) of any such Competing Proposal and (ii) provide to Parent, as soon as practicable after receipt or delivery thereof (and in any event, within 24 hours of such receipt or delivery),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Proposal exchanged between the Company or any of its Subsidiaries (or their Representatives), on the one hand, and the Person making such Competing Proposal (or its Representatives), on the other hand.</w:t>
      </w:r>
    </w:p>
    <w:p>
      <w:pPr>
        <w:spacing w:after="0" w:line="155" w:lineRule="exact"/>
        <w:rPr>
          <w:rFonts w:ascii="Times New Roman" w:cs="Times New Roman" w:eastAsia="Times New Roman" w:hAnsi="Times New Roman"/>
          <w:sz w:val="15"/>
          <w:szCs w:val="15"/>
          <w:color w:val="auto"/>
        </w:rPr>
      </w:pPr>
    </w:p>
    <w:p>
      <w:pPr>
        <w:ind w:firstLine="883"/>
        <w:spacing w:after="0" w:line="252" w:lineRule="auto"/>
        <w:tabs>
          <w:tab w:leader="none" w:pos="10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Agreement, at any time prior to the receipt of the Company Stockholder Approvals, the Company may, subject to compliance with </w:t>
      </w:r>
      <w:r>
        <w:rPr>
          <w:rFonts w:ascii="Times New Roman" w:cs="Times New Roman" w:eastAsia="Times New Roman" w:hAnsi="Times New Roman"/>
          <w:sz w:val="16"/>
          <w:szCs w:val="16"/>
          <w:u w:val="single" w:color="auto"/>
          <w:color w:val="auto"/>
        </w:rPr>
        <w:t>Section 7.02(b)</w:t>
      </w:r>
      <w:r>
        <w:rPr>
          <w:rFonts w:ascii="Times New Roman" w:cs="Times New Roman" w:eastAsia="Times New Roman" w:hAnsi="Times New Roman"/>
          <w:sz w:val="16"/>
          <w:szCs w:val="16"/>
          <w:color w:val="auto"/>
        </w:rPr>
        <w:t xml:space="preserve">, furnish information to, and enter into discussions with, a Person who has made, after the date hereof, an unsolicited, written, bona fide Competing Proposal so long as such Competing Proposal did not result from a breach of this </w:t>
      </w:r>
      <w:r>
        <w:rPr>
          <w:rFonts w:ascii="Times New Roman" w:cs="Times New Roman" w:eastAsia="Times New Roman" w:hAnsi="Times New Roman"/>
          <w:sz w:val="16"/>
          <w:szCs w:val="16"/>
          <w:u w:val="single" w:color="auto"/>
          <w:color w:val="auto"/>
        </w:rPr>
        <w:t>Section 7.02</w:t>
      </w:r>
      <w:r>
        <w:rPr>
          <w:rFonts w:ascii="Times New Roman" w:cs="Times New Roman" w:eastAsia="Times New Roman" w:hAnsi="Times New Roman"/>
          <w:sz w:val="16"/>
          <w:szCs w:val="16"/>
          <w:color w:val="auto"/>
        </w:rPr>
        <w:t xml:space="preserve"> and, prior to furnishing such information and entering into such discussions, the Company Board has (i) reasonably determined, in its good faith judgment (after having received the advice of a financial advisor of nationally recognized reputation and outside legal counsel) that (A) such Competing Proposal constitutes, or could reasonably be expected to lead to, a Superior Proposal and (B) the failure to furnish such information to, or enter into such discussions with, the Person who made such Competing Proposal would be inconsistent with the Company Board’s fiduciary duties to the Company and its stockholders under applicable Law, (ii) previously provided all such information to Parent (or provides such information to Parent substantially concurrent with the time it is provided to such Person), and (iii) obtained from such Person an Acceptable Confidentiality Agreement.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9700"/>
          </w:cols>
          <w:pgMar w:left="1080" w:top="254" w:right="1119" w:bottom="1440" w:gutter="0" w:footer="0" w:header="0"/>
        </w:sectPr>
      </w:pPr>
    </w:p>
    <w:bookmarkStart w:id="87" w:name="page88"/>
    <w:bookmarkEnd w:id="87"/>
    <w:p>
      <w:pPr>
        <w:ind w:left="-20" w:firstLine="883"/>
        <w:spacing w:after="0" w:line="266" w:lineRule="auto"/>
        <w:tabs>
          <w:tab w:leader="none" w:pos="1078"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Except as set forth in this </w:t>
      </w:r>
      <w:r>
        <w:rPr>
          <w:rFonts w:ascii="Times New Roman" w:cs="Times New Roman" w:eastAsia="Times New Roman" w:hAnsi="Times New Roman"/>
          <w:sz w:val="15"/>
          <w:szCs w:val="15"/>
          <w:u w:val="single" w:color="auto"/>
          <w:color w:val="auto"/>
        </w:rPr>
        <w:t>Section 7.02(d)</w:t>
      </w:r>
      <w:r>
        <w:rPr>
          <w:rFonts w:ascii="Times New Roman" w:cs="Times New Roman" w:eastAsia="Times New Roman" w:hAnsi="Times New Roman"/>
          <w:sz w:val="15"/>
          <w:szCs w:val="15"/>
          <w:color w:val="auto"/>
        </w:rPr>
        <w:t>, neither the Company Board nor any committee thereof shall (i) (A) fail to make, withdraw, qualify, modify or amend, or propose publicly to fail to make, withdraw, qualify, modify or amend, the Company Recommendation or fail to include the Company Recommendation in the Consent Solicitation Statement, (B) adopt or recommend, or propose publicly to adopt or recommend, any Competing Proposal, or (C) enter into any agreement relating to a Competing Proposal (other than an Acceptable Confidentiality Agreement), or (ii) make any public statement inconsistent with the Company Recommendation (any of the actions described in the foregoing clauses (i) and (ii), a “</w:t>
      </w:r>
      <w:r>
        <w:rPr>
          <w:rFonts w:ascii="Times New Roman" w:cs="Times New Roman" w:eastAsia="Times New Roman" w:hAnsi="Times New Roman"/>
          <w:sz w:val="15"/>
          <w:szCs w:val="15"/>
          <w:u w:val="single" w:color="auto"/>
          <w:color w:val="auto"/>
        </w:rPr>
        <w:t>Change in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Company Recommendation</w:t>
      </w:r>
      <w:r>
        <w:rPr>
          <w:rFonts w:ascii="Times New Roman" w:cs="Times New Roman" w:eastAsia="Times New Roman" w:hAnsi="Times New Roman"/>
          <w:sz w:val="15"/>
          <w:szCs w:val="15"/>
          <w:color w:val="auto"/>
        </w:rPr>
        <w:t xml:space="preserve">”). Notwithstanding the foregoing, if at any time prior to the receipt of the Company Stockholder Approvals and subject to compliance with </w:t>
      </w:r>
      <w:r>
        <w:rPr>
          <w:rFonts w:ascii="Times New Roman" w:cs="Times New Roman" w:eastAsia="Times New Roman" w:hAnsi="Times New Roman"/>
          <w:sz w:val="15"/>
          <w:szCs w:val="15"/>
          <w:u w:val="single" w:color="auto"/>
          <w:color w:val="auto"/>
        </w:rPr>
        <w:t>Section 7.02(b)</w:t>
      </w:r>
      <w:r>
        <w:rPr>
          <w:rFonts w:ascii="Times New Roman" w:cs="Times New Roman" w:eastAsia="Times New Roman" w:hAnsi="Times New Roman"/>
          <w:sz w:val="15"/>
          <w:szCs w:val="15"/>
          <w:color w:val="auto"/>
        </w:rPr>
        <w:t xml:space="preserve"> the Company Board determines in its good faith judgment (after having received the advice of a financial advisor of nationally recognized reputation and outside legal counsel) that the failure of the Company Board to make a Change in the Company Recommendation would be inconsistent with the fiduciary duties of the Company Board to the Company and its stockholders under applicable Law, then the Company Board may make a Change in the Company Recommendation;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no Change in the Company Recommendation may be made that relates to a Competing Proposal unless such Competing Proposal constitutes a Superior Proposal;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the Company shall not be entitled to exercise its right to make a Change in the Company Recommendation until after the fourth Business Day following Parent’s receipt of written notice from the Company advising Parent that the Company Board intends to make a Change in the Company Recommendation (a “</w:t>
      </w:r>
      <w:r>
        <w:rPr>
          <w:rFonts w:ascii="Times New Roman" w:cs="Times New Roman" w:eastAsia="Times New Roman" w:hAnsi="Times New Roman"/>
          <w:sz w:val="15"/>
          <w:szCs w:val="15"/>
          <w:u w:val="single" w:color="auto"/>
          <w:color w:val="auto"/>
        </w:rPr>
        <w:t>Notice of Adverse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Recommendation</w:t>
      </w:r>
      <w:r>
        <w:rPr>
          <w:rFonts w:ascii="Times New Roman" w:cs="Times New Roman" w:eastAsia="Times New Roman" w:hAnsi="Times New Roman"/>
          <w:sz w:val="15"/>
          <w:szCs w:val="15"/>
          <w:color w:val="auto"/>
        </w:rPr>
        <w:t>”) and specifying the reasons therefor, including the terms and conditions of any Superior Proposal and including an unredacted copy of any proposed agreement (including schedules and exhibits thereto) relating to such Superior Proposal (it being understood and agreed that any subsequent amendment to the financial terms or any other material term of such Superior Proposal shall require a new Notice of Adverse Recommendation and a three Business Day notice period). The Company agrees that, during the applicable four or three Business Day notice period prior to the Company Board making a Change in the Company Recommendation, the Company and its Representatives shall negotiate in good faith with Parent and its Representatives regarding any revisions to the terms of this Agreement proposed by Parent. In determining whether to make a Change in the Company Recommendation, the Company Board shall take into account any changes to the financial or other terms of this Agreement proposed by Parent in response to a Notice of Adverse Recommendation or otherwise. At the end of the four Business Day notice period (or three Business Day notice period with respect to any amendment to the financial terms or any other material term of such Superior Proposal) the Company Board may effect a Change in the Company Recommendation if the Company Board shall again make a determination in good faith after consultation with its outside legal counsel and financial advisors (and taking into account any adjustment or modification of the terms of this Agreement proposed by Parent), that the Competing Proposal continues to be a Superior Proposal and that the Change in the Company Recommendation is required to comply with the fiduciary duties of the Company Board to the Company and its stockholders under applicable Law.</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9680"/>
          </w:cols>
          <w:pgMar w:left="1100" w:top="254" w:right="1119" w:bottom="1440" w:gutter="0" w:footer="0" w:header="0"/>
        </w:sectPr>
      </w:pPr>
    </w:p>
    <w:bookmarkStart w:id="88" w:name="page89"/>
    <w:bookmarkEnd w:id="88"/>
    <w:p>
      <w:pPr>
        <w:ind w:right="60" w:firstLine="883"/>
        <w:spacing w:after="0" w:line="276" w:lineRule="auto"/>
        <w:tabs>
          <w:tab w:leader="none" w:pos="109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Notwithstanding anything in this Agreement to the contrary, (i) neither the Company Board nor any committee thereof shall withdraw, revoke, rescind, modify or amend in any manner the Drag-Along Resolution and (ii) in no event shall any Change in the Company Recommendation</w:t>
      </w:r>
    </w:p>
    <w:p>
      <w:pPr>
        <w:spacing w:after="0" w:line="1" w:lineRule="exact"/>
        <w:rPr>
          <w:rFonts w:ascii="Times New Roman" w:cs="Times New Roman" w:eastAsia="Times New Roman" w:hAnsi="Times New Roman"/>
          <w:sz w:val="15"/>
          <w:szCs w:val="15"/>
          <w:color w:val="auto"/>
        </w:rPr>
      </w:pPr>
    </w:p>
    <w:p>
      <w:pPr>
        <w:ind w:right="20" w:firstLine="9"/>
        <w:spacing w:after="0" w:line="251" w:lineRule="auto"/>
        <w:tabs>
          <w:tab w:leader="none" w:pos="2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affect the validity and enforceability of this Agreement or the other Transaction Documents, including the obligations of the Company and the Company’s stockholders that are party to the Transaction Documents to consummate the Mergers or the other Transactions and to deliver (or cause to be delivered) the written consent contemplated by Section 3(b) of the Selling Investor Support Agreement, or (B) cause any state corporate takeover statute or other similar statute to be applicable to the Mergers or the other Transactions.</w:t>
      </w:r>
    </w:p>
    <w:p>
      <w:pPr>
        <w:spacing w:after="0" w:line="165" w:lineRule="exact"/>
        <w:rPr>
          <w:sz w:val="20"/>
          <w:szCs w:val="20"/>
          <w:color w:val="auto"/>
        </w:rPr>
      </w:pPr>
    </w:p>
    <w:p>
      <w:pPr>
        <w:ind w:right="40" w:firstLine="874"/>
        <w:spacing w:after="0" w:line="269" w:lineRule="auto"/>
        <w:rPr>
          <w:sz w:val="20"/>
          <w:szCs w:val="20"/>
          <w:color w:val="auto"/>
        </w:rPr>
      </w:pPr>
      <w:r>
        <w:rPr>
          <w:rFonts w:ascii="Times New Roman" w:cs="Times New Roman" w:eastAsia="Times New Roman" w:hAnsi="Times New Roman"/>
          <w:sz w:val="15"/>
          <w:szCs w:val="15"/>
          <w:color w:val="auto"/>
        </w:rPr>
        <w:t xml:space="preserve">Section 7.03 </w:t>
      </w:r>
      <w:r>
        <w:rPr>
          <w:rFonts w:ascii="Times New Roman" w:cs="Times New Roman" w:eastAsia="Times New Roman" w:hAnsi="Times New Roman"/>
          <w:sz w:val="15"/>
          <w:szCs w:val="15"/>
          <w:u w:val="single" w:color="auto"/>
          <w:color w:val="auto"/>
        </w:rPr>
        <w:t>Access to Information; Confidentiality</w:t>
      </w:r>
      <w:r>
        <w:rPr>
          <w:rFonts w:ascii="Times New Roman" w:cs="Times New Roman" w:eastAsia="Times New Roman" w:hAnsi="Times New Roman"/>
          <w:sz w:val="15"/>
          <w:szCs w:val="15"/>
          <w:color w:val="auto"/>
        </w:rPr>
        <w:t xml:space="preserve">. (a) Except as otherwise prohibited by applicable Law, from the date of this Agreement until the Effective Time, the Company shall, and shall cause its Subsidiaries to, provide to Parent and Parent’s Representatives reasonable access during normal business hours upon reasonable prior notice to the officers, employees and other personnel, agents, properties, offices and other facilities of the Company and its Subsidiaries and to the books and records thereof (including for purposes of conducting regulatory compliance reviews and audits to allow Parent to be in compliance with its policies and procedures and any applicable Law at the Effective Time);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w:t>
      </w:r>
    </w:p>
    <w:p>
      <w:pPr>
        <w:spacing w:after="0" w:line="2" w:lineRule="exact"/>
        <w:rPr>
          <w:sz w:val="20"/>
          <w:szCs w:val="20"/>
          <w:color w:val="auto"/>
        </w:rPr>
      </w:pPr>
    </w:p>
    <w:p>
      <w:pPr>
        <w:ind w:firstLine="9"/>
        <w:spacing w:after="0" w:line="250" w:lineRule="auto"/>
        <w:tabs>
          <w:tab w:leader="none" w:pos="22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to provide access to or disclose any such information to the extent such access or disclosure would result in the loss of attorney-client privilege of the Company or any of its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and its Subsidiaries shall use their reasonable best efforts to allow for such access or disclosure in a manner that does not result in a loss of attorney-client privilege) and (y) the Company may limit physical access to the properties, offices and other facilities of the Company and its Subsidiaries to the extent the Company reasonably determines, in light of COVID-19, that such access would jeopardize the health and safety of any employee of the Company or its Subsidiaries or to the extent necessary to comply with applicable Laws.</w:t>
      </w:r>
    </w:p>
    <w:p>
      <w:pPr>
        <w:spacing w:after="0" w:line="165" w:lineRule="exact"/>
        <w:rPr>
          <w:rFonts w:ascii="Times New Roman" w:cs="Times New Roman" w:eastAsia="Times New Roman" w:hAnsi="Times New Roman"/>
          <w:sz w:val="16"/>
          <w:szCs w:val="16"/>
          <w:color w:val="auto"/>
        </w:rPr>
      </w:pPr>
    </w:p>
    <w:p>
      <w:pPr>
        <w:ind w:firstLine="883"/>
        <w:spacing w:after="0" w:line="251" w:lineRule="auto"/>
        <w:tabs>
          <w:tab w:leader="none" w:pos="1098"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the foregoing, the Company covenants and agrees that, between the date of this Agreement and the Effective Time, the Company shall keep Parent reasonably informed as to the Company’s FDA regulatory strategy with respect to non-immaterial communications with FDA, pre-submissions to FDA, submissions to FDA, and any other regulatory issues under consideration for presentation to FDA, including IDEs, clinical trials (whether new or on-going), and medical technology, including by providing copies of material information to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Company shall not be required to provide such information to the extent providing such information would result in the loss of attorney-client privilege of the Company or any of its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and its Subsidiaries shall use their reasonable best efforts to provide such information in a manner that does not result in a loss of attorney-client privilege). In order to keep Parent reasonably informed regarding the Company’s regulatory relationship with FDA, the Company also agrees to in a reasonably timely manner provide Parent with any and all material communications with FDA with respect to its pre-submissions, submissions, and other non-immaterial regulatory issues such as IDEs, clinical trials (whether new or on-going), medical technology and any other subject which would likely have a material impact on the Company’s current or future business. Nothing contained in this </w:t>
      </w:r>
      <w:r>
        <w:rPr>
          <w:rFonts w:ascii="Times New Roman" w:cs="Times New Roman" w:eastAsia="Times New Roman" w:hAnsi="Times New Roman"/>
          <w:sz w:val="16"/>
          <w:szCs w:val="16"/>
          <w:u w:val="single" w:color="auto"/>
          <w:color w:val="auto"/>
        </w:rPr>
        <w:t>Section 7.03(b)</w:t>
      </w:r>
      <w:r>
        <w:rPr>
          <w:rFonts w:ascii="Times New Roman" w:cs="Times New Roman" w:eastAsia="Times New Roman" w:hAnsi="Times New Roman"/>
          <w:sz w:val="16"/>
          <w:szCs w:val="16"/>
          <w:color w:val="auto"/>
        </w:rPr>
        <w:t xml:space="preserve"> is intended to give Parent, directly or indirectly, the right to control or direct the FDA regulatory strategy of the Company or its Subsidiaries prior to the Effective Time.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9700"/>
          </w:cols>
          <w:pgMar w:left="1080" w:top="254" w:right="1119" w:bottom="1440" w:gutter="0" w:footer="0" w:header="0"/>
        </w:sectPr>
      </w:pPr>
    </w:p>
    <w:bookmarkStart w:id="89" w:name="page90"/>
    <w:bookmarkEnd w:id="89"/>
    <w:p>
      <w:pPr>
        <w:ind w:right="120" w:firstLine="883"/>
        <w:spacing w:after="0" w:line="258" w:lineRule="auto"/>
        <w:tabs>
          <w:tab w:leader="none" w:pos="109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Except as otherwise prohibited by applicable Law, from the date of this Agreement until the Effective Time, Parent shall, and shall cause its Subsidiaries to, provide to the Company and the Company’s Representatives reasonable access during normal business hours upon reasonable prior notice to Parent’s personnel and records on a basis consistent with the Company’s access to such personnel and records prior to the date hereof in connection with the Company’s due diligence review of Parent and its Subsidiaries in connection with the Transactions.</w:t>
      </w:r>
    </w:p>
    <w:p>
      <w:pPr>
        <w:spacing w:after="0" w:line="160" w:lineRule="exact"/>
        <w:rPr>
          <w:rFonts w:ascii="Times New Roman" w:cs="Times New Roman" w:eastAsia="Times New Roman" w:hAnsi="Times New Roman"/>
          <w:sz w:val="16"/>
          <w:szCs w:val="16"/>
          <w:color w:val="auto"/>
        </w:rPr>
      </w:pPr>
    </w:p>
    <w:p>
      <w:pPr>
        <w:ind w:right="740" w:firstLine="883"/>
        <w:spacing w:after="0" w:line="278" w:lineRule="auto"/>
        <w:tabs>
          <w:tab w:leader="none" w:pos="109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information obtained by the parties hereto pursuant to this </w:t>
      </w:r>
      <w:r>
        <w:rPr>
          <w:rFonts w:ascii="Times New Roman" w:cs="Times New Roman" w:eastAsia="Times New Roman" w:hAnsi="Times New Roman"/>
          <w:sz w:val="16"/>
          <w:szCs w:val="16"/>
          <w:u w:val="single" w:color="auto"/>
          <w:color w:val="auto"/>
        </w:rPr>
        <w:t>Section 7.03</w:t>
      </w:r>
      <w:r>
        <w:rPr>
          <w:rFonts w:ascii="Times New Roman" w:cs="Times New Roman" w:eastAsia="Times New Roman" w:hAnsi="Times New Roman"/>
          <w:sz w:val="16"/>
          <w:szCs w:val="16"/>
          <w:color w:val="auto"/>
        </w:rPr>
        <w:t xml:space="preserve"> shall be kept confidential in accordance with the Confidentiality Agreement.</w:t>
      </w:r>
    </w:p>
    <w:p>
      <w:pPr>
        <w:spacing w:after="0" w:line="144" w:lineRule="exact"/>
        <w:rPr>
          <w:rFonts w:ascii="Times New Roman" w:cs="Times New Roman" w:eastAsia="Times New Roman" w:hAnsi="Times New Roman"/>
          <w:sz w:val="16"/>
          <w:szCs w:val="16"/>
          <w:color w:val="auto"/>
        </w:rPr>
      </w:pPr>
    </w:p>
    <w:p>
      <w:pPr>
        <w:ind w:firstLine="883"/>
        <w:spacing w:after="0" w:line="278" w:lineRule="auto"/>
        <w:tabs>
          <w:tab w:leader="none" w:pos="109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investigation pursuant to this </w:t>
      </w:r>
      <w:r>
        <w:rPr>
          <w:rFonts w:ascii="Times New Roman" w:cs="Times New Roman" w:eastAsia="Times New Roman" w:hAnsi="Times New Roman"/>
          <w:sz w:val="16"/>
          <w:szCs w:val="16"/>
          <w:u w:val="single" w:color="auto"/>
          <w:color w:val="auto"/>
        </w:rPr>
        <w:t>Section 7.03</w:t>
      </w:r>
      <w:r>
        <w:rPr>
          <w:rFonts w:ascii="Times New Roman" w:cs="Times New Roman" w:eastAsia="Times New Roman" w:hAnsi="Times New Roman"/>
          <w:sz w:val="16"/>
          <w:szCs w:val="16"/>
          <w:color w:val="auto"/>
        </w:rPr>
        <w:t xml:space="preserve"> shall affect any representation, warranty, covenant or agreement in this Agreement of any party hereto or any condition to the obligations of the parties hereto.</w:t>
      </w:r>
    </w:p>
    <w:p>
      <w:pPr>
        <w:spacing w:after="0" w:line="145" w:lineRule="exact"/>
        <w:rPr>
          <w:sz w:val="20"/>
          <w:szCs w:val="20"/>
          <w:color w:val="auto"/>
        </w:rPr>
      </w:pPr>
    </w:p>
    <w:p>
      <w:pPr>
        <w:ind w:firstLine="874"/>
        <w:spacing w:after="0" w:line="249" w:lineRule="auto"/>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u w:val="single" w:color="auto"/>
          <w:color w:val="auto"/>
        </w:rPr>
        <w:t>Employee Benefits Matters</w:t>
      </w:r>
      <w:r>
        <w:rPr>
          <w:rFonts w:ascii="Times New Roman" w:cs="Times New Roman" w:eastAsia="Times New Roman" w:hAnsi="Times New Roman"/>
          <w:sz w:val="16"/>
          <w:szCs w:val="16"/>
          <w:color w:val="auto"/>
        </w:rPr>
        <w:t>. (a) From and after the Effective Time, Parent shall (or shall cause its Affiliates, including the Surviving Entity and its Subsidiaries to), honor in accordance with their terms, all Plans and all other contracts, agreements, arrangements, policies, plans and commitments of the Company and its Subsidiaries, in each case, as in effect immediately prior to the Effective Time that are applicable to current or former Service Providers. For the period beginning on the Closing Date and continuing through the first anniversary of the Closing Date (or, if shorter, during the period of employment), Parent shall, or shall cause the Surviving Entity and its Subsidiaries to, provide each employee of the Company or its Subsidiaries who continues to be employed by the Company or the Surviving Entity or their respective Affiliates after the Closing Date (collectively, the “</w:t>
      </w:r>
      <w:r>
        <w:rPr>
          <w:rFonts w:ascii="Times New Roman" w:cs="Times New Roman" w:eastAsia="Times New Roman" w:hAnsi="Times New Roman"/>
          <w:sz w:val="16"/>
          <w:szCs w:val="16"/>
          <w:u w:val="single" w:color="auto"/>
          <w:color w:val="auto"/>
        </w:rPr>
        <w:t>Continuing Employees</w:t>
      </w:r>
      <w:r>
        <w:rPr>
          <w:rFonts w:ascii="Times New Roman" w:cs="Times New Roman" w:eastAsia="Times New Roman" w:hAnsi="Times New Roman"/>
          <w:sz w:val="16"/>
          <w:szCs w:val="16"/>
          <w:color w:val="auto"/>
        </w:rPr>
        <w:t>”) with (i) an annual base salary or hourly wage rate, as applicable, and annual cash target bonus or other recurring cash incentive opportunity that is no less favorable, in the aggregate, than the annual base salary or hourly wage rate, as applicable, and annual target cash bonus or other recurring cash incentive opportunity provided to such Continuing Employee immediately prior to the Effective Time, in the aggregate, and (ii) health, welfare and retirement benefits that are substantially comparable, in the aggregate, to either, in Parent’s sole discretion, (A) the health, welfare and retirement benefits provided to such Continuing Employee immediately prior to the Effective Time or (B) the health, welfare and retirement benefits provided to similarly situated employees of Parent and its Affiliates, in each case and for the avoidance of doubt, excluding defined benefit pension benefits. Without limiting the foregoing, the Chief Executive Officers of each of Parent and the Company, or each of their respective designees, shall cooperate to design and implement an annual bonus program, including performance goals, for the benefit of the Continuing Employees for the first full calendar year commencing after the Closing Date (the “</w:t>
      </w:r>
      <w:r>
        <w:rPr>
          <w:rFonts w:ascii="Times New Roman" w:cs="Times New Roman" w:eastAsia="Times New Roman" w:hAnsi="Times New Roman"/>
          <w:sz w:val="16"/>
          <w:szCs w:val="16"/>
          <w:u w:val="single" w:color="auto"/>
          <w:color w:val="auto"/>
        </w:rPr>
        <w:t>Post-Closing Bonus Plan</w:t>
      </w:r>
      <w:r>
        <w:rPr>
          <w:rFonts w:ascii="Times New Roman" w:cs="Times New Roman" w:eastAsia="Times New Roman" w:hAnsi="Times New Roman"/>
          <w:sz w:val="16"/>
          <w:szCs w:val="16"/>
          <w:color w:val="auto"/>
        </w:rPr>
        <w:t>”), with the bonus payouts to be based on the attainment of performance goals applicable to the business of the Company and its Subsidiaries for such year (and not, for the avoidance of doubt, performance goals applicable to the business of Parent or any of its Subsidiaries other than the Company and its Subsidiaries). Each Continuing Employee shall be entitled to participate in the Post-Closing Bonus Plan with an annual bonus target equal to the greater of (x) such Continuing Employee’s annual bonus target under the Closing Year VCP (as defined below) and (y) the annual bonus target of a similarly-situated employees of Parent (as reasonably determined by Parent where such targets constitute a range).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9720"/>
          </w:cols>
          <w:pgMar w:left="1080" w:top="254" w:right="1099" w:bottom="1440" w:gutter="0" w:footer="0" w:header="0"/>
        </w:sectPr>
      </w:pPr>
    </w:p>
    <w:bookmarkStart w:id="90" w:name="page91"/>
    <w:bookmarkEnd w:id="90"/>
    <w:p>
      <w:pPr>
        <w:ind w:left="-20" w:right="80" w:firstLine="883"/>
        <w:spacing w:after="0" w:line="267" w:lineRule="auto"/>
        <w:tabs>
          <w:tab w:leader="none" w:pos="1078"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For all purposes under the employee benefit plans of Parent and its Subsidiaries providing benefits to any Continuing Employee after the Effective Time (including the Plans), but excluding any retiree health or welfare plans or programs and (solely for purposes of vesting) any equity compensation arrangements (the “</w:t>
      </w:r>
      <w:r>
        <w:rPr>
          <w:rFonts w:ascii="Times New Roman" w:cs="Times New Roman" w:eastAsia="Times New Roman" w:hAnsi="Times New Roman"/>
          <w:sz w:val="15"/>
          <w:szCs w:val="15"/>
          <w:u w:val="single" w:color="auto"/>
          <w:color w:val="auto"/>
        </w:rPr>
        <w:t>New Plans</w:t>
      </w:r>
      <w:r>
        <w:rPr>
          <w:rFonts w:ascii="Times New Roman" w:cs="Times New Roman" w:eastAsia="Times New Roman" w:hAnsi="Times New Roman"/>
          <w:sz w:val="15"/>
          <w:szCs w:val="15"/>
          <w:color w:val="auto"/>
        </w:rPr>
        <w:t xml:space="preserve">”), Parent shall credit each Continuing Employee with his or her years of service with the Company and its Subsidiaries and their respective predecessors before the Effective Time, to the same extent as such Continuing Employee was entitled, immediately prior to the Effective Time, to credit for such service under any similar Plan in which such Continuing Employee participated or was eligible to participate immediately prior to the Effective Time;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foregoing shall not apply to the extent that its application would result in a duplication of benefits with respect to the same period of service. In addition, and without limiting the generality of the foregoing, Parent shall (or shall cause its Subsidiaries, including the Surviving Entity and its Subsidiaries, to) cause (i) each Continuing Employee to become immediately eligible to participate, without any waiting time, in any and all New Plans to the extent coverage under such New Plan is replacing coverage under a Plan in which such Continuing Employee participated immediately prior to the Effective Time, and (ii) for purposes of each New Plan providing medical, dental, pharmaceutical and/or vision benefits to any Continuing Employee, all pre-existing condition exclusions or limitations, evidence of insurability requirements, required physical examinations and actively-at-work requirements of such New Plan to be waived for such Continuing Employee and his or her covered dependents, to the extent such conditions were inapplicable or waived under the comparable Plans in which such Continuing Employee participated immediately prior to the Effective Time. Parent shall (or shall cause its Subsidiaries, including the Surviving Entity and its Subsidiaries, to) cause any eligible expenses incurred by any Continuing Employee and his or her covered dependents during the portion of the Plan year ending on the date such Continuing Employee’s participation in the corresponding New Plan begins to be taken into account under such New Plan for purposes of satisfying all applicable deductible, coinsurance and maximum out-of-pocket requirements applicable to such Continuing Employee and his or her covered dependents for the applicable plan year as if such amounts had been paid in accordance with such New Plan.</w:t>
      </w:r>
    </w:p>
    <w:p>
      <w:pPr>
        <w:spacing w:after="0" w:line="355" w:lineRule="exact"/>
        <w:rPr>
          <w:rFonts w:ascii="Times New Roman" w:cs="Times New Roman" w:eastAsia="Times New Roman" w:hAnsi="Times New Roman"/>
          <w:sz w:val="15"/>
          <w:szCs w:val="15"/>
          <w:color w:val="auto"/>
        </w:rPr>
      </w:pPr>
    </w:p>
    <w:p>
      <w:pPr>
        <w:ind w:left="-20" w:firstLine="883"/>
        <w:spacing w:after="0" w:line="252" w:lineRule="auto"/>
        <w:tabs>
          <w:tab w:leader="none" w:pos="107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any payments to “disqualified individuals” of the Company or its Subsidiaries (within the meaning of Section 280G of the Code) could be characterized as “excess parachute payments” within the meaning of Section 280G(b)(1) of the Code in connection with the Transactions, the Company shall (i) no later than the Closing (and in any event prior to obtaining the consent of any recipient of such payment in accordance with (ii) below), disclose its calculations with respect to the potential excess parachute payments to Parent, and provide any other information reasonably requested by Parent that is necessary in order for Parent to review and understand such calculations (it being understood that the Company shall not be required to provide documents and information not in the Company’s possession or to prepare or draft any calculations or documents (other than the waivers, disclosure and solicitation documents and calculations of excess parachute payments otherwise referenced in this </w:t>
      </w:r>
      <w:r>
        <w:rPr>
          <w:rFonts w:ascii="Times New Roman" w:cs="Times New Roman" w:eastAsia="Times New Roman" w:hAnsi="Times New Roman"/>
          <w:sz w:val="16"/>
          <w:szCs w:val="16"/>
          <w:u w:val="single" w:color="auto"/>
          <w:color w:val="auto"/>
        </w:rPr>
        <w:t>Section 7.04(c)</w:t>
      </w:r>
      <w:r>
        <w:rPr>
          <w:rFonts w:ascii="Times New Roman" w:cs="Times New Roman" w:eastAsia="Times New Roman" w:hAnsi="Times New Roman"/>
          <w:sz w:val="16"/>
          <w:szCs w:val="16"/>
          <w:color w:val="auto"/>
        </w:rPr>
        <w:t>)), (ii) use commercially reasonable efforts to obtain from any disqualified individual a waiver of his or her rights to any such potential excess parachute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9700"/>
          </w:cols>
          <w:pgMar w:left="1100" w:top="254" w:right="1099" w:bottom="1440" w:gutter="0" w:footer="0" w:header="0"/>
        </w:sectPr>
      </w:pPr>
    </w:p>
    <w:bookmarkStart w:id="91" w:name="page92"/>
    <w:bookmarkEnd w:id="91"/>
    <w:p>
      <w:pPr>
        <w:ind w:right="4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payment absent approval by the Company’s shareholders in accordance with this </w:t>
      </w:r>
      <w:r>
        <w:rPr>
          <w:rFonts w:ascii="Times New Roman" w:cs="Times New Roman" w:eastAsia="Times New Roman" w:hAnsi="Times New Roman"/>
          <w:sz w:val="16"/>
          <w:szCs w:val="16"/>
          <w:u w:val="single" w:color="auto"/>
          <w:color w:val="auto"/>
        </w:rPr>
        <w:t>Section 7.04(c</w:t>
      </w:r>
      <w:r>
        <w:rPr>
          <w:rFonts w:ascii="Times New Roman" w:cs="Times New Roman" w:eastAsia="Times New Roman" w:hAnsi="Times New Roman"/>
          <w:sz w:val="16"/>
          <w:szCs w:val="16"/>
          <w:color w:val="auto"/>
        </w:rPr>
        <w:t xml:space="preserve">), and (iii) prior to the Closing, submit such payments for approval or disapproval by a vote of the stockholders of the Company entitled to vote on such matters in a manner intended to meet the requirements of Section 280G of the Code and the applicable treasury regulations thereunder. Parent shall have the right to review and comment on any waiver required by clause (ii) and any disclosure and solicitation documents required by clause (iii) before such waiver or consent is sought or document is distributed, as applicable, and the Company shall consider any such comments in good faith. Parent shall, no later than ten (10) Business Days prior to the Closing, provide to the Company any Parent plans or arrangements that could result in the payment of any excess parachute payment that would be subject to the foregoing;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any event, the Company’s failure to include such Parent plans or arrangement in the stockholders voting materials described herein due to Parent’s failure to provide such plans and arrangements as contemplated hereby will not result in a breach of the covenants set forth in this </w:t>
      </w:r>
      <w:r>
        <w:rPr>
          <w:rFonts w:ascii="Times New Roman" w:cs="Times New Roman" w:eastAsia="Times New Roman" w:hAnsi="Times New Roman"/>
          <w:sz w:val="16"/>
          <w:szCs w:val="16"/>
          <w:u w:val="single" w:color="auto"/>
          <w:color w:val="auto"/>
        </w:rPr>
        <w:t>Section 7.04(c</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883"/>
        <w:spacing w:after="0" w:line="230" w:lineRule="auto"/>
        <w:tabs>
          <w:tab w:leader="none" w:pos="1098"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maintain (or cause its Subsidiaries, including, following the Closing, the Surviving Entity and its Subsidiaries, to maintain) the Company’s annual Variable Compensation Plan for the year in which the Closing Date occurs (the “</w:t>
      </w:r>
      <w:r>
        <w:rPr>
          <w:rFonts w:ascii="Times New Roman" w:cs="Times New Roman" w:eastAsia="Times New Roman" w:hAnsi="Times New Roman"/>
          <w:sz w:val="16"/>
          <w:szCs w:val="16"/>
          <w:u w:val="single" w:color="auto"/>
          <w:color w:val="auto"/>
        </w:rPr>
        <w:t>Closing Year VCP</w:t>
      </w:r>
      <w:r>
        <w:rPr>
          <w:rFonts w:ascii="Times New Roman" w:cs="Times New Roman" w:eastAsia="Times New Roman" w:hAnsi="Times New Roman"/>
          <w:sz w:val="16"/>
          <w:szCs w:val="16"/>
          <w:color w:val="auto"/>
        </w:rPr>
        <w:t>”) until at least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6"/>
          <w:szCs w:val="16"/>
          <w:color w:val="auto"/>
        </w:rPr>
        <w:t xml:space="preserve"> of the year in which the Closing Date occurs, and shall pay (or cause its Subsidiaries, including, following the Closing, the Surviving Entity or its Subsidiaries, to pay) to each Continuing Employee who was a participant in the Closing Year VCP immediately prior to the Closing an award thereunder for the calendar year in which the Closing occurs based on the greater of (x) actual performance under the Closing Year VCP (which, for the avoidance of doubt, may be up to 150%) and (y) target performance (each, a “</w:t>
      </w:r>
      <w:r>
        <w:rPr>
          <w:rFonts w:ascii="Times New Roman" w:cs="Times New Roman" w:eastAsia="Times New Roman" w:hAnsi="Times New Roman"/>
          <w:sz w:val="16"/>
          <w:szCs w:val="16"/>
          <w:u w:val="single" w:color="auto"/>
          <w:color w:val="auto"/>
        </w:rPr>
        <w:t>VCP Bonus</w:t>
      </w:r>
      <w:r>
        <w:rPr>
          <w:rFonts w:ascii="Times New Roman" w:cs="Times New Roman" w:eastAsia="Times New Roman" w:hAnsi="Times New Roman"/>
          <w:sz w:val="16"/>
          <w:szCs w:val="16"/>
          <w:color w:val="auto"/>
        </w:rPr>
        <w:t>”), subject to each such Continuing Employee’s continued employment with the Surviving Entity or its Subsidiaries through the applicable payment date and otherwise in accordance with the terms of the Closing Year VCP. If any such Continuing Employee’s employment is involuntarily terminated prior to the payment of his or her VCP Bonus, he or she will remain eligible to receive his or her VCP Bonus following the end of the applicable calendar year (but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of the year following the year in which the Closing Date occurs).</w:t>
      </w:r>
    </w:p>
    <w:p>
      <w:pPr>
        <w:spacing w:after="0" w:line="176" w:lineRule="exact"/>
        <w:rPr>
          <w:rFonts w:ascii="Times New Roman" w:cs="Times New Roman" w:eastAsia="Times New Roman" w:hAnsi="Times New Roman"/>
          <w:sz w:val="16"/>
          <w:szCs w:val="16"/>
          <w:color w:val="auto"/>
        </w:rPr>
      </w:pPr>
    </w:p>
    <w:p>
      <w:pPr>
        <w:ind w:right="40" w:firstLine="883"/>
        <w:spacing w:after="0" w:line="258" w:lineRule="auto"/>
        <w:tabs>
          <w:tab w:leader="none" w:pos="10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Closing, Parent shall provide each Continuing Employee with equity-based compensation (“</w:t>
      </w:r>
      <w:r>
        <w:rPr>
          <w:rFonts w:ascii="Times New Roman" w:cs="Times New Roman" w:eastAsia="Times New Roman" w:hAnsi="Times New Roman"/>
          <w:sz w:val="16"/>
          <w:szCs w:val="16"/>
          <w:u w:val="single" w:color="auto"/>
          <w:color w:val="auto"/>
        </w:rPr>
        <w:t>Parent Equity Awards</w:t>
      </w:r>
      <w:r>
        <w:rPr>
          <w:rFonts w:ascii="Times New Roman" w:cs="Times New Roman" w:eastAsia="Times New Roman" w:hAnsi="Times New Roman"/>
          <w:sz w:val="16"/>
          <w:szCs w:val="16"/>
          <w:color w:val="auto"/>
        </w:rPr>
        <w:t>”) in accordance and consistent with Parent’s standard incentive equity grant practices, which shall include (without limitation), grants of Parent Equity Awards no less frequently than, in amounts and values that are no less than, and with terms and conditions (including vesting conditions) that are no less favorable than, Parent Equity Awards granted to similarly-situated Parent employees from time to time.</w:t>
      </w:r>
    </w:p>
    <w:p>
      <w:pPr>
        <w:spacing w:after="0" w:line="160" w:lineRule="exact"/>
        <w:rPr>
          <w:rFonts w:ascii="Times New Roman" w:cs="Times New Roman" w:eastAsia="Times New Roman" w:hAnsi="Times New Roman"/>
          <w:sz w:val="16"/>
          <w:szCs w:val="16"/>
          <w:color w:val="auto"/>
        </w:rPr>
      </w:pPr>
    </w:p>
    <w:p>
      <w:pPr>
        <w:ind w:right="20" w:firstLine="883"/>
        <w:spacing w:after="0" w:line="254" w:lineRule="auto"/>
        <w:tabs>
          <w:tab w:leader="none" w:pos="1072"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w:t>
      </w:r>
      <w:r>
        <w:rPr>
          <w:rFonts w:ascii="Times New Roman" w:cs="Times New Roman" w:eastAsia="Times New Roman" w:hAnsi="Times New Roman"/>
          <w:sz w:val="16"/>
          <w:szCs w:val="16"/>
          <w:u w:val="single" w:color="auto"/>
          <w:color w:val="auto"/>
        </w:rPr>
        <w:t>Section 11.05</w:t>
      </w:r>
      <w:r>
        <w:rPr>
          <w:rFonts w:ascii="Times New Roman" w:cs="Times New Roman" w:eastAsia="Times New Roman" w:hAnsi="Times New Roman"/>
          <w:sz w:val="16"/>
          <w:szCs w:val="16"/>
          <w:color w:val="auto"/>
        </w:rPr>
        <w:t xml:space="preserve">, the provisions of this </w:t>
      </w:r>
      <w:r>
        <w:rPr>
          <w:rFonts w:ascii="Times New Roman" w:cs="Times New Roman" w:eastAsia="Times New Roman" w:hAnsi="Times New Roman"/>
          <w:sz w:val="16"/>
          <w:szCs w:val="16"/>
          <w:u w:val="single" w:color="auto"/>
          <w:color w:val="auto"/>
        </w:rPr>
        <w:t>Section 7.04</w:t>
      </w:r>
      <w:r>
        <w:rPr>
          <w:rFonts w:ascii="Times New Roman" w:cs="Times New Roman" w:eastAsia="Times New Roman" w:hAnsi="Times New Roman"/>
          <w:sz w:val="16"/>
          <w:szCs w:val="16"/>
          <w:color w:val="auto"/>
        </w:rPr>
        <w:t xml:space="preserve"> are for the sole benefit of the parties to this Agreement and nothing herein, express or implied, is intended or shall be construed as to confer upon or give any Person (including for the avoidance of doubt, any Continuing Employee or other current or former Service Provider), other than the parties hereto and their respective permitted successors and assigns, any legal or equitable or other rights or remedies (including with respect to the matters provided for in this </w:t>
      </w:r>
      <w:r>
        <w:rPr>
          <w:rFonts w:ascii="Times New Roman" w:cs="Times New Roman" w:eastAsia="Times New Roman" w:hAnsi="Times New Roman"/>
          <w:sz w:val="16"/>
          <w:szCs w:val="16"/>
          <w:u w:val="single" w:color="auto"/>
          <w:color w:val="auto"/>
        </w:rPr>
        <w:t>Section 7.04</w:t>
      </w:r>
      <w:r>
        <w:rPr>
          <w:rFonts w:ascii="Times New Roman" w:cs="Times New Roman" w:eastAsia="Times New Roman" w:hAnsi="Times New Roman"/>
          <w:sz w:val="16"/>
          <w:szCs w:val="16"/>
          <w:color w:val="auto"/>
        </w:rPr>
        <w:t>) under or by reason of any provision of this Agreement. Nothing contained in this Agreement, express or implied, shall (i) be treated as an amendment to any Plan, New Plan or other compensation or benefit plan, program, policy, agreement, arrangement or understanding</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9720"/>
          </w:cols>
          <w:pgMar w:left="1080" w:top="254" w:right="10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for any purpose, (ii) obligate Parent or the Surviving Entity or any of their Subsidiaries to (A) maintain any particular benefit plan or arrangement or</w:t>
      </w:r>
    </w:p>
    <w:p>
      <w:pPr>
        <w:spacing w:after="0" w:line="23" w:lineRule="exact"/>
        <w:rPr>
          <w:sz w:val="20"/>
          <w:szCs w:val="20"/>
          <w:color w:val="auto"/>
        </w:rPr>
      </w:pPr>
    </w:p>
    <w:p>
      <w:pPr>
        <w:ind w:right="440" w:firstLine="9"/>
        <w:spacing w:after="0" w:line="256" w:lineRule="auto"/>
        <w:tabs>
          <w:tab w:leader="none" w:pos="25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retain the employment of any particular employee or (iii) prevent Parent or the Surviving Entity or any of their Subsidiaries from amending or terminating any benefit plan or arrangement, in each case, subject to compliance with the other provisions of this </w:t>
      </w:r>
      <w:r>
        <w:rPr>
          <w:rFonts w:ascii="Times New Roman" w:cs="Times New Roman" w:eastAsia="Times New Roman" w:hAnsi="Times New Roman"/>
          <w:sz w:val="16"/>
          <w:szCs w:val="16"/>
          <w:u w:val="single" w:color="auto"/>
          <w:color w:val="auto"/>
        </w:rPr>
        <w:t>Section 7.04</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firstLine="874"/>
        <w:spacing w:after="0" w:line="270" w:lineRule="auto"/>
        <w:rPr>
          <w:sz w:val="20"/>
          <w:szCs w:val="20"/>
          <w:color w:val="auto"/>
        </w:rPr>
      </w:pPr>
      <w:r>
        <w:rPr>
          <w:rFonts w:ascii="Times New Roman" w:cs="Times New Roman" w:eastAsia="Times New Roman" w:hAnsi="Times New Roman"/>
          <w:sz w:val="15"/>
          <w:szCs w:val="15"/>
          <w:color w:val="auto"/>
        </w:rPr>
        <w:t xml:space="preserve">Section 7.05 </w:t>
      </w:r>
      <w:r>
        <w:rPr>
          <w:rFonts w:ascii="Times New Roman" w:cs="Times New Roman" w:eastAsia="Times New Roman" w:hAnsi="Times New Roman"/>
          <w:sz w:val="15"/>
          <w:szCs w:val="15"/>
          <w:u w:val="single" w:color="auto"/>
          <w:color w:val="auto"/>
        </w:rPr>
        <w:t>Directors’ and Officers’ Indemnification and Insurance</w:t>
      </w:r>
      <w:r>
        <w:rPr>
          <w:rFonts w:ascii="Times New Roman" w:cs="Times New Roman" w:eastAsia="Times New Roman" w:hAnsi="Times New Roman"/>
          <w:sz w:val="15"/>
          <w:szCs w:val="15"/>
          <w:color w:val="auto"/>
        </w:rPr>
        <w:t xml:space="preserve">. (a) Parent shall cause the Surviving Entity to assume, and shall cause the Surviving Entity to comply with (including by providing the Company with sufficient funds to comply with), the obligations with respect to all rights to indemnification, advancement of expenses, and exculpation from liabilities, for acts or omissions occurring at or prior to the Effective Time now existing in favor of the current or former directors or officers of the Company as provided in the certificate of incorporation and bylaws of the Company or any indemnification contract between such directors or officers and the Company (in each case, as in effect on the date hereof), without further action, as of the Effective Time, and such obligations shall survive the Mergers and shall continue in full force and effect in accordance with their terms. For the avoidance of doubt, the applicable rights of indemnification, advancement of expenses, and exculpation contemplated by this </w:t>
      </w:r>
      <w:r>
        <w:rPr>
          <w:rFonts w:ascii="Times New Roman" w:cs="Times New Roman" w:eastAsia="Times New Roman" w:hAnsi="Times New Roman"/>
          <w:sz w:val="15"/>
          <w:szCs w:val="15"/>
          <w:u w:val="single" w:color="auto"/>
          <w:color w:val="auto"/>
        </w:rPr>
        <w:t>Section 7.05</w:t>
      </w:r>
      <w:r>
        <w:rPr>
          <w:rFonts w:ascii="Times New Roman" w:cs="Times New Roman" w:eastAsia="Times New Roman" w:hAnsi="Times New Roman"/>
          <w:sz w:val="15"/>
          <w:szCs w:val="15"/>
          <w:color w:val="auto"/>
        </w:rPr>
        <w:t xml:space="preserve"> and pursuant to the terms of the certificate of incorporation or bylaws of the Company as in effect at or prior to the Effective Time shall not be impaired by any modification of such terms in any amendment or restatement of such certificate of incorporation or bylaws following the Effective Time.</w:t>
      </w:r>
    </w:p>
    <w:p>
      <w:pPr>
        <w:spacing w:after="0" w:line="158" w:lineRule="exact"/>
        <w:rPr>
          <w:sz w:val="20"/>
          <w:szCs w:val="20"/>
          <w:color w:val="auto"/>
        </w:rPr>
      </w:pPr>
    </w:p>
    <w:p>
      <w:pPr>
        <w:ind w:right="120" w:firstLine="883"/>
        <w:spacing w:after="0" w:line="253" w:lineRule="auto"/>
        <w:tabs>
          <w:tab w:leader="none" w:pos="109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shall obtain, at the Effective Time, a prepaid (or “tail”) directors’ and officers’ liability insurance policy in respect of acts or omissions occurring at or prior to the Effective Time for six years from the Effective Time, covering each Person currently covered by the Company’s directors’ and officers’ liability insurance policies (a true and complete copy of which has been heretofore made available to Parent), on terms with respect to such coverage and amounts no less favorable than those of such policy in effect on the date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in no event shall the Surviving Entity be required to expend pursuant to this </w:t>
      </w:r>
      <w:r>
        <w:rPr>
          <w:rFonts w:ascii="Times New Roman" w:cs="Times New Roman" w:eastAsia="Times New Roman" w:hAnsi="Times New Roman"/>
          <w:sz w:val="16"/>
          <w:szCs w:val="16"/>
          <w:u w:val="single" w:color="auto"/>
          <w:color w:val="auto"/>
        </w:rPr>
        <w:t>Section 7.05(b</w:t>
      </w:r>
      <w:r>
        <w:rPr>
          <w:rFonts w:ascii="Times New Roman" w:cs="Times New Roman" w:eastAsia="Times New Roman" w:hAnsi="Times New Roman"/>
          <w:sz w:val="16"/>
          <w:szCs w:val="16"/>
          <w:color w:val="auto"/>
        </w:rPr>
        <w:t xml:space="preserve">) an aggregate amount in excess of 300% of the last annual premium paid by the Company for such insurance;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aggregate amount necessary to procure such insurance coverage exceeds such maximum amount, Parent shall only be obligated to provide as much coverage as may be obtained for such maximum amount.</w:t>
      </w:r>
    </w:p>
    <w:p>
      <w:pPr>
        <w:spacing w:after="0" w:line="165" w:lineRule="exact"/>
        <w:rPr>
          <w:rFonts w:ascii="Times New Roman" w:cs="Times New Roman" w:eastAsia="Times New Roman" w:hAnsi="Times New Roman"/>
          <w:sz w:val="16"/>
          <w:szCs w:val="16"/>
          <w:color w:val="auto"/>
        </w:rPr>
      </w:pPr>
    </w:p>
    <w:p>
      <w:pPr>
        <w:jc w:val="both"/>
        <w:ind w:right="100" w:firstLine="883"/>
        <w:spacing w:after="0" w:line="258" w:lineRule="auto"/>
        <w:tabs>
          <w:tab w:leader="none" w:pos="109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Surviving Entity or any of their respective successors or assigns (i) consolidates with or merges into any other Person and shall not be the continuing or surviving limited liability company or entity of such consolidation or merger or (ii) transfers all or substantially all of its properties and assets to any Person, then, and in each such case, proper provision shall be made so that the successors and assigns of the Surviving Entity, as the case may be, or at Parent’s option, Parent, shall assume the obligations set forth in this </w:t>
      </w:r>
      <w:r>
        <w:rPr>
          <w:rFonts w:ascii="Times New Roman" w:cs="Times New Roman" w:eastAsia="Times New Roman" w:hAnsi="Times New Roman"/>
          <w:sz w:val="16"/>
          <w:szCs w:val="16"/>
          <w:u w:val="single" w:color="auto"/>
          <w:color w:val="auto"/>
        </w:rPr>
        <w:t>Section 7.05</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right="140"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7.06 </w:t>
      </w:r>
      <w:r>
        <w:rPr>
          <w:rFonts w:ascii="Times New Roman" w:cs="Times New Roman" w:eastAsia="Times New Roman" w:hAnsi="Times New Roman"/>
          <w:sz w:val="16"/>
          <w:szCs w:val="16"/>
          <w:u w:val="single" w:color="auto"/>
          <w:color w:val="auto"/>
        </w:rPr>
        <w:t>Notification of Certain Matters</w:t>
      </w:r>
      <w:r>
        <w:rPr>
          <w:rFonts w:ascii="Times New Roman" w:cs="Times New Roman" w:eastAsia="Times New Roman" w:hAnsi="Times New Roman"/>
          <w:sz w:val="16"/>
          <w:szCs w:val="16"/>
          <w:color w:val="auto"/>
        </w:rPr>
        <w:t>. (a) The Company shall give prompt notice to Parent, and Parent shall give prompt notice to the Company, of (i) the occurrence, or non-occurrence, of any change, event, fact or development which would reasonably be expected to cause any of their respective representations or warranties contained in this Agreement to become untrue or inaccurate such that the conditions set forth in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9720"/>
          </w:cols>
          <w:pgMar w:left="1080" w:top="254" w:right="1099" w:bottom="1440" w:gutter="0" w:footer="0" w:header="0"/>
        </w:sectPr>
      </w:pPr>
    </w:p>
    <w:bookmarkStart w:id="93" w:name="page94"/>
    <w:bookmarkEnd w:id="93"/>
    <w:p>
      <w:pPr>
        <w:ind w:right="200"/>
        <w:spacing w:after="0" w:line="258"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Section 8.02(a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8.03(a</w:t>
      </w:r>
      <w:r>
        <w:rPr>
          <w:rFonts w:ascii="Times New Roman" w:cs="Times New Roman" w:eastAsia="Times New Roman" w:hAnsi="Times New Roman"/>
          <w:sz w:val="16"/>
          <w:szCs w:val="16"/>
          <w:color w:val="auto"/>
        </w:rPr>
        <w:t xml:space="preserve">) would not be satisfied and (ii) any failure of the Company, Parent, First Merger Sub or Second Merger Sub, as the case may be, to comply with or satisfy any covenant, condition or agreement to be complied with or satisfied by it under this Agreement such that the conditions set forth in </w:t>
      </w:r>
      <w:r>
        <w:rPr>
          <w:rFonts w:ascii="Times New Roman" w:cs="Times New Roman" w:eastAsia="Times New Roman" w:hAnsi="Times New Roman"/>
          <w:sz w:val="16"/>
          <w:szCs w:val="16"/>
          <w:u w:val="single" w:color="auto"/>
          <w:color w:val="auto"/>
        </w:rPr>
        <w:t>Section 8.02(b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8.03(b</w:t>
      </w:r>
      <w:r>
        <w:rPr>
          <w:rFonts w:ascii="Times New Roman" w:cs="Times New Roman" w:eastAsia="Times New Roman" w:hAnsi="Times New Roman"/>
          <w:sz w:val="16"/>
          <w:szCs w:val="16"/>
          <w:color w:val="auto"/>
        </w:rPr>
        <w:t xml:space="preserve">) would not be satisfied;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delivery of any notice pursuant to this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shall not limit or otherwise affect the remedies available hereunder to the party receiving such notice.</w:t>
      </w:r>
    </w:p>
    <w:p>
      <w:pPr>
        <w:spacing w:after="0" w:line="161" w:lineRule="exact"/>
        <w:rPr>
          <w:sz w:val="20"/>
          <w:szCs w:val="20"/>
          <w:color w:val="auto"/>
        </w:rPr>
      </w:pPr>
    </w:p>
    <w:p>
      <w:pPr>
        <w:ind w:right="60" w:firstLine="883"/>
        <w:spacing w:after="0" w:line="263" w:lineRule="auto"/>
        <w:tabs>
          <w:tab w:leader="none" w:pos="109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give prompt notice to Parent, and Parent shall give prompt notice to the Company, of any notice or other communication from any Governmental Authority in connection with the Transactions or from any Person alleging that the consent of such Person is or may be required in connection with the Transactions.</w:t>
      </w:r>
    </w:p>
    <w:p>
      <w:pPr>
        <w:spacing w:after="0" w:line="157" w:lineRule="exact"/>
        <w:rPr>
          <w:sz w:val="20"/>
          <w:szCs w:val="20"/>
          <w:color w:val="auto"/>
        </w:rPr>
      </w:pPr>
    </w:p>
    <w:p>
      <w:pPr>
        <w:ind w:firstLine="874"/>
        <w:spacing w:after="0" w:line="266" w:lineRule="auto"/>
        <w:rPr>
          <w:sz w:val="20"/>
          <w:szCs w:val="20"/>
          <w:color w:val="auto"/>
        </w:rPr>
      </w:pPr>
      <w:r>
        <w:rPr>
          <w:rFonts w:ascii="Times New Roman" w:cs="Times New Roman" w:eastAsia="Times New Roman" w:hAnsi="Times New Roman"/>
          <w:sz w:val="15"/>
          <w:szCs w:val="15"/>
          <w:color w:val="auto"/>
        </w:rPr>
        <w:t xml:space="preserve">Section 7.07 </w:t>
      </w:r>
      <w:r>
        <w:rPr>
          <w:rFonts w:ascii="Times New Roman" w:cs="Times New Roman" w:eastAsia="Times New Roman" w:hAnsi="Times New Roman"/>
          <w:sz w:val="15"/>
          <w:szCs w:val="15"/>
          <w:u w:val="single" w:color="auto"/>
          <w:color w:val="auto"/>
        </w:rPr>
        <w:t>Reasonable Best Efforts; Further Action</w:t>
      </w:r>
      <w:r>
        <w:rPr>
          <w:rFonts w:ascii="Times New Roman" w:cs="Times New Roman" w:eastAsia="Times New Roman" w:hAnsi="Times New Roman"/>
          <w:sz w:val="15"/>
          <w:szCs w:val="15"/>
          <w:color w:val="auto"/>
        </w:rPr>
        <w:t xml:space="preserve">. (a) Upon the terms and subject to the conditions set forth in this Agreement, each of the parties hereto agrees to use its reasonable best efforts to take, or cause to be taken, all actions that are necessary, proper or advisable to consummate and make effective the Transactions, including using its reasonable best efforts to accomplish the following: (i) the satisfaction of the conditions precedent set forth in Article VIII, (ii) the obtaining of all necessary consents, approvals or waivers from third parties, including pursuant to the contracts set forth on </w:t>
      </w:r>
      <w:r>
        <w:rPr>
          <w:rFonts w:ascii="Times New Roman" w:cs="Times New Roman" w:eastAsia="Times New Roman" w:hAnsi="Times New Roman"/>
          <w:sz w:val="15"/>
          <w:szCs w:val="15"/>
          <w:u w:val="single" w:color="auto"/>
          <w:color w:val="auto"/>
        </w:rPr>
        <w:t>Section 4.04 of the Company Disclosure Letter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notwithstanding the foregoing, in no event shall the Company or any of its Subsidiaries be obligated to bear any expense or pay any fee (other than the payment of nominal administrative, processing or similar fees or charges) or grant any concession in connection with obtaining the consents, approvals or waivers referred to in this clause (ii), (iii) the obtaining of all necessary actions or nonactions and consents from, and the giving of any necessary notices to, Governmental Authorities and third parties and the making of all necessary registrations, declarations and filings under the HSR Act, which shall be made as soon as reasonably practicable following the date hereof and in any event no later than fifteen (15) Business Days following the date hereof, or are required or advisable under other applicable antitrust, competition or pre-merger notification Laws of any jurisdiction (collectively, “</w:t>
      </w:r>
      <w:r>
        <w:rPr>
          <w:rFonts w:ascii="Times New Roman" w:cs="Times New Roman" w:eastAsia="Times New Roman" w:hAnsi="Times New Roman"/>
          <w:sz w:val="15"/>
          <w:szCs w:val="15"/>
          <w:u w:val="single" w:color="auto"/>
          <w:color w:val="auto"/>
        </w:rPr>
        <w:t>Antitrust Laws</w:t>
      </w:r>
      <w:r>
        <w:rPr>
          <w:rFonts w:ascii="Times New Roman" w:cs="Times New Roman" w:eastAsia="Times New Roman" w:hAnsi="Times New Roman"/>
          <w:sz w:val="15"/>
          <w:szCs w:val="15"/>
          <w:color w:val="auto"/>
        </w:rPr>
        <w:t>”), if any, (iv) the taking of all reasonable steps to provide any supplemental information requested by any Governmental Authority, including participating in meetings with officials of such entity in the course of its review of this Agreement or the Transactions, including the Merger, (v) the taking of all reasonable steps as may be necessary to avoid any Action by any Governmental Authority or third party that would otherwise have the effect of materially delaying or preventing the consummation of the Merger and (vi) the defending or contesting of any Actions challenging this Agreement or the consummation of the Merger, including seeking to have any stay or temporary restraining order entered by any court or other Governmental Authority vacated or reversed. In connection with and without limiting the generality of the foregoing, reasonable best efforts shall include (and with respect to remedies, shall be limited to) Parent and its Subsidiaries offering and agreeing to undertake Permitted Restrictions as reasonably necessary to obtain pre-merger clearance in as timely a manner as reasonably possible from Governmental Authorities under Antitrust Laws in the United States and, if applicable, the UK and Germany (specifically, for</w:t>
      </w:r>
    </w:p>
    <w:p>
      <w:pPr>
        <w:spacing w:after="0" w:line="2" w:lineRule="exact"/>
        <w:rPr>
          <w:sz w:val="20"/>
          <w:szCs w:val="20"/>
          <w:color w:val="auto"/>
        </w:rPr>
      </w:pPr>
    </w:p>
    <w:p>
      <w:pPr>
        <w:ind w:right="480" w:firstLine="9"/>
        <w:spacing w:after="0" w:line="252" w:lineRule="auto"/>
        <w:tabs>
          <w:tab w:leader="none" w:pos="225"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waiting period applicable to the Mergers under the HSR Act to have been terminated or expired and the avoidance of an Action in the US seeking to prohibit consummation of the Merger, and (2) any antitrust clearance required to be obtained in the UK and Germany (if applicable)). Notwithstanding the foregoing or any other provision of this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9700"/>
          </w:cols>
          <w:pgMar w:left="1080" w:top="254" w:right="1119" w:bottom="1440" w:gutter="0" w:footer="0" w:header="0"/>
        </w:sectPr>
      </w:pPr>
    </w:p>
    <w:bookmarkStart w:id="94" w:name="page95"/>
    <w:bookmarkEnd w:id="94"/>
    <w:p>
      <w:pPr>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Agreement to the contrary, in no event shall Parent or its Subsidiaries (including First Merger Sub and Second Merger Sub and, after the Effective Time, the Surviving Corporation and its Subsidiaries and, after the Second Effective Time, the Surviving Entity and its Subsidiaries) be required to agree to or accept (A) any commitment, undertaking or Order to divest, hold separate or otherwise dispose of any portion of its or their respective businesses or assets, including after giving effect to the Transactions, or (B) any limitation on the ability of Parent or its Subsidiaries to acquire or hold or exercise full rights of ownership of any capital stock of the Company or its Subsidiaries, including after giving effect to the Transactions;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however, it being understood that Permitted Restrictions affecting the operations of Parent or its Subsidiaries (including, for this purpose, the Company and its Subsidiaries) shall be deemed not to be a limitation on the ability to exercise full rights of ownership. In no event shall the Company or any of its Subsidiaries be permitted to commit or agree to any remedy (including any matter described in clauses (A) and (B) and any Permitted Restriction) without Parent’s prior written consent. Nothing in this </w:t>
      </w:r>
      <w:r>
        <w:rPr>
          <w:rFonts w:ascii="Times New Roman" w:cs="Times New Roman" w:eastAsia="Times New Roman" w:hAnsi="Times New Roman"/>
          <w:sz w:val="15"/>
          <w:szCs w:val="15"/>
          <w:u w:val="single" w:color="auto"/>
          <w:color w:val="auto"/>
        </w:rPr>
        <w:t>Section 7.07(a</w:t>
      </w:r>
      <w:r>
        <w:rPr>
          <w:rFonts w:ascii="Times New Roman" w:cs="Times New Roman" w:eastAsia="Times New Roman" w:hAnsi="Times New Roman"/>
          <w:sz w:val="15"/>
          <w:szCs w:val="15"/>
          <w:color w:val="auto"/>
        </w:rPr>
        <w:t xml:space="preserve">) shall require any party to take or agree to take any action with respect to its business or operations pursuant to this </w:t>
      </w:r>
      <w:r>
        <w:rPr>
          <w:rFonts w:ascii="Times New Roman" w:cs="Times New Roman" w:eastAsia="Times New Roman" w:hAnsi="Times New Roman"/>
          <w:sz w:val="15"/>
          <w:szCs w:val="15"/>
          <w:u w:val="single" w:color="auto"/>
          <w:color w:val="auto"/>
        </w:rPr>
        <w:t>Section 7.07(a</w:t>
      </w:r>
      <w:r>
        <w:rPr>
          <w:rFonts w:ascii="Times New Roman" w:cs="Times New Roman" w:eastAsia="Times New Roman" w:hAnsi="Times New Roman"/>
          <w:sz w:val="15"/>
          <w:szCs w:val="15"/>
          <w:color w:val="auto"/>
        </w:rPr>
        <w:t>) unless the effectiveness of such agreement or action is conditioned upon the Closing.</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purposes of this Agreement, “</w:t>
      </w:r>
      <w:r>
        <w:rPr>
          <w:rFonts w:ascii="Times New Roman" w:cs="Times New Roman" w:eastAsia="Times New Roman" w:hAnsi="Times New Roman"/>
          <w:sz w:val="16"/>
          <w:szCs w:val="16"/>
          <w:u w:val="single" w:color="auto"/>
          <w:color w:val="auto"/>
        </w:rPr>
        <w:t>Permitted Restrictions</w:t>
      </w:r>
      <w:r>
        <w:rPr>
          <w:rFonts w:ascii="Times New Roman" w:cs="Times New Roman" w:eastAsia="Times New Roman" w:hAnsi="Times New Roman"/>
          <w:sz w:val="16"/>
          <w:szCs w:val="16"/>
          <w:color w:val="auto"/>
        </w:rPr>
        <w:t xml:space="preserve">” shall mean the actions described in </w:t>
      </w:r>
      <w:r>
        <w:rPr>
          <w:rFonts w:ascii="Times New Roman" w:cs="Times New Roman" w:eastAsia="Times New Roman" w:hAnsi="Times New Roman"/>
          <w:sz w:val="16"/>
          <w:szCs w:val="16"/>
          <w:u w:val="single" w:color="auto"/>
          <w:color w:val="auto"/>
        </w:rPr>
        <w:t>Section 7.07 of the Company Disclosure Letter</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140" w:firstLine="883"/>
        <w:spacing w:after="0" w:line="267" w:lineRule="auto"/>
        <w:tabs>
          <w:tab w:leader="none" w:pos="1098"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Parent and the Company shall (i) reasonably cooperate with each other in connection with any filing or submission with any Governmental Authorities in connection with the Transactions and any consents from any Governmental Authority in connection therewith and any investigation or other inquiry related thereto and in connection with resolving any such investigation or inquiry with respect to any such filing or the Mergers, (ii) not extend any waiting or suspension period under any applicable Antitrust Laws or enter into any agreement with any Governmental Authority not to consummate the Mergers, except with the prior written consent of the other party (such consent not to be unreasonably withheld, conditioned or delayed), (iii) respond as promptly as practicable to any applicable inquiries or requests received from any Governmental Authority for additional information or documentation, (iv) promptly make any applicable further filings or information submissions pursuant thereto that may be necessary or advisable and (v) promptly make any requisite filings or submissions required or advisable under any applicable Antitrust Laws. Each of Parent and the Company shall (A) promptly notify the other party of any written or oral communication to that party or its Subsidiaries or Representatives from any Governmental Authority regarding the parties’ collaborative efforts to obtain consents to the Mergers under Antitrust Laws,</w:t>
      </w:r>
    </w:p>
    <w:p>
      <w:pPr>
        <w:spacing w:after="0" w:line="2" w:lineRule="exact"/>
        <w:rPr>
          <w:rFonts w:ascii="Times New Roman" w:cs="Times New Roman" w:eastAsia="Times New Roman" w:hAnsi="Times New Roman"/>
          <w:sz w:val="15"/>
          <w:szCs w:val="15"/>
          <w:color w:val="auto"/>
        </w:rPr>
      </w:pPr>
    </w:p>
    <w:p>
      <w:pPr>
        <w:ind w:right="60" w:firstLine="9"/>
        <w:spacing w:after="0" w:line="249" w:lineRule="auto"/>
        <w:tabs>
          <w:tab w:leader="none" w:pos="251"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and to the extent reasonably practicable, permit the other party to review and comment on any substantive written communication regarding such efforts prior to providing such communication to any Governmental Authority and (C) to the extent reasonably practicable, not agree to participate, or permit its Subsidiaries or Representatives to participate, in any substantive meeting or discussion with any Governmental Authority in respect of any filings, investigation or inquiry concerning consents to the Mergers under Antitrust Laws unless it consults with the other party in advance and, to the extent permitted by such Governmental Authority and reasonably practicable, gives the other party the opportunity to attend and participate. For the avoidance of doubt, subject to the proviso in the following sentence, Parent and the Company shall jointly control all communications with any Governmental Authority</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9680"/>
          </w:cols>
          <w:pgMar w:left="1080" w:top="254" w:right="1139" w:bottom="1440" w:gutter="0" w:footer="0" w:header="0"/>
        </w:sectPr>
      </w:pPr>
    </w:p>
    <w:bookmarkStart w:id="95" w:name="page96"/>
    <w:bookmarkEnd w:id="95"/>
    <w:p>
      <w:pPr>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relating to Antitrust Laws, and determine and direct the strategy and process by which the parties will seek required approvals relating to Antitrust Laws. If the parties hereto initially disagree upon any such proposed communication, strategy or process, the parties agree to work together in good faith to resolve the disagreement and endeavor to implement such communication, strategy or process in a mutually acceptable manner; provided that to the extent that a disagreement is unresolved after good faith discussions between Parent and the Company, the implementation of such communication, strategy or process will be controlled by Parent after good faith consideration of the views of Company. Without limiting the foregoing, neither party shall make any filings, submissions or substantive written communications to any Governmental Authority to obtain consents to the Mergers under Antitrust Laws without first providing a written copy of such filing, submission or communication to the other party (or as appropriate to such party’s outside counsel) and allowing the other party a reasonable opportunity to provide comments on such filing, submission or communication prior to submission. Parent and the Company covenant and agree to incorporate all reasonable comments of the other party (or as appropriate such party’s outside counsel) with respect to such filings, submissions and communications prior to delivery of the same to any Governmental Authority.</w:t>
      </w:r>
    </w:p>
    <w:p>
      <w:pPr>
        <w:spacing w:after="0" w:line="154" w:lineRule="exact"/>
        <w:rPr>
          <w:sz w:val="20"/>
          <w:szCs w:val="20"/>
          <w:color w:val="auto"/>
        </w:rPr>
      </w:pPr>
    </w:p>
    <w:p>
      <w:pPr>
        <w:jc w:val="both"/>
        <w:ind w:right="60"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7.08 </w:t>
      </w:r>
      <w:r>
        <w:rPr>
          <w:rFonts w:ascii="Times New Roman" w:cs="Times New Roman" w:eastAsia="Times New Roman" w:hAnsi="Times New Roman"/>
          <w:sz w:val="16"/>
          <w:szCs w:val="16"/>
          <w:u w:val="single" w:color="auto"/>
          <w:color w:val="auto"/>
        </w:rPr>
        <w:t>Obligations of First Merger Sub and Second Merger Sub</w:t>
      </w:r>
      <w:r>
        <w:rPr>
          <w:rFonts w:ascii="Times New Roman" w:cs="Times New Roman" w:eastAsia="Times New Roman" w:hAnsi="Times New Roman"/>
          <w:sz w:val="16"/>
          <w:szCs w:val="16"/>
          <w:color w:val="auto"/>
        </w:rPr>
        <w:t>. Parent shall take all action necessary to cause each of First Merger Sub and Second Merger Sub to perform its obligations under this Agreement and to consummate the Mergers on the terms and subject to the conditions set forth in this Agreement.</w:t>
      </w:r>
    </w:p>
    <w:p>
      <w:pPr>
        <w:spacing w:after="0" w:line="157" w:lineRule="exact"/>
        <w:rPr>
          <w:sz w:val="20"/>
          <w:szCs w:val="20"/>
          <w:color w:val="auto"/>
        </w:rPr>
      </w:pPr>
    </w:p>
    <w:p>
      <w:pPr>
        <w:ind w:right="80" w:firstLine="874"/>
        <w:spacing w:after="0" w:line="289" w:lineRule="auto"/>
        <w:rPr>
          <w:sz w:val="20"/>
          <w:szCs w:val="20"/>
          <w:color w:val="auto"/>
        </w:rPr>
      </w:pPr>
      <w:r>
        <w:rPr>
          <w:rFonts w:ascii="Times New Roman" w:cs="Times New Roman" w:eastAsia="Times New Roman" w:hAnsi="Times New Roman"/>
          <w:sz w:val="15"/>
          <w:szCs w:val="15"/>
          <w:color w:val="auto"/>
        </w:rPr>
        <w:t xml:space="preserve">Section 7.09 </w:t>
      </w:r>
      <w:r>
        <w:rPr>
          <w:rFonts w:ascii="Times New Roman" w:cs="Times New Roman" w:eastAsia="Times New Roman" w:hAnsi="Times New Roman"/>
          <w:sz w:val="15"/>
          <w:szCs w:val="15"/>
          <w:u w:val="single" w:color="auto"/>
          <w:color w:val="auto"/>
        </w:rPr>
        <w:t>Consents of Accountants</w:t>
      </w:r>
      <w:r>
        <w:rPr>
          <w:rFonts w:ascii="Times New Roman" w:cs="Times New Roman" w:eastAsia="Times New Roman" w:hAnsi="Times New Roman"/>
          <w:sz w:val="15"/>
          <w:szCs w:val="15"/>
          <w:color w:val="auto"/>
        </w:rPr>
        <w:t>. Parent and the Company will each use their respective reasonable best efforts to cause to be delivered to each other consents from their respective independent auditors, in form reasonably satisfactory to the recipient and customary in scope and substance for consents delivered by independent public accountants in connection with registration statements on Form S-4 under the Securities Act.</w:t>
      </w:r>
    </w:p>
    <w:p>
      <w:pPr>
        <w:spacing w:after="0" w:line="138" w:lineRule="exact"/>
        <w:rPr>
          <w:sz w:val="20"/>
          <w:szCs w:val="20"/>
          <w:color w:val="auto"/>
        </w:rPr>
      </w:pPr>
    </w:p>
    <w:p>
      <w:pPr>
        <w:jc w:val="both"/>
        <w:ind w:right="180"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Parent shall cause the shares of Parent Common Stock to be issued in the Mergers to be approved for listing on the NASDAQ, subject to official notice of issuance, and the Company shall cooperate with Parent to the extent reasonably necessary with respect to such listing.</w:t>
      </w:r>
    </w:p>
    <w:p>
      <w:pPr>
        <w:spacing w:after="0" w:line="157" w:lineRule="exact"/>
        <w:rPr>
          <w:sz w:val="20"/>
          <w:szCs w:val="20"/>
          <w:color w:val="auto"/>
        </w:rPr>
      </w:pPr>
    </w:p>
    <w:p>
      <w:pPr>
        <w:ind w:right="60" w:firstLine="874"/>
        <w:spacing w:after="0" w:line="252"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u w:val="single" w:color="auto"/>
          <w:color w:val="auto"/>
        </w:rPr>
        <w:t>Public Announcements</w:t>
      </w:r>
      <w:r>
        <w:rPr>
          <w:rFonts w:ascii="Times New Roman" w:cs="Times New Roman" w:eastAsia="Times New Roman" w:hAnsi="Times New Roman"/>
          <w:sz w:val="16"/>
          <w:szCs w:val="16"/>
          <w:color w:val="auto"/>
        </w:rPr>
        <w:t xml:space="preserve">. The initial press release relating to the Transactions shall be a joint press release, the text of which has been agreed to by each of Parent and the Company. Thereafter, unless otherwise required by applicable Law or the requirements of applicable stock exchanges, each of Parent and the Company shall each use its reasonable best efforts to consult with the other before issuing, and give each other the opportunity to review and comment upon, any press release or notice to stockholders, or otherwise making any public statements with respect to this Agreement, the Mergers or any of the other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each of Parent and the Company may make public statements that do not contain any information relating to the Transactions that has not been previously announced or made public in accordance with this Agreement and do not reveal material, nonpublic information regarding the other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the Company may make public statements regarding a Change in the Company Recommendation pursuant to </w:t>
      </w:r>
      <w:r>
        <w:rPr>
          <w:rFonts w:ascii="Times New Roman" w:cs="Times New Roman" w:eastAsia="Times New Roman" w:hAnsi="Times New Roman"/>
          <w:sz w:val="16"/>
          <w:szCs w:val="16"/>
          <w:u w:val="single" w:color="auto"/>
          <w:color w:val="auto"/>
        </w:rPr>
        <w:t>Section 7.02(d</w:t>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9700"/>
          </w:cols>
          <w:pgMar w:left="1080" w:top="254" w:right="1119" w:bottom="1440" w:gutter="0" w:footer="0" w:header="0"/>
        </w:sectPr>
      </w:pPr>
    </w:p>
    <w:bookmarkStart w:id="96" w:name="page97"/>
    <w:bookmarkEnd w:id="96"/>
    <w:p>
      <w:pPr>
        <w:ind w:right="20" w:firstLine="874"/>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7.12 </w:t>
      </w:r>
      <w:r>
        <w:rPr>
          <w:rFonts w:ascii="Times New Roman" w:cs="Times New Roman" w:eastAsia="Times New Roman" w:hAnsi="Times New Roman"/>
          <w:sz w:val="16"/>
          <w:szCs w:val="16"/>
          <w:u w:val="single" w:color="auto"/>
          <w:color w:val="auto"/>
        </w:rPr>
        <w:t>Certain Tax Matters</w:t>
      </w:r>
      <w:r>
        <w:rPr>
          <w:rFonts w:ascii="Times New Roman" w:cs="Times New Roman" w:eastAsia="Times New Roman" w:hAnsi="Times New Roman"/>
          <w:sz w:val="16"/>
          <w:szCs w:val="16"/>
          <w:color w:val="auto"/>
        </w:rPr>
        <w:t>. (a) During the period from the date of this Agreement to the Closing Date, the Company and its Subsidiaries shall: (i) prepare and timely file all Tax Returns that are due on or before the Closing Date in accordance with, to the extent applicable and, except as required by Law, past practice, (ii) pay all Taxes due and payable in respect of such Tax Returns, except in the case of clauses (i) and (ii), where failure to file or pay would not, individually or in the aggregate, reasonably be expected to have a Company Material Adverse Effect, (iii) accrue a reserve in the applicable books and financial statements in accordance with past practices for all Taxes payable for which no Tax Return is due prior to the Closing Date for which failure to pay would, individually or in the aggregate, reasonably be expected to have a Company Material Adverse Effect and (iv) promptly notify Parent of any suit, claim, action, investigation, proceeding or audit (in each case with respect to a material amount of Taxes) that becomes pending against or with respect to the Company or any of its Subsidiaries that would, individually or in the aggregate, reasonably be expected to have a Company Material Adverse Effect.</w:t>
      </w:r>
    </w:p>
    <w:p>
      <w:pPr>
        <w:spacing w:after="0" w:line="165" w:lineRule="exact"/>
        <w:rPr>
          <w:sz w:val="20"/>
          <w:szCs w:val="20"/>
          <w:color w:val="auto"/>
        </w:rPr>
      </w:pPr>
    </w:p>
    <w:p>
      <w:pPr>
        <w:ind w:firstLine="883"/>
        <w:spacing w:after="0" w:line="277" w:lineRule="auto"/>
        <w:tabs>
          <w:tab w:leader="none" w:pos="1098"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deliver to Parent on or prior to the Closing Date a properly executed statement signed by the Company to the effect that the shares of Company Stock are not “United States real property interests” within the meaning of Section 897 of the Code; provided, however, that notwithstanding the foregoing, the sole remedy under this Agreement in respect of any Person for the failure of the Company to deliver such certification specified in this </w:t>
      </w:r>
      <w:r>
        <w:rPr>
          <w:rFonts w:ascii="Times New Roman" w:cs="Times New Roman" w:eastAsia="Times New Roman" w:hAnsi="Times New Roman"/>
          <w:sz w:val="15"/>
          <w:szCs w:val="15"/>
          <w:u w:val="single" w:color="auto"/>
          <w:color w:val="auto"/>
        </w:rPr>
        <w:t>Section 7.12(b</w:t>
      </w:r>
      <w:r>
        <w:rPr>
          <w:rFonts w:ascii="Times New Roman" w:cs="Times New Roman" w:eastAsia="Times New Roman" w:hAnsi="Times New Roman"/>
          <w:sz w:val="15"/>
          <w:szCs w:val="15"/>
          <w:color w:val="auto"/>
        </w:rPr>
        <w:t xml:space="preserve">) to Parent shall be to withhold in accordance with </w:t>
      </w:r>
      <w:r>
        <w:rPr>
          <w:rFonts w:ascii="Times New Roman" w:cs="Times New Roman" w:eastAsia="Times New Roman" w:hAnsi="Times New Roman"/>
          <w:sz w:val="15"/>
          <w:szCs w:val="15"/>
          <w:u w:val="single" w:color="auto"/>
          <w:color w:val="auto"/>
        </w:rPr>
        <w:t>Section 3.02(i</w:t>
      </w:r>
      <w:r>
        <w:rPr>
          <w:rFonts w:ascii="Times New Roman" w:cs="Times New Roman" w:eastAsia="Times New Roman" w:hAnsi="Times New Roman"/>
          <w:sz w:val="15"/>
          <w:szCs w:val="15"/>
          <w:color w:val="auto"/>
        </w:rPr>
        <w:t>) any Taxes that are required to be withheld by such Person pursuant to Section 1445 of the Code by reason of such failure from any payment otherwise payable pursuant to this Agreement.</w:t>
      </w:r>
    </w:p>
    <w:p>
      <w:pPr>
        <w:spacing w:after="0" w:line="147" w:lineRule="exact"/>
        <w:rPr>
          <w:sz w:val="20"/>
          <w:szCs w:val="20"/>
          <w:color w:val="auto"/>
        </w:rPr>
      </w:pPr>
    </w:p>
    <w:p>
      <w:pPr>
        <w:jc w:val="both"/>
        <w:ind w:right="40"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7.13 </w:t>
      </w:r>
      <w:r>
        <w:rPr>
          <w:rFonts w:ascii="Times New Roman" w:cs="Times New Roman" w:eastAsia="Times New Roman" w:hAnsi="Times New Roman"/>
          <w:sz w:val="16"/>
          <w:szCs w:val="16"/>
          <w:u w:val="single" w:color="auto"/>
          <w:color w:val="auto"/>
        </w:rPr>
        <w:t>Drag-Along; Stockholder Agreements and Communications</w:t>
      </w:r>
      <w:r>
        <w:rPr>
          <w:rFonts w:ascii="Times New Roman" w:cs="Times New Roman" w:eastAsia="Times New Roman" w:hAnsi="Times New Roman"/>
          <w:sz w:val="16"/>
          <w:szCs w:val="16"/>
          <w:color w:val="auto"/>
        </w:rPr>
        <w:t xml:space="preserve">. (a) Following the execution of the Drag-Along Consent by the Selling Investors, the Company shall promptly send a notice to the its stockholders (in the form attached hereto as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regarding the approval of this Agreement and the Transactions for purposes of the Drag-Along and the exercise of the Drag-Along and informing the Voting Agreement Parties of their obligations pursuant to Section 2 of the Voting Agreement with respect to the Drag-Along.</w:t>
      </w:r>
    </w:p>
    <w:p>
      <w:pPr>
        <w:spacing w:after="0" w:line="161" w:lineRule="exact"/>
        <w:rPr>
          <w:sz w:val="20"/>
          <w:szCs w:val="20"/>
          <w:color w:val="auto"/>
        </w:rPr>
      </w:pPr>
    </w:p>
    <w:p>
      <w:pPr>
        <w:ind w:right="80" w:firstLine="883"/>
        <w:spacing w:after="0" w:line="253" w:lineRule="auto"/>
        <w:tabs>
          <w:tab w:leader="none" w:pos="1098"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following the S-4 Effectiveness Time and prior to the Effective Time, and in consideration of, among other things, the entry into this Agreement by the Company, Parent, First Merger Sub and Second Merger Sub and the anticipated consummation of the Transactions, the Company shall, pursuant to Section 2.2(c) of the Voting Agreement, use commercially reasonable efforts to cause each Voting Agreement Party to duly execute and deliver to the Company and Parent a support agreement in the form attached hereto as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(with such changes and modifications as may be mutually agreed by Parent and the Company,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the foregoing, in no event shall the Company or any of its Subsidiaries be obligated to bear any expense or pay any fee (other than the payment of nominal administrative, processing or similar fees or charges) or grant any concession in connection with the foregoing.</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9700"/>
          </w:cols>
          <w:pgMar w:left="1080" w:top="254" w:right="1119" w:bottom="1440" w:gutter="0" w:footer="0" w:header="0"/>
        </w:sectPr>
      </w:pPr>
    </w:p>
    <w:bookmarkStart w:id="97" w:name="page98"/>
    <w:bookmarkEnd w:id="97"/>
    <w:p>
      <w:pPr>
        <w:ind w:right="20" w:firstLine="883"/>
        <w:spacing w:after="0" w:line="258" w:lineRule="auto"/>
        <w:tabs>
          <w:tab w:leader="none" w:pos="109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Unless otherwise required by Law or a Governmental Authority, the Company (i) shall recognize the proxy granted to Parent in respect of all shares of Company Stock held by the Voting Agreement Parties pursuant to the Drag-Along Consent and the proxy granted to Parent pursuant to the Selling Investor Support Agreement and each Support Agreement and (ii) shall not register transfers of Company Stock that do not comply with the terms of the Selling Investor Support Agreement and the Support Agreements (as applicable).</w:t>
      </w:r>
    </w:p>
    <w:p>
      <w:pPr>
        <w:spacing w:after="0" w:line="160" w:lineRule="exact"/>
        <w:rPr>
          <w:rFonts w:ascii="Times New Roman" w:cs="Times New Roman" w:eastAsia="Times New Roman" w:hAnsi="Times New Roman"/>
          <w:sz w:val="16"/>
          <w:szCs w:val="16"/>
          <w:color w:val="auto"/>
        </w:rPr>
      </w:pPr>
    </w:p>
    <w:p>
      <w:pPr>
        <w:ind w:right="60" w:firstLine="883"/>
        <w:spacing w:after="0" w:line="278" w:lineRule="auto"/>
        <w:tabs>
          <w:tab w:leader="none" w:pos="109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in this Agreement to the contrary, in no event shall any Change in the Company Recommendation affect the validity and enforceability of the obligations of the Company pursuant to this </w:t>
      </w:r>
      <w:r>
        <w:rPr>
          <w:rFonts w:ascii="Times New Roman" w:cs="Times New Roman" w:eastAsia="Times New Roman" w:hAnsi="Times New Roman"/>
          <w:sz w:val="16"/>
          <w:szCs w:val="16"/>
          <w:u w:val="single" w:color="auto"/>
          <w:color w:val="auto"/>
        </w:rPr>
        <w:t>Section 7.13</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80"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u w:val="single" w:color="auto"/>
          <w:color w:val="auto"/>
        </w:rPr>
        <w:t>Anti-Takeover Statutes</w:t>
      </w:r>
      <w:r>
        <w:rPr>
          <w:rFonts w:ascii="Times New Roman" w:cs="Times New Roman" w:eastAsia="Times New Roman" w:hAnsi="Times New Roman"/>
          <w:sz w:val="16"/>
          <w:szCs w:val="16"/>
          <w:color w:val="auto"/>
        </w:rPr>
        <w:t>. The Company and the Company Board shall: (a) grant such approvals and take all actions necessary so that no “business combination”, “control share acquisition”, “fair price”, “moratorium” or other anti-takeover or similar Laws become applicable to this Agreement, the CVR Agreement, the Support Agreements and the Selling Investor Support Agreement or the Transactions, including the Mergers, and (b) if any such anti-takeover or similar Law becomes applicable to the Transactions, grant such approvals and take all actions necessary so that the Transactions may be consummated as promptly as practicable and otherwise to take all such other actions as are reasonably necessary to eliminate or minimize to the greatest extent possible the effects of any such Law on the Transactions.</w:t>
      </w:r>
    </w:p>
    <w:p>
      <w:pPr>
        <w:spacing w:after="0" w:line="165" w:lineRule="exact"/>
        <w:rPr>
          <w:sz w:val="20"/>
          <w:szCs w:val="20"/>
          <w:color w:val="auto"/>
        </w:rPr>
      </w:pPr>
    </w:p>
    <w:p>
      <w:pPr>
        <w:ind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7.15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From and after the date hereof, the Company shall promptly advise Parent orally and in writing of any Actions (including derivative claims) commenced or, to the knowledge of the Company, threatened against the Company and/or its directors or officers relating to this Agreement, the Mergers and/or the other Transactions contemplated hereby and shall keep Parent promptly and reasonably informed regarding any such Action. The Company shall give Parent the opportunity to participate in the defense or settlement of any such Action and shall give due consideration to Parent’s views with respect thereto. The Company shall not agree to any settlement of any such Action without Parent’s prior written consent (such consent not to be unreasonably withheld, conditioned or delayed).</w:t>
      </w:r>
    </w:p>
    <w:p>
      <w:pPr>
        <w:spacing w:after="0" w:line="165" w:lineRule="exact"/>
        <w:rPr>
          <w:sz w:val="20"/>
          <w:szCs w:val="20"/>
          <w:color w:val="auto"/>
        </w:rPr>
      </w:pPr>
    </w:p>
    <w:p>
      <w:pPr>
        <w:ind w:right="60"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7.16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Prior to the Effective Time, the Parent Board (or a duly formed and duly authorized committee thereof) shall take all such actions as may be necessary or appropriate to cause any acquisitions of Parent Common Stock (including derivative securities related to Parent Common Stock) by any individual who shall become subject to the reporting requirements of Section 16(a) of the Exchange Act as a result of the Transactions to be exempt under Rule 16b-3 under the Exchange Act, to the extent permitted by applicable Law.</w:t>
      </w:r>
    </w:p>
    <w:p>
      <w:pPr>
        <w:spacing w:after="0" w:line="161" w:lineRule="exact"/>
        <w:rPr>
          <w:sz w:val="20"/>
          <w:szCs w:val="20"/>
          <w:color w:val="auto"/>
        </w:rPr>
      </w:pPr>
    </w:p>
    <w:p>
      <w:pPr>
        <w:ind w:right="220" w:firstLine="874"/>
        <w:spacing w:after="0" w:line="278" w:lineRule="auto"/>
        <w:rPr>
          <w:sz w:val="20"/>
          <w:szCs w:val="20"/>
          <w:color w:val="auto"/>
        </w:rPr>
      </w:pPr>
      <w:r>
        <w:rPr>
          <w:rFonts w:ascii="Times New Roman" w:cs="Times New Roman" w:eastAsia="Times New Roman" w:hAnsi="Times New Roman"/>
          <w:sz w:val="16"/>
          <w:szCs w:val="16"/>
          <w:color w:val="auto"/>
        </w:rPr>
        <w:t xml:space="preserve">Section 7.17 </w:t>
      </w:r>
      <w:r>
        <w:rPr>
          <w:rFonts w:ascii="Times New Roman" w:cs="Times New Roman" w:eastAsia="Times New Roman" w:hAnsi="Times New Roman"/>
          <w:sz w:val="16"/>
          <w:szCs w:val="16"/>
          <w:u w:val="single" w:color="auto"/>
          <w:color w:val="auto"/>
        </w:rPr>
        <w:t>CVR Agreement</w:t>
      </w:r>
      <w:r>
        <w:rPr>
          <w:rFonts w:ascii="Times New Roman" w:cs="Times New Roman" w:eastAsia="Times New Roman" w:hAnsi="Times New Roman"/>
          <w:sz w:val="16"/>
          <w:szCs w:val="16"/>
          <w:color w:val="auto"/>
        </w:rPr>
        <w:t>. At or prior to the Effective Time, Parent will duly adopt, execute and deliver, and each of Parent and the Company shall use its commercially reasonable efforts to cause the Trustee to execute and deliver, the CVR Agreement.</w:t>
      </w:r>
    </w:p>
    <w:p>
      <w:pPr>
        <w:spacing w:after="0" w:line="145" w:lineRule="exact"/>
        <w:rPr>
          <w:sz w:val="20"/>
          <w:szCs w:val="20"/>
          <w:color w:val="auto"/>
        </w:rPr>
      </w:pPr>
    </w:p>
    <w:p>
      <w:pPr>
        <w:ind w:right="80"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7.18 </w:t>
      </w: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xml:space="preserve">. (a) Each of Parent, First Merger Sub and Second Merger Sub shall use its reasonable best efforts to take, or cause to be taken, all actions and do, or cause to be done, all things necessary or advisable to arrange and obtain the Financing on the terms and conditions described in or contemplated by the Financing Commitments prior to when the conditions to the Mergers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those conditions that by their terms must be satisfied at the Closing) are satisfied, including using reasonable best efforts to (i)</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9700"/>
          </w:cols>
          <w:pgMar w:left="1080" w:top="254" w:right="1119" w:bottom="1440" w:gutter="0" w:footer="0" w:header="0"/>
        </w:sectPr>
      </w:pPr>
    </w:p>
    <w:bookmarkStart w:id="98" w:name="page99"/>
    <w:bookmarkEnd w:id="98"/>
    <w:p>
      <w:pPr>
        <w:ind w:right="32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maintain in effect the Financing Commitments; (ii) satisfy on a timely basis all conditions and covenants applicable to Parent, First Merger Sub and Second Merger Sub in the Financing Commitments and otherwise comply with its obligations in each case thereunder; (iii) enter into definitive agreements with respect to the Financing Commitments on the terms and conditions (including the “market flex” provisions) contemplated thereby;</w:t>
      </w:r>
    </w:p>
    <w:p>
      <w:pPr>
        <w:spacing w:after="0" w:line="2" w:lineRule="exact"/>
        <w:rPr>
          <w:sz w:val="20"/>
          <w:szCs w:val="20"/>
          <w:color w:val="auto"/>
        </w:rPr>
      </w:pPr>
    </w:p>
    <w:p>
      <w:pPr>
        <w:ind w:firstLine="9"/>
        <w:spacing w:after="0" w:line="248" w:lineRule="auto"/>
        <w:tabs>
          <w:tab w:leader="none" w:pos="269"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all conditions in the Financing Commitments have been satisfied, cause the Persons providing Financing under the Financing Commitments to fund the Financing and consummate the Financing contemplated by such Financing Commitments on or prior to the date the Closing is required to occur pursuant to </w:t>
      </w:r>
      <w:r>
        <w:rPr>
          <w:rFonts w:ascii="Times New Roman" w:cs="Times New Roman" w:eastAsia="Times New Roman" w:hAnsi="Times New Roman"/>
          <w:sz w:val="16"/>
          <w:szCs w:val="16"/>
          <w:u w:val="single" w:color="auto"/>
          <w:color w:val="auto"/>
        </w:rPr>
        <w:t>Section 2.02</w:t>
      </w:r>
      <w:r>
        <w:rPr>
          <w:rFonts w:ascii="Times New Roman" w:cs="Times New Roman" w:eastAsia="Times New Roman" w:hAnsi="Times New Roman"/>
          <w:sz w:val="16"/>
          <w:szCs w:val="16"/>
          <w:color w:val="auto"/>
        </w:rPr>
        <w:t>; and (v) enforce its rights under the Financing Commitments, except, in the case of clauses (i) through</w:t>
      </w:r>
    </w:p>
    <w:p>
      <w:pPr>
        <w:ind w:right="20" w:firstLine="9"/>
        <w:spacing w:after="0" w:line="250" w:lineRule="auto"/>
        <w:tabs>
          <w:tab w:leader="none" w:pos="22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to the extent (and solely to the extent) Parent or one or more of its Subsidiaries has issued in one or more offerings any debt or equity securities in lieu of the Financing on or prior to the Closing Date or otherwise will have sufficient cash at the Closing, in each case in an amount such that Parent, First Merger Sub, Second Merger Sub, the Surviving Corporation and the Surviving Entity will be able to satisfy all of the payment obligations of Parent, First Merger Sub, Second Merger Sub, the Surviving Corporation and the Surviving Entity contemplated hereunder in connection with the Closing. Notwithstanding the foregoing, in no event shall Parent be required to pursue litigation against the Financing Sources in respect of this clause (a) or otherwise.</w:t>
      </w:r>
    </w:p>
    <w:p>
      <w:pPr>
        <w:spacing w:after="0" w:line="165" w:lineRule="exact"/>
        <w:rPr>
          <w:rFonts w:ascii="Times New Roman" w:cs="Times New Roman" w:eastAsia="Times New Roman" w:hAnsi="Times New Roman"/>
          <w:sz w:val="16"/>
          <w:szCs w:val="16"/>
          <w:color w:val="auto"/>
        </w:rPr>
      </w:pPr>
    </w:p>
    <w:p>
      <w:pPr>
        <w:ind w:firstLine="883"/>
        <w:spacing w:after="0" w:line="250" w:lineRule="auto"/>
        <w:tabs>
          <w:tab w:leader="none" w:pos="1098"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Parent, First Merger Sub or Second Merger Sub shall agree to any amendment or modification to be made to, or any waiver of any provision or remedy under the Financing Commitments, without the prior written consent of the Company if such amendments, modifications or waivers would, or would reasonably be expected to, (i) reduce the aggregate amount of the Financing; (ii) impose new conditions (or expand any existing conditions) to the receipt of the Financing (in the case of each of (i) and (ii), only if such amendments, modifications or waivers would reasonably be expected to (x) interfere with Parent’s ability to make available to the Exchange Agent at or immediately prior to the Closing funds sufficient for the satisfaction of all of Parent’s, First Merger Sub’s and Second Merger Sub’s obligations under this Agreement, including the payment of the Merger Consideration and the payment of all associated costs and Expenses or (y) prevent, materially delay or materially impair the ability of Parent, First Merger Sub and Second Merger Sub to consummate the Mergers or its other obligations under the Agreement); (iii) prevent or materially delay the consummation of the Transactions; or (iv) adversely impact the ability of Parent, First Merger Sub or Second Merger Sub to enforce its rights against the other parties to the Financing Commitments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for the avoidance of doubt, Parent, First Merger Sub and Second Merger Sub may amend or modify the Financing Commitments to add lenders, lead arrangers, underwriters, initial purchasers, bookrunners, syndication agents or similar entities, if the addition of such additional parties, individually and in the aggregate, would not prevent or materially delay the Financing or the consummation of the Transactions).</w:t>
      </w:r>
    </w:p>
    <w:p>
      <w:pPr>
        <w:spacing w:after="0" w:line="174" w:lineRule="exact"/>
        <w:rPr>
          <w:rFonts w:ascii="Times New Roman" w:cs="Times New Roman" w:eastAsia="Times New Roman" w:hAnsi="Times New Roman"/>
          <w:sz w:val="16"/>
          <w:szCs w:val="16"/>
          <w:color w:val="auto"/>
        </w:rPr>
      </w:pPr>
    </w:p>
    <w:p>
      <w:pPr>
        <w:ind w:right="280" w:firstLine="883"/>
        <w:spacing w:after="0" w:line="278" w:lineRule="auto"/>
        <w:tabs>
          <w:tab w:leader="none" w:pos="109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First Merger Sub and Second Merger Sub shall keep the Company reasonably informed on a timely basis of the status of its efforts to arrange the Financing.</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9700"/>
          </w:cols>
          <w:pgMar w:left="1080" w:top="254" w:right="1119" w:bottom="1440" w:gutter="0" w:footer="0" w:header="0"/>
        </w:sectPr>
      </w:pPr>
    </w:p>
    <w:bookmarkStart w:id="99" w:name="page100"/>
    <w:bookmarkEnd w:id="99"/>
    <w:p>
      <w:pPr>
        <w:ind w:right="60" w:firstLine="883"/>
        <w:spacing w:after="0" w:line="269" w:lineRule="auto"/>
        <w:tabs>
          <w:tab w:leader="none" w:pos="1098"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Parent, First Merger Sub and Second Merger Sub shall give the Company prompt notice of Parent’s receiving any notice of any material breach or material default by any party to any Financing Commitment or definitive document related to the Financing of which Parent, First Merger Sub or Second Merger Sub become aware;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no event will Parent, First Merger Sub and Second Merger Sub be under any obligation to disclose any information that is subject to attorney-client or similar privilege. If any portion of the Financing becomes unavailable on the terms and conditions (including the “market flex” provisions) contemplated in the Financing Commitments and such portion is necessary to consummate the Mergers, Parent shall use its reasonable best efforts to arrange and obtain alternative financing from alternative sources in an amount sufficient to consummate the transactions contemplated by this Agreement upon terms and conditions not materially less favorable to Parent than those in the Financing Commitments (including, as necessary, the “market flex” provisions contained in any fee letter related to the Financing Commitments) (the “</w:t>
      </w:r>
      <w:r>
        <w:rPr>
          <w:rFonts w:ascii="Times New Roman" w:cs="Times New Roman" w:eastAsia="Times New Roman" w:hAnsi="Times New Roman"/>
          <w:sz w:val="15"/>
          <w:szCs w:val="15"/>
          <w:u w:val="single" w:color="auto"/>
          <w:color w:val="auto"/>
        </w:rPr>
        <w:t>Alternative Financing</w:t>
      </w:r>
      <w:r>
        <w:rPr>
          <w:rFonts w:ascii="Times New Roman" w:cs="Times New Roman" w:eastAsia="Times New Roman" w:hAnsi="Times New Roman"/>
          <w:sz w:val="15"/>
          <w:szCs w:val="15"/>
          <w:color w:val="auto"/>
        </w:rPr>
        <w:t xml:space="preserve">”) as promptly as practicable following the occurrence of such event and prior to when the conditions to Mergers set forth in </w:t>
      </w:r>
      <w:r>
        <w:rPr>
          <w:rFonts w:ascii="Times New Roman" w:cs="Times New Roman" w:eastAsia="Times New Roman" w:hAnsi="Times New Roman"/>
          <w:sz w:val="15"/>
          <w:szCs w:val="15"/>
          <w:u w:val="single" w:color="auto"/>
          <w:color w:val="auto"/>
        </w:rPr>
        <w:t>Article VIII</w:t>
      </w:r>
      <w:r>
        <w:rPr>
          <w:rFonts w:ascii="Times New Roman" w:cs="Times New Roman" w:eastAsia="Times New Roman" w:hAnsi="Times New Roman"/>
          <w:sz w:val="15"/>
          <w:szCs w:val="15"/>
          <w:color w:val="auto"/>
        </w:rPr>
        <w:t xml:space="preserve"> (other than those conditions that by their terms must be satisfied at the Closing) are satisfied. Any replacement commitment letters and related fee letters (which may be redacted) in connection with an Alternative Financing shall constitute Financing Commitments under this Agreement.</w:t>
      </w:r>
    </w:p>
    <w:p>
      <w:pPr>
        <w:spacing w:after="0" w:line="158" w:lineRule="exact"/>
        <w:rPr>
          <w:sz w:val="20"/>
          <w:szCs w:val="20"/>
          <w:color w:val="auto"/>
        </w:rPr>
      </w:pPr>
    </w:p>
    <w:p>
      <w:pPr>
        <w:ind w:right="100" w:firstLine="874"/>
        <w:spacing w:after="0" w:line="253" w:lineRule="auto"/>
        <w:rPr>
          <w:sz w:val="20"/>
          <w:szCs w:val="20"/>
          <w:color w:val="auto"/>
        </w:rPr>
      </w:pPr>
      <w:r>
        <w:rPr>
          <w:rFonts w:ascii="Times New Roman" w:cs="Times New Roman" w:eastAsia="Times New Roman" w:hAnsi="Times New Roman"/>
          <w:sz w:val="16"/>
          <w:szCs w:val="16"/>
          <w:color w:val="auto"/>
        </w:rPr>
        <w:t xml:space="preserve">Section 7.19 </w:t>
      </w:r>
      <w:r>
        <w:rPr>
          <w:rFonts w:ascii="Times New Roman" w:cs="Times New Roman" w:eastAsia="Times New Roman" w:hAnsi="Times New Roman"/>
          <w:sz w:val="16"/>
          <w:szCs w:val="16"/>
          <w:u w:val="single" w:color="auto"/>
          <w:color w:val="auto"/>
        </w:rPr>
        <w:t>Financing Cooperation</w:t>
      </w:r>
      <w:r>
        <w:rPr>
          <w:rFonts w:ascii="Times New Roman" w:cs="Times New Roman" w:eastAsia="Times New Roman" w:hAnsi="Times New Roman"/>
          <w:sz w:val="16"/>
          <w:szCs w:val="16"/>
          <w:color w:val="auto"/>
        </w:rPr>
        <w:t xml:space="preserve">. (a) Prior to the Closing, the Company shall, and shall cause its Subsidiaries and each of its and their respective officers, employees, consultants and representatives to, use reasonable best efforts to cooperate with Parent, First Merger Sub and Second Merger Sub in connection with Parent’s obtaining the Financing;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herein shall require such cooperation to the extent it would interfere unreasonably with the business or operations of the Company or its Subsidiaries in any material respect;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neither the Company nor any of its Subsidiaries shall be required to commit to take any action that is not contingent upon the Closing (including the entry into any agreement) or that would be effective prior to the Effective Time other than as specifically set forth herein. Such cooperation shall include, without limitation:</w:t>
      </w:r>
    </w:p>
    <w:p>
      <w:pPr>
        <w:spacing w:after="0" w:line="70" w:lineRule="exact"/>
        <w:rPr>
          <w:sz w:val="20"/>
          <w:szCs w:val="20"/>
          <w:color w:val="auto"/>
        </w:rPr>
      </w:pPr>
    </w:p>
    <w:p>
      <w:pPr>
        <w:ind w:left="400" w:right="40" w:firstLine="836"/>
        <w:spacing w:after="0" w:line="255" w:lineRule="auto"/>
        <w:tabs>
          <w:tab w:leader="none" w:pos="1428"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furnishing Parent, First Merger Sub and Second Merger Sub and their Financing Sources, promptly following Parent’s request, with such pertinent and customary (as compared to other transactions of this size and nature) information (other than financial information, which is covered by clause (ii) below), to the extent reasonably available to the Company, regarding the Company and its Subsidiaries as may be reasonably determined by Parent to be necessary in order to consummate the Financing, including all information necessary to satisfy the conditions set forth in the Financing Commitments;</w:t>
      </w:r>
    </w:p>
    <w:p>
      <w:pPr>
        <w:spacing w:after="0" w:line="69" w:lineRule="exact"/>
        <w:rPr>
          <w:rFonts w:ascii="Times New Roman" w:cs="Times New Roman" w:eastAsia="Times New Roman" w:hAnsi="Times New Roman"/>
          <w:sz w:val="16"/>
          <w:szCs w:val="16"/>
          <w:color w:val="auto"/>
        </w:rPr>
      </w:pPr>
    </w:p>
    <w:p>
      <w:pPr>
        <w:ind w:left="400" w:firstLine="836"/>
        <w:spacing w:after="0" w:line="276" w:lineRule="auto"/>
        <w:tabs>
          <w:tab w:leader="none" w:pos="1472"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furnishing Parent and its Financing Sources as promptly as practicable (but no earlier than (i) 90 days after the end of the relevant final fiscal year end in the case of paragraph (1), and (ii) 45 days after the end of the relevant fiscal quarter in the case of paragraph (2)) with: (A)</w:t>
      </w:r>
    </w:p>
    <w:p>
      <w:pPr>
        <w:spacing w:after="0" w:line="1" w:lineRule="exact"/>
        <w:rPr>
          <w:rFonts w:ascii="Times New Roman" w:cs="Times New Roman" w:eastAsia="Times New Roman" w:hAnsi="Times New Roman"/>
          <w:sz w:val="15"/>
          <w:szCs w:val="15"/>
          <w:color w:val="auto"/>
        </w:rPr>
      </w:pPr>
    </w:p>
    <w:p>
      <w:pPr>
        <w:ind w:left="400" w:right="140" w:hanging="3"/>
        <w:spacing w:after="0" w:line="251" w:lineRule="auto"/>
        <w:tabs>
          <w:tab w:leader="none" w:pos="62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audited consolidated balance sheets and related statements of income, stockholders’ equity and cash flows of the Company prepared in accordance with GAAP for the three most recently completed fiscal years ended at least 90 days before the Closing Date, and (2) unaudited consolidated balance sheets and related statements of income, and cash flows of the Company prepared in accordance with GAAP and reviewed by the Company’s independent accountants in accordance with the procedures set forth in AS 4105 (</w:t>
      </w:r>
      <w:r>
        <w:rPr>
          <w:rFonts w:ascii="Times New Roman" w:cs="Times New Roman" w:eastAsia="Times New Roman" w:hAnsi="Times New Roman"/>
          <w:sz w:val="16"/>
          <w:szCs w:val="16"/>
          <w:i w:val="1"/>
          <w:iCs w:val="1"/>
          <w:color w:val="auto"/>
        </w:rPr>
        <w:t>Reviews of Interim Financial</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9700"/>
          </w:cols>
          <w:pgMar w:left="1080" w:top="254" w:right="1119" w:bottom="1440" w:gutter="0" w:footer="0" w:header="0"/>
        </w:sectPr>
      </w:pPr>
    </w:p>
    <w:bookmarkStart w:id="100" w:name="page101"/>
    <w:bookmarkEnd w:id="100"/>
    <w:p>
      <w:pPr>
        <w:ind w:left="40" w:right="20"/>
        <w:spacing w:after="0" w:line="253"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Information</w:t>
      </w:r>
      <w:r>
        <w:rPr>
          <w:rFonts w:ascii="Times New Roman" w:cs="Times New Roman" w:eastAsia="Times New Roman" w:hAnsi="Times New Roman"/>
          <w:sz w:val="16"/>
          <w:szCs w:val="16"/>
          <w:color w:val="auto"/>
        </w:rPr>
        <w:t>) for each subsequent fiscal quarter ended at least 45 days prior to the then expected Closing Date and (B) financial information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type that would be required by Regulation S-X and Regulation S-K under the Securities Act for an offering of securities registered on Form S-3 under the Securities Act, including all information required to be incorporated by reference therein and audit reports of annual financial statements to the extent so required or otherwise reasonably necessary to permit Parent to prepare pro forma financial statements customary for Financings of the applicable type (all such information in clauses (A) and this clause (B), the “</w:t>
      </w:r>
      <w:r>
        <w:rPr>
          <w:rFonts w:ascii="Times New Roman" w:cs="Times New Roman" w:eastAsia="Times New Roman" w:hAnsi="Times New Roman"/>
          <w:sz w:val="16"/>
          <w:szCs w:val="16"/>
          <w:u w:val="single" w:color="auto"/>
          <w:color w:val="auto"/>
        </w:rPr>
        <w:t>Required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Required Information shall not include, and Parent shall be solely responsible for, the preparation of pro forma financial information, including pro forma cost savings, synergies, capitalization, ownership or other pro forma adjustments desired to be incorporated into any pro forma financial information;</w:t>
      </w:r>
    </w:p>
    <w:p>
      <w:pPr>
        <w:spacing w:after="0" w:line="69" w:lineRule="exact"/>
        <w:rPr>
          <w:sz w:val="20"/>
          <w:szCs w:val="20"/>
          <w:color w:val="auto"/>
        </w:rPr>
      </w:pPr>
    </w:p>
    <w:p>
      <w:pPr>
        <w:ind w:left="1160" w:hanging="284"/>
        <w:spacing w:after="0"/>
        <w:tabs>
          <w:tab w:leader="none" w:pos="11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cooperating with Parent’s Financing Sources’ due diligence investigation of the Company and its Subsidiaries;</w:t>
      </w:r>
    </w:p>
    <w:p>
      <w:pPr>
        <w:spacing w:after="0" w:line="101" w:lineRule="exact"/>
        <w:rPr>
          <w:rFonts w:ascii="Times New Roman" w:cs="Times New Roman" w:eastAsia="Times New Roman" w:hAnsi="Times New Roman"/>
          <w:sz w:val="16"/>
          <w:szCs w:val="16"/>
          <w:color w:val="auto"/>
        </w:rPr>
      </w:pPr>
    </w:p>
    <w:p>
      <w:pPr>
        <w:ind w:left="40" w:right="320" w:firstLine="836"/>
        <w:spacing w:after="0" w:line="258" w:lineRule="auto"/>
        <w:tabs>
          <w:tab w:leader="none" w:pos="114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participating in and assisting with the syndication, underwriting, placement or other marketing of the Financing, including participating in a reasonable number of meetings, presentations, road shows, due diligence sessions, drafting sessions and sessions with rating agencies, including direct contact between senior management of the Company and its Subsidiaries and representatives of the Company with prospective investors, lenders and rating agencies in connection with a Financing;</w:t>
      </w:r>
    </w:p>
    <w:p>
      <w:pPr>
        <w:spacing w:after="0" w:line="65" w:lineRule="exact"/>
        <w:rPr>
          <w:rFonts w:ascii="Times New Roman" w:cs="Times New Roman" w:eastAsia="Times New Roman" w:hAnsi="Times New Roman"/>
          <w:sz w:val="16"/>
          <w:szCs w:val="16"/>
          <w:color w:val="auto"/>
        </w:rPr>
      </w:pPr>
    </w:p>
    <w:p>
      <w:pPr>
        <w:ind w:left="40" w:firstLine="836"/>
        <w:spacing w:after="0" w:line="252" w:lineRule="auto"/>
        <w:tabs>
          <w:tab w:leader="none" w:pos="1104"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with the preparation of customary materials for registration statements, rating agency presentations, offering documents, private placement memoranda, bank information memoranda, prospectuses and supplements related thereto and similar documents required in connection with the Financing (all such documents and materials, collectively, the “</w:t>
      </w:r>
      <w:r>
        <w:rPr>
          <w:rFonts w:ascii="Times New Roman" w:cs="Times New Roman" w:eastAsia="Times New Roman" w:hAnsi="Times New Roman"/>
          <w:sz w:val="16"/>
          <w:szCs w:val="16"/>
          <w:u w:val="single" w:color="auto"/>
          <w:color w:val="auto"/>
        </w:rPr>
        <w:t>Financing Offering Documents</w:t>
      </w:r>
      <w:r>
        <w:rPr>
          <w:rFonts w:ascii="Times New Roman" w:cs="Times New Roman" w:eastAsia="Times New Roman" w:hAnsi="Times New Roman"/>
          <w:sz w:val="16"/>
          <w:szCs w:val="16"/>
          <w:color w:val="auto"/>
        </w:rPr>
        <w:t>”), providing customary authorization letters authorizing the distribution of information to prospective Financing Sources and containing customary 10b-5 representations and representations that the public side versions of such documents, if any, do not include material non-public information regarding the Company or its Subsidiaries or securities and management representation letters and delivering and consenting to the inclusion or incorporation in any SEC filing related to the Financing of the historical audited consolidated financial statements and unaudited consolidated interim financial statements of the Company;</w:t>
      </w:r>
    </w:p>
    <w:p>
      <w:pPr>
        <w:spacing w:after="0" w:line="72" w:lineRule="exact"/>
        <w:rPr>
          <w:rFonts w:ascii="Times New Roman" w:cs="Times New Roman" w:eastAsia="Times New Roman" w:hAnsi="Times New Roman"/>
          <w:sz w:val="16"/>
          <w:szCs w:val="16"/>
          <w:color w:val="auto"/>
        </w:rPr>
      </w:pPr>
    </w:p>
    <w:p>
      <w:pPr>
        <w:ind w:left="40" w:right="200" w:firstLine="836"/>
        <w:spacing w:after="0" w:line="263" w:lineRule="auto"/>
        <w:tabs>
          <w:tab w:leader="none" w:pos="114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executing and delivering any currency or interest hedging arrangements, other definitive financing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effectiveness of such documents will be conditioned upon the occurrence of the Effective Time), and obtaining and delivering certificates or documents required to satisfy the conditions in the Financing Commitments;</w:t>
      </w:r>
    </w:p>
    <w:p>
      <w:pPr>
        <w:spacing w:after="0" w:line="9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9360"/>
          </w:cols>
          <w:pgMar w:left="1440" w:top="252" w:right="1099" w:bottom="1440" w:gutter="0" w:footer="0" w:header="0"/>
        </w:sectPr>
      </w:pPr>
    </w:p>
    <w:bookmarkStart w:id="101" w:name="page102"/>
    <w:bookmarkEnd w:id="101"/>
    <w:p>
      <w:pPr>
        <w:ind w:left="40" w:right="20" w:firstLine="836"/>
        <w:spacing w:after="0" w:line="253" w:lineRule="auto"/>
        <w:tabs>
          <w:tab w:leader="none" w:pos="1192"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obtaining from the Company’s registered public accounting firm that has audited the Company’s most recent financial statements customary comfort letters, consents, and other documentation and items required in connection with the Financing with respect to financial information provided pursuant to clause (a)(ii) of this Section 7.19 that is included or incorporated by reference in any prospectus, prospectus supplement, private placement memorandum or other offering document for which such comfort is customarily required, including customary confirmations (in customary form and scope and delivered at such customary times) of such accountants that they are prepared to issue any such comfort letter or consent subject to the completion of its customary procedures related thereto and obtaining customary legal opinions, in each case as reasonably requested by Parent (including those requested by Parent on behalf of a Financing Source);</w:t>
      </w:r>
    </w:p>
    <w:p>
      <w:pPr>
        <w:spacing w:after="0" w:line="70" w:lineRule="exact"/>
        <w:rPr>
          <w:rFonts w:ascii="Times New Roman" w:cs="Times New Roman" w:eastAsia="Times New Roman" w:hAnsi="Times New Roman"/>
          <w:sz w:val="16"/>
          <w:szCs w:val="16"/>
          <w:color w:val="auto"/>
        </w:rPr>
      </w:pPr>
    </w:p>
    <w:p>
      <w:pPr>
        <w:ind w:left="40" w:right="80" w:firstLine="836"/>
        <w:spacing w:after="0" w:line="258" w:lineRule="auto"/>
        <w:tabs>
          <w:tab w:leader="none" w:pos="1236"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delivering notices of prepayment within the time periods required by the relevant agreements governing indebtedness and arranging for customary payoff letters, lien terminations and instruments of discharge to be delivered at Closing to allow for the payoff, discharge and termination in full on the Closing Date of all indebtedness and Encumbrances under indebtedness of the Company required to be repaid as of the Effective Time by the terms of any Financing;</w:t>
      </w:r>
    </w:p>
    <w:p>
      <w:pPr>
        <w:spacing w:after="0" w:line="65" w:lineRule="exact"/>
        <w:rPr>
          <w:rFonts w:ascii="Times New Roman" w:cs="Times New Roman" w:eastAsia="Times New Roman" w:hAnsi="Times New Roman"/>
          <w:sz w:val="16"/>
          <w:szCs w:val="16"/>
          <w:color w:val="auto"/>
        </w:rPr>
      </w:pPr>
    </w:p>
    <w:p>
      <w:pPr>
        <w:ind w:left="1140" w:hanging="264"/>
        <w:spacing w:after="0"/>
        <w:tabs>
          <w:tab w:leader="none" w:pos="114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taking all corporate and other actions, subject to the occurrence of the Effective Time, reasonably requested by Parent to</w:t>
      </w:r>
    </w:p>
    <w:p>
      <w:pPr>
        <w:spacing w:after="0" w:line="23" w:lineRule="exact"/>
        <w:rPr>
          <w:rFonts w:ascii="Times New Roman" w:cs="Times New Roman" w:eastAsia="Times New Roman" w:hAnsi="Times New Roman"/>
          <w:sz w:val="16"/>
          <w:szCs w:val="16"/>
          <w:color w:val="auto"/>
        </w:rPr>
      </w:pPr>
    </w:p>
    <w:p>
      <w:pPr>
        <w:ind w:left="40" w:hanging="3"/>
        <w:spacing w:after="0" w:line="252" w:lineRule="auto"/>
        <w:tabs>
          <w:tab w:leader="none" w:pos="3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the consummation of the Financing, (B) the distribution or payment of the proceeds of the Financing, if any, obtained by any Subsidiary of the Company to the Surviving Entity, and (C) cause the direct borrowing or incurrence of all of the proceeds of the Financing, by the Surviving Entity or any Subsidiary of the Company concurrently with or immediately following the Effective Time;</w:t>
      </w:r>
    </w:p>
    <w:p>
      <w:pPr>
        <w:spacing w:after="0" w:line="69" w:lineRule="exact"/>
        <w:rPr>
          <w:rFonts w:ascii="Times New Roman" w:cs="Times New Roman" w:eastAsia="Times New Roman" w:hAnsi="Times New Roman"/>
          <w:sz w:val="16"/>
          <w:szCs w:val="16"/>
          <w:color w:val="auto"/>
        </w:rPr>
      </w:pPr>
    </w:p>
    <w:p>
      <w:pPr>
        <w:ind w:left="40" w:right="140" w:firstLine="836"/>
        <w:spacing w:after="0" w:line="258" w:lineRule="auto"/>
        <w:tabs>
          <w:tab w:leader="none" w:pos="1104"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furnishing Parent and its Financing Sources promptly and in any event at least 3 Business Days before the Closing Date with all documentation and other information which any Financing Source providing or arranging the Financing has reasonably requested at least 10 Business Days prior to the Closing Date that such Financing Source has determined is required by Governmental Authorities under applicable “know your customer” and anti-money laundering rules and regulations, including, without limitation, the USA PATRIOT Act;</w:t>
      </w:r>
    </w:p>
    <w:p>
      <w:pPr>
        <w:spacing w:after="0" w:line="65" w:lineRule="exact"/>
        <w:rPr>
          <w:rFonts w:ascii="Times New Roman" w:cs="Times New Roman" w:eastAsia="Times New Roman" w:hAnsi="Times New Roman"/>
          <w:sz w:val="16"/>
          <w:szCs w:val="16"/>
          <w:color w:val="auto"/>
        </w:rPr>
      </w:pPr>
    </w:p>
    <w:p>
      <w:pPr>
        <w:ind w:left="40" w:right="280" w:firstLine="836"/>
        <w:spacing w:after="0" w:line="263" w:lineRule="auto"/>
        <w:tabs>
          <w:tab w:leader="none" w:pos="1148"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procuring consents to the reasonable use of all of the Company’s logos in connection with the Financing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logos are used solely in a manner that is not intended to and is not reasonably likely to harm or disparage the Company or its Subsidiaries or the reputation or goodwill of the Company or any of its Subsidiaries); and</w:t>
      </w:r>
    </w:p>
    <w:p>
      <w:pPr>
        <w:spacing w:after="0" w:line="61" w:lineRule="exact"/>
        <w:rPr>
          <w:rFonts w:ascii="Times New Roman" w:cs="Times New Roman" w:eastAsia="Times New Roman" w:hAnsi="Times New Roman"/>
          <w:sz w:val="16"/>
          <w:szCs w:val="16"/>
          <w:color w:val="auto"/>
        </w:rPr>
      </w:pPr>
    </w:p>
    <w:p>
      <w:pPr>
        <w:ind w:left="40" w:right="40" w:firstLine="836"/>
        <w:spacing w:after="0" w:line="278" w:lineRule="auto"/>
        <w:tabs>
          <w:tab w:leader="none" w:pos="1192"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furnishing customary information reasonably available to the Company regarding the Company and its Subsidiaries required for Parent to obtain corporate and facilities ratings and ratings on any debt securities issued in connection with the Financing.</w:t>
      </w:r>
    </w:p>
    <w:p>
      <w:pPr>
        <w:spacing w:after="0" w:line="8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9360"/>
          </w:cols>
          <w:pgMar w:left="1440" w:top="254" w:right="1099" w:bottom="1440" w:gutter="0" w:footer="0" w:header="0"/>
        </w:sectPr>
      </w:pPr>
    </w:p>
    <w:bookmarkStart w:id="102" w:name="page103"/>
    <w:bookmarkEnd w:id="102"/>
    <w:p>
      <w:pPr>
        <w:ind w:left="-40" w:firstLine="883"/>
        <w:spacing w:after="0" w:line="254" w:lineRule="auto"/>
        <w:tabs>
          <w:tab w:leader="none" w:pos="105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At Parent’s reasonable request, the Company shall or shall cause its Subsidiaries to use their respective reasonable best efforts to amend or supplement any information supplied in writing by or on behalf of the Company or any of its Subsidiaries to Parent, First Merger Sub, Second Merger Sub or any Financing Source on a reasonably current basis to the extent such information (excluding any projections, forecasts, pro forma financial information and other forward-looking information), to the knowledge of the Company, taken as a whole, is not correct in all material respects, contains any untrue statement of material fact or omits to state any material fact necessary to make such information supplied in writing by or on behalf of the Company or any of its Subsidiaries not materially misleading.</w:t>
      </w:r>
    </w:p>
    <w:p>
      <w:pPr>
        <w:spacing w:after="0" w:line="164" w:lineRule="exact"/>
        <w:rPr>
          <w:rFonts w:ascii="Times New Roman" w:cs="Times New Roman" w:eastAsia="Times New Roman" w:hAnsi="Times New Roman"/>
          <w:sz w:val="16"/>
          <w:szCs w:val="16"/>
          <w:color w:val="auto"/>
        </w:rPr>
      </w:pPr>
    </w:p>
    <w:p>
      <w:pPr>
        <w:ind w:left="-40" w:right="40" w:firstLine="883"/>
        <w:spacing w:after="0" w:line="250" w:lineRule="auto"/>
        <w:tabs>
          <w:tab w:leader="none" w:pos="105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w:t>
      </w:r>
      <w:r>
        <w:rPr>
          <w:rFonts w:ascii="Times New Roman" w:cs="Times New Roman" w:eastAsia="Times New Roman" w:hAnsi="Times New Roman"/>
          <w:sz w:val="16"/>
          <w:szCs w:val="16"/>
          <w:u w:val="single" w:color="auto"/>
          <w:color w:val="auto"/>
        </w:rPr>
        <w:t>Section 7.19</w:t>
      </w:r>
      <w:r>
        <w:rPr>
          <w:rFonts w:ascii="Times New Roman" w:cs="Times New Roman" w:eastAsia="Times New Roman" w:hAnsi="Times New Roman"/>
          <w:sz w:val="16"/>
          <w:szCs w:val="16"/>
          <w:color w:val="auto"/>
        </w:rPr>
        <w:t xml:space="preserve"> shall require such cooperation to the extent it would (i) require the Company to agree to pay any fees, reimburse any expenses or give any indemnities prior to the Effective Time, (ii) require the Company to incur any other liability or obligation prior to the Effective Time (it being understood, however, that the Company shall bear all costs and expenses of its annual audit and quarterly reviews of its financial statements but not the costs of any comfort letter (which shall be borne by Parent)), or (iii) cause any condition to the Mergers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fail to be satisfied or otherwise cause any breach of this Agreement that would give Parent the right to terminate this Agreement (unless, in each case, waived in writing by Parent). Parent shall promptly, upon request by the Company, pay all reasonable and documented out-of-pocket third party costs incurred by the Company or any of its Subsidiaries in connection with cooperation pursuant to this </w:t>
      </w:r>
      <w:r>
        <w:rPr>
          <w:rFonts w:ascii="Times New Roman" w:cs="Times New Roman" w:eastAsia="Times New Roman" w:hAnsi="Times New Roman"/>
          <w:sz w:val="16"/>
          <w:szCs w:val="16"/>
          <w:u w:val="single" w:color="auto"/>
          <w:color w:val="auto"/>
        </w:rPr>
        <w:t>Section 7.19</w:t>
      </w:r>
      <w:r>
        <w:rPr>
          <w:rFonts w:ascii="Times New Roman" w:cs="Times New Roman" w:eastAsia="Times New Roman" w:hAnsi="Times New Roman"/>
          <w:sz w:val="16"/>
          <w:szCs w:val="16"/>
          <w:color w:val="auto"/>
        </w:rPr>
        <w:t xml:space="preserve"> except for the costs of the Company’s registered public accounting firm described in the prior sentence. All confidential information provided by the Company or its Subsidiaries to Parent or its Affiliates pursuant to this </w:t>
      </w:r>
      <w:r>
        <w:rPr>
          <w:rFonts w:ascii="Times New Roman" w:cs="Times New Roman" w:eastAsia="Times New Roman" w:hAnsi="Times New Roman"/>
          <w:sz w:val="16"/>
          <w:szCs w:val="16"/>
          <w:u w:val="single" w:color="auto"/>
          <w:color w:val="auto"/>
        </w:rPr>
        <w:t>Section 7.19</w:t>
      </w:r>
      <w:r>
        <w:rPr>
          <w:rFonts w:ascii="Times New Roman" w:cs="Times New Roman" w:eastAsia="Times New Roman" w:hAnsi="Times New Roman"/>
          <w:sz w:val="16"/>
          <w:szCs w:val="16"/>
          <w:color w:val="auto"/>
        </w:rPr>
        <w:t xml:space="preserve"> shall be kept confidential in accordance with the Confidentiality Agreement, except that Parent shall be permitted to disclose such information to its Financing Sources and prospective Financing Sources, subject to ordinary and customary confidentiality undertakings. Notwithstanding the foregoing, Parent shall be permitted to disclose such confidential information upon prior written notice to the Company if such disclosure is required in order to comply with applicable laws (including any securities Law or the rules of a securities exchange) and with judicial process. Parent, First Merger Sub and Second Merger Sub shall indemnify and hold harmless the Company, its Subsidiaries and their respective Representatives from and against any and all losses, damages, claims, costs or expenses suffered or incurred by any of them in connection with the Financing (other than arising from fraud, willful misconduct or misrepresentations, misstatements or omissions) and any information utilized in connection therewith (other than written information directly provided by the Company and its Subsidiaries).</w:t>
      </w:r>
    </w:p>
    <w:p>
      <w:pPr>
        <w:spacing w:after="0" w:line="170" w:lineRule="exact"/>
        <w:rPr>
          <w:rFonts w:ascii="Times New Roman" w:cs="Times New Roman" w:eastAsia="Times New Roman" w:hAnsi="Times New Roman"/>
          <w:sz w:val="16"/>
          <w:szCs w:val="16"/>
          <w:color w:val="auto"/>
        </w:rPr>
      </w:pPr>
    </w:p>
    <w:p>
      <w:pPr>
        <w:ind w:left="-40" w:firstLine="883"/>
        <w:spacing w:after="0" w:line="258" w:lineRule="auto"/>
        <w:tabs>
          <w:tab w:leader="none" w:pos="1058"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and notwithstanding anything to the contrary in this Agreement, Parent acknowledges and agrees that its obligation to consummate the transactions contemplated by this Agreement on the terms and subject to the conditions set forth herein are not conditioned upon the availability or consummation of the Financing or any other debt financing, the availability of any equity financing or the receipt of the proceeds therefrom.</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9640"/>
          </w:cols>
          <w:pgMar w:left="1120" w:top="254" w:right="1139" w:bottom="1440" w:gutter="0" w:footer="0" w:header="0"/>
        </w:sectPr>
      </w:pPr>
    </w:p>
    <w:bookmarkStart w:id="103" w:name="page104"/>
    <w:bookmarkEnd w:id="103"/>
    <w:p>
      <w:pPr>
        <w:ind w:right="20" w:firstLine="883"/>
        <w:spacing w:after="0" w:line="252" w:lineRule="auto"/>
        <w:tabs>
          <w:tab w:leader="none" w:pos="109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Without limiting in any respect the liabilities of the Financing Sources to Parent, First Merger Sub, Second Merger Sub or their Affiliates, or the remedies of Parent, First Merger Sub, Second Merger Sub or their Affiliates against the Financing Sources under any other agreement to which they are both parties, none of the Financing Sources shall have any liability to the parties or their Affiliates relating to or arising out of this Agreement, whether at law or equity, in contract, in tort or otherwise, and neither the parties nor any of their Affiliates will have any rights or claims against the Financing Sources in respect of the Financing under this Agreement. Notwithstanding anything herein to the contrary, in no event shall the Company or its Affiliates be entitled to seek any remedy, including specific performance of this Agreement, against any of the Financing Sources (it being expressly agreed that the Financing Sources in their capacities as such shall be third party beneficiaries of this Section 7.19(e) and shall be entitled to enforce the provisions contained in this Section 7.19(e) as if they were a party to this Agreement).</w:t>
      </w:r>
    </w:p>
    <w:p>
      <w:pPr>
        <w:spacing w:after="0" w:line="168" w:lineRule="exact"/>
        <w:rPr>
          <w:rFonts w:ascii="Times New Roman" w:cs="Times New Roman" w:eastAsia="Times New Roman" w:hAnsi="Times New Roman"/>
          <w:sz w:val="16"/>
          <w:szCs w:val="16"/>
          <w:color w:val="auto"/>
        </w:rPr>
      </w:pPr>
    </w:p>
    <w:p>
      <w:pPr>
        <w:ind w:right="40" w:firstLine="883"/>
        <w:spacing w:after="0" w:line="263" w:lineRule="auto"/>
        <w:tabs>
          <w:tab w:leader="none" w:pos="107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herein, it is understood and agreed that the condition precedent set forth in </w:t>
      </w:r>
      <w:r>
        <w:rPr>
          <w:rFonts w:ascii="Times New Roman" w:cs="Times New Roman" w:eastAsia="Times New Roman" w:hAnsi="Times New Roman"/>
          <w:sz w:val="16"/>
          <w:szCs w:val="16"/>
          <w:u w:val="single" w:color="auto"/>
          <w:color w:val="auto"/>
        </w:rPr>
        <w:t>Section 8.02(b)</w:t>
      </w:r>
      <w:r>
        <w:rPr>
          <w:rFonts w:ascii="Times New Roman" w:cs="Times New Roman" w:eastAsia="Times New Roman" w:hAnsi="Times New Roman"/>
          <w:sz w:val="16"/>
          <w:szCs w:val="16"/>
          <w:color w:val="auto"/>
        </w:rPr>
        <w:t xml:space="preserve">, as applied to the Company’s obligations under this </w:t>
      </w:r>
      <w:r>
        <w:rPr>
          <w:rFonts w:ascii="Times New Roman" w:cs="Times New Roman" w:eastAsia="Times New Roman" w:hAnsi="Times New Roman"/>
          <w:sz w:val="16"/>
          <w:szCs w:val="16"/>
          <w:u w:val="single" w:color="auto"/>
          <w:color w:val="auto"/>
        </w:rPr>
        <w:t>Section 7.19</w:t>
      </w:r>
      <w:r>
        <w:rPr>
          <w:rFonts w:ascii="Times New Roman" w:cs="Times New Roman" w:eastAsia="Times New Roman" w:hAnsi="Times New Roman"/>
          <w:sz w:val="16"/>
          <w:szCs w:val="16"/>
          <w:color w:val="auto"/>
        </w:rPr>
        <w:t xml:space="preserve">, shall be deemed to be satisfied unless the financing contemplated by the Debt Commitment Letter has not been obtained as a direct result of the Company’s Intentional Breach of its obligations under this </w:t>
      </w:r>
      <w:r>
        <w:rPr>
          <w:rFonts w:ascii="Times New Roman" w:cs="Times New Roman" w:eastAsia="Times New Roman" w:hAnsi="Times New Roman"/>
          <w:sz w:val="16"/>
          <w:szCs w:val="16"/>
          <w:u w:val="single" w:color="auto"/>
          <w:color w:val="auto"/>
        </w:rPr>
        <w:t>Section 7.19.</w:t>
      </w:r>
    </w:p>
    <w:p>
      <w:pPr>
        <w:spacing w:after="0" w:line="15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and Parent agree to the matters set forth on </w:t>
      </w:r>
      <w:r>
        <w:rPr>
          <w:rFonts w:ascii="Times New Roman" w:cs="Times New Roman" w:eastAsia="Times New Roman" w:hAnsi="Times New Roman"/>
          <w:sz w:val="16"/>
          <w:szCs w:val="16"/>
          <w:u w:val="single" w:color="auto"/>
          <w:color w:val="auto"/>
        </w:rPr>
        <w:t>Section 7.19(g) of the Company Disclosure Letter</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60" w:firstLine="874"/>
        <w:spacing w:after="0" w:line="255" w:lineRule="auto"/>
        <w:rPr>
          <w:sz w:val="20"/>
          <w:szCs w:val="20"/>
          <w:color w:val="auto"/>
        </w:rPr>
      </w:pPr>
      <w:r>
        <w:rPr>
          <w:rFonts w:ascii="Times New Roman" w:cs="Times New Roman" w:eastAsia="Times New Roman" w:hAnsi="Times New Roman"/>
          <w:sz w:val="16"/>
          <w:szCs w:val="16"/>
          <w:color w:val="auto"/>
        </w:rPr>
        <w:t xml:space="preserve">Section 7.20 </w:t>
      </w:r>
      <w:r>
        <w:rPr>
          <w:rFonts w:ascii="Times New Roman" w:cs="Times New Roman" w:eastAsia="Times New Roman" w:hAnsi="Times New Roman"/>
          <w:sz w:val="16"/>
          <w:szCs w:val="16"/>
          <w:u w:val="single" w:color="auto"/>
          <w:color w:val="auto"/>
        </w:rPr>
        <w:t>Resignations of Directors and Officers</w:t>
      </w:r>
      <w:r>
        <w:rPr>
          <w:rFonts w:ascii="Times New Roman" w:cs="Times New Roman" w:eastAsia="Times New Roman" w:hAnsi="Times New Roman"/>
          <w:sz w:val="16"/>
          <w:szCs w:val="16"/>
          <w:color w:val="auto"/>
        </w:rPr>
        <w:t>. At or prior to the Closing, the Company shall request that each director and officer of the Company deliver to Parent written resignation and release letters, effective as of the Closing Date, of each of the directors and officers of the Company requested by Parent in writing at least five Business Days prior to the Closing, effectuating his or her resignation from such position as a member of the Company Board or as an officer (although not as an employee, if applicable, unless otherwise so requested by Parent), in form and substance reasonably satisfactory to Parent.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CONDITIONS TO THE MERGERS</w:t>
      </w:r>
    </w:p>
    <w:p>
      <w:pPr>
        <w:spacing w:after="0" w:line="199" w:lineRule="exact"/>
        <w:rPr>
          <w:sz w:val="20"/>
          <w:szCs w:val="20"/>
          <w:color w:val="auto"/>
        </w:rPr>
      </w:pPr>
    </w:p>
    <w:p>
      <w:pPr>
        <w:ind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u w:val="single" w:color="auto"/>
          <w:color w:val="auto"/>
        </w:rPr>
        <w:t>Conditions to the Obligations of Each Party</w:t>
      </w:r>
      <w:r>
        <w:rPr>
          <w:rFonts w:ascii="Times New Roman" w:cs="Times New Roman" w:eastAsia="Times New Roman" w:hAnsi="Times New Roman"/>
          <w:sz w:val="16"/>
          <w:szCs w:val="16"/>
          <w:color w:val="auto"/>
        </w:rPr>
        <w:t>. The respective obligations of the Company, Parent, First Merger Sub and Second Merger Sub to consummate the Mergers are subject to the satisfaction or written waiver (where permissible under applicable Law) at or prior to the Effective Time of the following conditions:</w:t>
      </w:r>
    </w:p>
    <w:p>
      <w:pPr>
        <w:spacing w:after="0" w:line="157" w:lineRule="exact"/>
        <w:rPr>
          <w:sz w:val="20"/>
          <w:szCs w:val="20"/>
          <w:color w:val="auto"/>
        </w:rPr>
      </w:pPr>
    </w:p>
    <w:p>
      <w:pPr>
        <w:ind w:right="80" w:firstLine="883"/>
        <w:spacing w:after="0" w:line="278" w:lineRule="auto"/>
        <w:tabs>
          <w:tab w:leader="none" w:pos="1089"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shall have become effective under the Securities Act and no stop order suspending the effectiveness of the Registration Statement shall have been issued by the SEC.</w:t>
      </w:r>
    </w:p>
    <w:p>
      <w:pPr>
        <w:spacing w:after="0" w:line="144" w:lineRule="exact"/>
        <w:rPr>
          <w:rFonts w:ascii="Times New Roman" w:cs="Times New Roman" w:eastAsia="Times New Roman" w:hAnsi="Times New Roman"/>
          <w:sz w:val="16"/>
          <w:szCs w:val="16"/>
          <w:color w:val="auto"/>
        </w:rPr>
      </w:pPr>
    </w:p>
    <w:p>
      <w:pPr>
        <w:ind w:right="680" w:firstLine="883"/>
        <w:spacing w:after="0" w:line="278" w:lineRule="auto"/>
        <w:tabs>
          <w:tab w:leader="none" w:pos="109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The Company Stockholder Approvals shall have been obtained in accordance with the DGCL and the Company’s certificate of incorporation and bylaws.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9720"/>
          </w:cols>
          <w:pgMar w:left="1080" w:top="254" w:right="1099" w:bottom="1440" w:gutter="0" w:footer="0" w:header="0"/>
        </w:sectPr>
      </w:pPr>
    </w:p>
    <w:bookmarkStart w:id="104" w:name="page105"/>
    <w:bookmarkEnd w:id="104"/>
    <w:p>
      <w:pPr>
        <w:ind w:right="380" w:firstLine="883"/>
        <w:spacing w:after="0" w:line="263" w:lineRule="auto"/>
        <w:tabs>
          <w:tab w:leader="none" w:pos="108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 Order</w:t>
      </w:r>
      <w:r>
        <w:rPr>
          <w:rFonts w:ascii="Times New Roman" w:cs="Times New Roman" w:eastAsia="Times New Roman" w:hAnsi="Times New Roman"/>
          <w:sz w:val="16"/>
          <w:szCs w:val="16"/>
          <w:color w:val="auto"/>
        </w:rPr>
        <w:t>. No Governmental Authority shall have enacted, issued, promulgated, enforced or entered any Law, whether temporary, preliminary or permanent (collectively, a “</w:t>
      </w:r>
      <w:r>
        <w:rPr>
          <w:rFonts w:ascii="Times New Roman" w:cs="Times New Roman" w:eastAsia="Times New Roman" w:hAnsi="Times New Roman"/>
          <w:sz w:val="16"/>
          <w:szCs w:val="16"/>
          <w:u w:val="single" w:color="auto"/>
          <w:color w:val="auto"/>
        </w:rPr>
        <w:t>Restraint</w:t>
      </w:r>
      <w:r>
        <w:rPr>
          <w:rFonts w:ascii="Times New Roman" w:cs="Times New Roman" w:eastAsia="Times New Roman" w:hAnsi="Times New Roman"/>
          <w:sz w:val="16"/>
          <w:szCs w:val="16"/>
          <w:color w:val="auto"/>
        </w:rPr>
        <w:t>”), which is then in effect and has the effect of enjoining, restraining, prohibiting or otherwise preventing the consummation of the Transactions.</w:t>
      </w:r>
    </w:p>
    <w:p>
      <w:pPr>
        <w:spacing w:after="0" w:line="156" w:lineRule="exact"/>
        <w:rPr>
          <w:rFonts w:ascii="Times New Roman" w:cs="Times New Roman" w:eastAsia="Times New Roman" w:hAnsi="Times New Roman"/>
          <w:sz w:val="16"/>
          <w:szCs w:val="16"/>
          <w:color w:val="auto"/>
        </w:rPr>
      </w:pPr>
    </w:p>
    <w:p>
      <w:pPr>
        <w:ind w:right="120" w:firstLine="883"/>
        <w:spacing w:after="0" w:line="263" w:lineRule="auto"/>
        <w:tabs>
          <w:tab w:leader="none" w:pos="109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xml:space="preserve">. (i) Any waiting period (and any extension thereof) applicable to the consummation of the Mergers under the HSR Act shall have expired or been terminated and (ii) any approval or waiting period with respect to those jurisdictions set forth in </w:t>
      </w:r>
      <w:r>
        <w:rPr>
          <w:rFonts w:ascii="Times New Roman" w:cs="Times New Roman" w:eastAsia="Times New Roman" w:hAnsi="Times New Roman"/>
          <w:sz w:val="16"/>
          <w:szCs w:val="16"/>
          <w:u w:val="single" w:color="auto"/>
          <w:color w:val="auto"/>
        </w:rPr>
        <w:t>Section 8.01(d)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the Company Disclosure Letter</w:t>
      </w:r>
      <w:r>
        <w:rPr>
          <w:rFonts w:ascii="Times New Roman" w:cs="Times New Roman" w:eastAsia="Times New Roman" w:hAnsi="Times New Roman"/>
          <w:sz w:val="16"/>
          <w:szCs w:val="16"/>
          <w:color w:val="auto"/>
        </w:rPr>
        <w:t xml:space="preserve"> shall have been obtained or terminated or shall have expired.</w:t>
      </w:r>
    </w:p>
    <w:p>
      <w:pPr>
        <w:spacing w:after="0" w:line="156" w:lineRule="exact"/>
        <w:rPr>
          <w:rFonts w:ascii="Times New Roman" w:cs="Times New Roman" w:eastAsia="Times New Roman" w:hAnsi="Times New Roman"/>
          <w:sz w:val="16"/>
          <w:szCs w:val="16"/>
          <w:color w:val="auto"/>
        </w:rPr>
      </w:pPr>
    </w:p>
    <w:p>
      <w:pPr>
        <w:ind w:right="500" w:firstLine="883"/>
        <w:spacing w:after="0" w:line="278" w:lineRule="auto"/>
        <w:tabs>
          <w:tab w:leader="none" w:pos="108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The shares of Parent Common Stock to be issued in the Mergers shall have been authorized for listing on the NASDAQ, subject to official notice of issuance.</w:t>
      </w:r>
    </w:p>
    <w:p>
      <w:pPr>
        <w:spacing w:after="0" w:line="145" w:lineRule="exact"/>
        <w:rPr>
          <w:sz w:val="20"/>
          <w:szCs w:val="20"/>
          <w:color w:val="auto"/>
        </w:rPr>
      </w:pPr>
    </w:p>
    <w:p>
      <w:pPr>
        <w:ind w:right="40"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u w:val="single" w:color="auto"/>
          <w:color w:val="auto"/>
        </w:rPr>
        <w:t>Conditions to the Obligations of Parent, First Merger Sub and Second Merger Sub</w:t>
      </w:r>
      <w:r>
        <w:rPr>
          <w:rFonts w:ascii="Times New Roman" w:cs="Times New Roman" w:eastAsia="Times New Roman" w:hAnsi="Times New Roman"/>
          <w:sz w:val="16"/>
          <w:szCs w:val="16"/>
          <w:color w:val="auto"/>
        </w:rPr>
        <w:t>. The obligations of Parent, First Merger Sub and Second Merger Sub to consummate the Mergers are subject to the satisfaction or written waiver (where permissible under applicable Law) at or prior to the Effective Time of the following additional conditions:</w:t>
      </w:r>
    </w:p>
    <w:p>
      <w:pPr>
        <w:spacing w:after="0" w:line="157" w:lineRule="exact"/>
        <w:rPr>
          <w:sz w:val="20"/>
          <w:szCs w:val="20"/>
          <w:color w:val="auto"/>
        </w:rPr>
      </w:pPr>
    </w:p>
    <w:p>
      <w:pPr>
        <w:ind w:right="40" w:firstLine="883"/>
        <w:spacing w:after="0" w:line="268" w:lineRule="auto"/>
        <w:tabs>
          <w:tab w:leader="none" w:pos="1089"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 xml:space="preserve">. In each case as of the date of this Agreement and as of the Closing Date, except to the extent any such representations and warranties expressly relate to an earlier date, in which case as of such earlier date, (i) the representations and warranties of the Company set forth in the first sentence of </w:t>
      </w:r>
      <w:r>
        <w:rPr>
          <w:rFonts w:ascii="Times New Roman" w:cs="Times New Roman" w:eastAsia="Times New Roman" w:hAnsi="Times New Roman"/>
          <w:sz w:val="15"/>
          <w:szCs w:val="15"/>
          <w:u w:val="single" w:color="auto"/>
          <w:color w:val="auto"/>
        </w:rPr>
        <w:t>Section 4.07</w:t>
      </w:r>
      <w:r>
        <w:rPr>
          <w:rFonts w:ascii="Times New Roman" w:cs="Times New Roman" w:eastAsia="Times New Roman" w:hAnsi="Times New Roman"/>
          <w:sz w:val="15"/>
          <w:szCs w:val="15"/>
          <w:color w:val="auto"/>
        </w:rPr>
        <w:t xml:space="preserve"> (Absence of Certain Changes or Events) shall be true and correct in all respects, (ii) the representations and warranties of the Company set forth in </w:t>
      </w:r>
      <w:r>
        <w:rPr>
          <w:rFonts w:ascii="Times New Roman" w:cs="Times New Roman" w:eastAsia="Times New Roman" w:hAnsi="Times New Roman"/>
          <w:sz w:val="15"/>
          <w:szCs w:val="15"/>
          <w:u w:val="single" w:color="auto"/>
          <w:color w:val="auto"/>
        </w:rPr>
        <w:t>Section 4.01(a)</w:t>
      </w:r>
      <w:r>
        <w:rPr>
          <w:rFonts w:ascii="Times New Roman" w:cs="Times New Roman" w:eastAsia="Times New Roman" w:hAnsi="Times New Roman"/>
          <w:sz w:val="15"/>
          <w:szCs w:val="15"/>
          <w:color w:val="auto"/>
        </w:rPr>
        <w:t xml:space="preserve"> (Organization and Qualification; Subsidiaries) (only as it relates to the Company), </w:t>
      </w:r>
      <w:r>
        <w:rPr>
          <w:rFonts w:ascii="Times New Roman" w:cs="Times New Roman" w:eastAsia="Times New Roman" w:hAnsi="Times New Roman"/>
          <w:sz w:val="15"/>
          <w:szCs w:val="15"/>
          <w:u w:val="single" w:color="auto"/>
          <w:color w:val="auto"/>
        </w:rPr>
        <w:t>Section 4.02</w:t>
      </w:r>
      <w:r>
        <w:rPr>
          <w:rFonts w:ascii="Times New Roman" w:cs="Times New Roman" w:eastAsia="Times New Roman" w:hAnsi="Times New Roman"/>
          <w:sz w:val="15"/>
          <w:szCs w:val="15"/>
          <w:color w:val="auto"/>
        </w:rPr>
        <w:t xml:space="preserve"> (Capitalization) (except with respect to </w:t>
      </w:r>
      <w:r>
        <w:rPr>
          <w:rFonts w:ascii="Times New Roman" w:cs="Times New Roman" w:eastAsia="Times New Roman" w:hAnsi="Times New Roman"/>
          <w:sz w:val="15"/>
          <w:szCs w:val="15"/>
          <w:u w:val="single" w:color="auto"/>
          <w:color w:val="auto"/>
        </w:rPr>
        <w:t>Section 4.02(b)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4.02(e)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4.03</w:t>
      </w:r>
      <w:r>
        <w:rPr>
          <w:rFonts w:ascii="Times New Roman" w:cs="Times New Roman" w:eastAsia="Times New Roman" w:hAnsi="Times New Roman"/>
          <w:sz w:val="15"/>
          <w:szCs w:val="15"/>
          <w:color w:val="auto"/>
        </w:rPr>
        <w:t xml:space="preserve"> (Authority Relative to This Agreement) (except with respect to </w:t>
      </w:r>
      <w:r>
        <w:rPr>
          <w:rFonts w:ascii="Times New Roman" w:cs="Times New Roman" w:eastAsia="Times New Roman" w:hAnsi="Times New Roman"/>
          <w:sz w:val="15"/>
          <w:szCs w:val="15"/>
          <w:u w:val="single" w:color="auto"/>
          <w:color w:val="auto"/>
        </w:rPr>
        <w:t>Section 4.03(d)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4.03(e)</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4.17</w:t>
      </w:r>
      <w:r>
        <w:rPr>
          <w:rFonts w:ascii="Times New Roman" w:cs="Times New Roman" w:eastAsia="Times New Roman" w:hAnsi="Times New Roman"/>
          <w:sz w:val="15"/>
          <w:szCs w:val="15"/>
          <w:color w:val="auto"/>
        </w:rPr>
        <w:t xml:space="preserve"> (Brokers) shall be true and correct in all material respects and</w:t>
      </w:r>
    </w:p>
    <w:p>
      <w:pPr>
        <w:spacing w:after="0" w:line="3"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other representations and warranties of the Company set forth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shall be true and correct (without giving effect to any “material”,</w:t>
      </w:r>
    </w:p>
    <w:p>
      <w:pPr>
        <w:spacing w:after="0" w:line="6" w:lineRule="exact"/>
        <w:rPr>
          <w:rFonts w:ascii="Times New Roman" w:cs="Times New Roman" w:eastAsia="Times New Roman" w:hAnsi="Times New Roman"/>
          <w:sz w:val="16"/>
          <w:szCs w:val="16"/>
          <w:color w:val="auto"/>
        </w:rPr>
      </w:pPr>
    </w:p>
    <w:p>
      <w:pPr>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“materiality” or “Company Material Adverse Effect” qualification contained therein) except where the failure of any such representations and warranties to be so true and correct has not had, and would not reasonably be expected to have, individually or in the aggregate, a Company Material Adverse Effect.</w:t>
      </w:r>
    </w:p>
    <w:p>
      <w:pPr>
        <w:spacing w:after="0" w:line="165" w:lineRule="exact"/>
        <w:rPr>
          <w:rFonts w:ascii="Times New Roman" w:cs="Times New Roman" w:eastAsia="Times New Roman" w:hAnsi="Times New Roman"/>
          <w:sz w:val="16"/>
          <w:szCs w:val="16"/>
          <w:color w:val="auto"/>
        </w:rPr>
      </w:pPr>
    </w:p>
    <w:p>
      <w:pPr>
        <w:ind w:right="40" w:firstLine="883"/>
        <w:spacing w:after="0" w:line="278" w:lineRule="auto"/>
        <w:tabs>
          <w:tab w:leader="none" w:pos="1098"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Agreements and Covenants</w:t>
      </w:r>
      <w:r>
        <w:rPr>
          <w:rFonts w:ascii="Times New Roman" w:cs="Times New Roman" w:eastAsia="Times New Roman" w:hAnsi="Times New Roman"/>
          <w:sz w:val="16"/>
          <w:szCs w:val="16"/>
          <w:color w:val="auto"/>
        </w:rPr>
        <w:t>. The Company shall have performed or complied, in each case, in all material respects with the agreements and covenants required by this Agreement to be performed by it or complied with at or prior to the Effective Time.</w:t>
      </w:r>
    </w:p>
    <w:p>
      <w:pPr>
        <w:spacing w:after="0" w:line="144" w:lineRule="exact"/>
        <w:rPr>
          <w:rFonts w:ascii="Times New Roman" w:cs="Times New Roman" w:eastAsia="Times New Roman" w:hAnsi="Times New Roman"/>
          <w:sz w:val="16"/>
          <w:szCs w:val="16"/>
          <w:color w:val="auto"/>
        </w:rPr>
      </w:pPr>
    </w:p>
    <w:p>
      <w:pPr>
        <w:ind w:right="140" w:firstLine="883"/>
        <w:spacing w:after="0" w:line="313" w:lineRule="auto"/>
        <w:tabs>
          <w:tab w:leader="none" w:pos="1089" w:val="left"/>
        </w:tabs>
        <w:numPr>
          <w:ilvl w:val="1"/>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 xml:space="preserve">. The Company shall have delivered to Parent a certificate, dated the Closing Date, signed by the Chief Executive Officer or Chief Financial Officer of the Company, certifying as to the satisfaction of the conditions specified in </w:t>
      </w:r>
      <w:r>
        <w:rPr>
          <w:rFonts w:ascii="Times New Roman" w:cs="Times New Roman" w:eastAsia="Times New Roman" w:hAnsi="Times New Roman"/>
          <w:sz w:val="15"/>
          <w:szCs w:val="15"/>
          <w:u w:val="single" w:color="auto"/>
          <w:color w:val="auto"/>
        </w:rPr>
        <w:t>Section 8.02(a)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8.02(b)</w:t>
      </w:r>
      <w:r>
        <w:rPr>
          <w:rFonts w:ascii="Times New Roman" w:cs="Times New Roman" w:eastAsia="Times New Roman" w:hAnsi="Times New Roman"/>
          <w:sz w:val="15"/>
          <w:szCs w:val="15"/>
          <w:color w:val="auto"/>
        </w:rPr>
        <w:t>.</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9720"/>
          </w:cols>
          <w:pgMar w:left="1080" w:top="254" w:right="1099" w:bottom="1440" w:gutter="0" w:footer="0" w:header="0"/>
        </w:sectPr>
      </w:pPr>
    </w:p>
    <w:bookmarkStart w:id="105" w:name="page106"/>
    <w:bookmarkEnd w:id="105"/>
    <w:p>
      <w:pPr>
        <w:ind w:right="20" w:firstLine="883"/>
        <w:spacing w:after="0" w:line="258" w:lineRule="auto"/>
        <w:tabs>
          <w:tab w:leader="none" w:pos="109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Restrictions</w:t>
      </w:r>
      <w:r>
        <w:rPr>
          <w:rFonts w:ascii="Times New Roman" w:cs="Times New Roman" w:eastAsia="Times New Roman" w:hAnsi="Times New Roman"/>
          <w:sz w:val="16"/>
          <w:szCs w:val="16"/>
          <w:color w:val="auto"/>
        </w:rPr>
        <w:t>. No Restraint shall be in effect, in each case, under any Antitrust Law which imposes any remedies on Parent and its Subsidiaries (including First Merger Sub and Second Merger Sub and, after the Effective Time, the Surviving Corporation and its Subsidiaries and, after the Second Effective Time, the Surviving Entity and its Subsidiaries), (a) other than Permitted Restrictions or (b) unless such Restraint is part of an agreement between Parent and its Subsidiaries and a Governmental Authority.</w:t>
      </w:r>
    </w:p>
    <w:p>
      <w:pPr>
        <w:spacing w:after="0" w:line="160" w:lineRule="exact"/>
        <w:rPr>
          <w:rFonts w:ascii="Times New Roman" w:cs="Times New Roman" w:eastAsia="Times New Roman" w:hAnsi="Times New Roman"/>
          <w:sz w:val="16"/>
          <w:szCs w:val="16"/>
          <w:color w:val="auto"/>
        </w:rPr>
      </w:pPr>
    </w:p>
    <w:p>
      <w:pPr>
        <w:ind w:right="400" w:firstLine="883"/>
        <w:spacing w:after="0" w:line="278" w:lineRule="auto"/>
        <w:tabs>
          <w:tab w:leader="none" w:pos="108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Agreements</w:t>
      </w:r>
      <w:r>
        <w:rPr>
          <w:rFonts w:ascii="Times New Roman" w:cs="Times New Roman" w:eastAsia="Times New Roman" w:hAnsi="Times New Roman"/>
          <w:sz w:val="16"/>
          <w:szCs w:val="16"/>
          <w:color w:val="auto"/>
        </w:rPr>
        <w:t>. The Selling Investors shall have duly executed and delivered, or caused to be delivered, to Parent, First Merger Sub or Second Merger Sub the Selling Investor Support Agreement and the Drag-Along Consent.</w:t>
      </w:r>
    </w:p>
    <w:p>
      <w:pPr>
        <w:spacing w:after="0" w:line="145" w:lineRule="exact"/>
        <w:rPr>
          <w:sz w:val="20"/>
          <w:szCs w:val="20"/>
          <w:color w:val="auto"/>
        </w:rPr>
      </w:pPr>
    </w:p>
    <w:p>
      <w:pPr>
        <w:ind w:firstLine="874"/>
        <w:spacing w:after="0" w:line="278"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u w:val="single" w:color="auto"/>
          <w:color w:val="auto"/>
        </w:rPr>
        <w:t>Conditions to the Obligations of the Company</w:t>
      </w:r>
      <w:r>
        <w:rPr>
          <w:rFonts w:ascii="Times New Roman" w:cs="Times New Roman" w:eastAsia="Times New Roman" w:hAnsi="Times New Roman"/>
          <w:sz w:val="16"/>
          <w:szCs w:val="16"/>
          <w:color w:val="auto"/>
        </w:rPr>
        <w:t>. The obligations of the Company to consummate the Mergers are subject to the satisfaction or waiver (where permissible under applicable Law) at or prior to the Effective Time of the following additional conditions:</w:t>
      </w:r>
    </w:p>
    <w:p>
      <w:pPr>
        <w:spacing w:after="0" w:line="145" w:lineRule="exact"/>
        <w:rPr>
          <w:sz w:val="20"/>
          <w:szCs w:val="20"/>
          <w:color w:val="auto"/>
        </w:rPr>
      </w:pPr>
    </w:p>
    <w:p>
      <w:pPr>
        <w:ind w:firstLine="883"/>
        <w:spacing w:after="0" w:line="252" w:lineRule="auto"/>
        <w:tabs>
          <w:tab w:leader="none" w:pos="108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In each case as of the date of this Agreement and as of the Closing Date, except to the extent any such representations and warranties expressly relate to an earlier date, in which case as of such earlier date, (i) the representations and warranties of Parent, First Merger Sub and Second Merger Sub set forth in S</w:t>
      </w:r>
      <w:r>
        <w:rPr>
          <w:rFonts w:ascii="Times New Roman" w:cs="Times New Roman" w:eastAsia="Times New Roman" w:hAnsi="Times New Roman"/>
          <w:sz w:val="16"/>
          <w:szCs w:val="16"/>
          <w:u w:val="single" w:color="auto"/>
          <w:color w:val="auto"/>
        </w:rPr>
        <w:t>ection 5.09(e)(i)</w:t>
      </w:r>
      <w:r>
        <w:rPr>
          <w:rFonts w:ascii="Times New Roman" w:cs="Times New Roman" w:eastAsia="Times New Roman" w:hAnsi="Times New Roman"/>
          <w:sz w:val="16"/>
          <w:szCs w:val="16"/>
          <w:color w:val="auto"/>
        </w:rPr>
        <w:t xml:space="preserve"> (Absence of Changes) shall be true and correct in all respects, (ii) the representations and warranties of Parent, First Merger Sub and Second Merger Sub set forth in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xml:space="preserve"> (Corporate Organization),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(Capitalization) and </w:t>
      </w:r>
      <w:r>
        <w:rPr>
          <w:rFonts w:ascii="Times New Roman" w:cs="Times New Roman" w:eastAsia="Times New Roman" w:hAnsi="Times New Roman"/>
          <w:sz w:val="16"/>
          <w:szCs w:val="16"/>
          <w:u w:val="single" w:color="auto"/>
          <w:color w:val="auto"/>
        </w:rPr>
        <w:t>Section 5.04</w:t>
      </w:r>
      <w:r>
        <w:rPr>
          <w:rFonts w:ascii="Times New Roman" w:cs="Times New Roman" w:eastAsia="Times New Roman" w:hAnsi="Times New Roman"/>
          <w:sz w:val="16"/>
          <w:szCs w:val="16"/>
          <w:color w:val="auto"/>
        </w:rPr>
        <w:t xml:space="preserve"> (Authority Relative to This Agreement; No Vote Required) shall be true and correct in all material respects and (iii) the other representations and warranties of Parent, First Merger Sub and Second Merger Sub set forth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be true and correct (without giving effect to any “material”, “materiality” or “Parent Material Adverse Effect” qualification contained therein) except where the failure of any such representations and warranties to be so true and correct has not had, and would not reasonably be expected to have, individually or in the aggregate, a Parent Material Adverse Effect.</w:t>
      </w:r>
    </w:p>
    <w:p>
      <w:pPr>
        <w:spacing w:after="0" w:line="165" w:lineRule="exact"/>
        <w:rPr>
          <w:rFonts w:ascii="Times New Roman" w:cs="Times New Roman" w:eastAsia="Times New Roman" w:hAnsi="Times New Roman"/>
          <w:sz w:val="16"/>
          <w:szCs w:val="16"/>
          <w:color w:val="auto"/>
        </w:rPr>
      </w:pPr>
    </w:p>
    <w:p>
      <w:pPr>
        <w:jc w:val="both"/>
        <w:ind w:right="160" w:firstLine="883"/>
        <w:spacing w:after="0" w:line="263" w:lineRule="auto"/>
        <w:tabs>
          <w:tab w:leader="none" w:pos="109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Agreements and Covenants</w:t>
      </w:r>
      <w:r>
        <w:rPr>
          <w:rFonts w:ascii="Times New Roman" w:cs="Times New Roman" w:eastAsia="Times New Roman" w:hAnsi="Times New Roman"/>
          <w:sz w:val="16"/>
          <w:szCs w:val="16"/>
          <w:color w:val="auto"/>
        </w:rPr>
        <w:t>. Parent, First Merger Sub and Second Merger Sub shall have performed or complied, in each case, in all material respects with the agreements and covenants required by this Agreement to be performed by them or complied with at or prior to the Effective Time.</w:t>
      </w:r>
    </w:p>
    <w:p>
      <w:pPr>
        <w:spacing w:after="0" w:line="156" w:lineRule="exact"/>
        <w:rPr>
          <w:rFonts w:ascii="Times New Roman" w:cs="Times New Roman" w:eastAsia="Times New Roman" w:hAnsi="Times New Roman"/>
          <w:sz w:val="16"/>
          <w:szCs w:val="16"/>
          <w:color w:val="auto"/>
        </w:rPr>
      </w:pPr>
    </w:p>
    <w:p>
      <w:pPr>
        <w:ind w:right="180" w:firstLine="883"/>
        <w:spacing w:after="0" w:line="313" w:lineRule="auto"/>
        <w:tabs>
          <w:tab w:leader="none" w:pos="1089"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 xml:space="preserve">. Parent shall have delivered to the Company a certificate, dated the Closing Date, signed by the Chief Executive Officer or Chief Financial Officer of Parent, certifying as to the satisfaction of the conditions specified in </w:t>
      </w:r>
      <w:r>
        <w:rPr>
          <w:rFonts w:ascii="Times New Roman" w:cs="Times New Roman" w:eastAsia="Times New Roman" w:hAnsi="Times New Roman"/>
          <w:sz w:val="15"/>
          <w:szCs w:val="15"/>
          <w:u w:val="single" w:color="auto"/>
          <w:color w:val="auto"/>
        </w:rPr>
        <w:t>Section 8.03(a)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8.03(b)</w:t>
      </w:r>
      <w:r>
        <w:rPr>
          <w:rFonts w:ascii="Times New Roman" w:cs="Times New Roman" w:eastAsia="Times New Roman" w:hAnsi="Times New Roman"/>
          <w:sz w:val="15"/>
          <w:szCs w:val="15"/>
          <w:color w:val="auto"/>
        </w:rPr>
        <w:t>.</w:t>
      </w:r>
    </w:p>
    <w:p>
      <w:pPr>
        <w:spacing w:after="0" w:line="121" w:lineRule="exact"/>
        <w:rPr>
          <w:rFonts w:ascii="Times New Roman" w:cs="Times New Roman" w:eastAsia="Times New Roman" w:hAnsi="Times New Roman"/>
          <w:sz w:val="15"/>
          <w:szCs w:val="15"/>
          <w:color w:val="auto"/>
        </w:rPr>
      </w:pPr>
    </w:p>
    <w:p>
      <w:pPr>
        <w:ind w:left="1100" w:hanging="217"/>
        <w:spacing w:after="0"/>
        <w:tabs>
          <w:tab w:leader="none" w:pos="11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CVR Agreement</w:t>
      </w:r>
      <w:r>
        <w:rPr>
          <w:rFonts w:ascii="Times New Roman" w:cs="Times New Roman" w:eastAsia="Times New Roman" w:hAnsi="Times New Roman"/>
          <w:sz w:val="16"/>
          <w:szCs w:val="16"/>
          <w:color w:val="auto"/>
        </w:rPr>
        <w:t>. The CVR Agreement shall be in full force and effect at or prior to the Effective Time.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9700"/>
          </w:cols>
          <w:pgMar w:left="1080" w:top="254" w:right="111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IX</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TERMINATION, AMENDMENT AND WAIVER</w:t>
      </w:r>
    </w:p>
    <w:p>
      <w:pPr>
        <w:spacing w:after="0" w:line="199" w:lineRule="exact"/>
        <w:rPr>
          <w:sz w:val="20"/>
          <w:szCs w:val="20"/>
          <w:color w:val="auto"/>
        </w:rPr>
      </w:pPr>
    </w:p>
    <w:p>
      <w:pPr>
        <w:ind w:right="100" w:firstLine="874"/>
        <w:spacing w:after="0" w:line="278"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and the transactions contemplated by this Agreement may be abandoned at any time prior to the Effective Time, as follows:</w:t>
      </w:r>
    </w:p>
    <w:p>
      <w:pPr>
        <w:spacing w:after="0" w:line="50" w:lineRule="exact"/>
        <w:rPr>
          <w:sz w:val="20"/>
          <w:szCs w:val="20"/>
          <w:color w:val="auto"/>
        </w:rPr>
      </w:pPr>
    </w:p>
    <w:p>
      <w:pPr>
        <w:ind w:left="1100" w:hanging="217"/>
        <w:spacing w:after="0"/>
        <w:tabs>
          <w:tab w:leader="none" w:pos="11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Parent and the Company, duly authorized by the Parent Board and the Company Board, respectively; or</w:t>
      </w:r>
    </w:p>
    <w:p>
      <w:pPr>
        <w:spacing w:after="0" w:line="101"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Parent or the Company if:</w:t>
      </w:r>
    </w:p>
    <w:p>
      <w:pPr>
        <w:spacing w:after="0" w:line="196" w:lineRule="exact"/>
        <w:rPr>
          <w:rFonts w:ascii="Times New Roman" w:cs="Times New Roman" w:eastAsia="Times New Roman" w:hAnsi="Times New Roman"/>
          <w:sz w:val="16"/>
          <w:szCs w:val="16"/>
          <w:color w:val="auto"/>
        </w:rPr>
      </w:pPr>
    </w:p>
    <w:p>
      <w:pPr>
        <w:ind w:left="880" w:firstLine="356"/>
        <w:spacing w:after="0" w:line="253" w:lineRule="auto"/>
        <w:tabs>
          <w:tab w:leader="none" w:pos="1423"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Effective Time shall not have occurred on or before 11:59 p.m., Eastern time, on the Outside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if on the Outside Date all of the conditions set forth in </w:t>
      </w:r>
      <w:r>
        <w:rPr>
          <w:rFonts w:ascii="Times New Roman" w:cs="Times New Roman" w:eastAsia="Times New Roman" w:hAnsi="Times New Roman"/>
          <w:sz w:val="16"/>
          <w:szCs w:val="16"/>
          <w:u w:val="single" w:color="auto"/>
          <w:color w:val="auto"/>
        </w:rPr>
        <w:t>Section 8.01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8.03</w:t>
      </w:r>
      <w:r>
        <w:rPr>
          <w:rFonts w:ascii="Times New Roman" w:cs="Times New Roman" w:eastAsia="Times New Roman" w:hAnsi="Times New Roman"/>
          <w:sz w:val="16"/>
          <w:szCs w:val="16"/>
          <w:color w:val="auto"/>
        </w:rPr>
        <w:t xml:space="preserve"> have been satisfied (or, with respect to the conditions that by their terms must be satisfied at the Closing, would have been so satisfied if the Closing would have occurred) other than the conditions set forth in </w:t>
      </w:r>
      <w:r>
        <w:rPr>
          <w:rFonts w:ascii="Times New Roman" w:cs="Times New Roman" w:eastAsia="Times New Roman" w:hAnsi="Times New Roman"/>
          <w:sz w:val="16"/>
          <w:szCs w:val="16"/>
          <w:u w:val="single" w:color="auto"/>
          <w:color w:val="auto"/>
        </w:rPr>
        <w:t>Section 8.01(c)</w:t>
      </w:r>
      <w:r>
        <w:rPr>
          <w:rFonts w:ascii="Times New Roman" w:cs="Times New Roman" w:eastAsia="Times New Roman" w:hAnsi="Times New Roman"/>
          <w:sz w:val="16"/>
          <w:szCs w:val="16"/>
          <w:color w:val="auto"/>
        </w:rPr>
        <w:t xml:space="preserve"> (to the extent such Restraint arises under the HSR Act or any other Antitrust Laws),</w:t>
      </w:r>
    </w:p>
    <w:p>
      <w:pPr>
        <w:spacing w:after="0" w:line="2" w:lineRule="exact"/>
        <w:rPr>
          <w:rFonts w:ascii="Times New Roman" w:cs="Times New Roman" w:eastAsia="Times New Roman" w:hAnsi="Times New Roman"/>
          <w:sz w:val="16"/>
          <w:szCs w:val="16"/>
          <w:color w:val="auto"/>
        </w:rPr>
      </w:pPr>
    </w:p>
    <w:p>
      <w:pPr>
        <w:ind w:left="880" w:right="6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8.01(d)</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8.02(d)</w:t>
      </w:r>
      <w:r>
        <w:rPr>
          <w:rFonts w:ascii="Times New Roman" w:cs="Times New Roman" w:eastAsia="Times New Roman" w:hAnsi="Times New Roman"/>
          <w:sz w:val="16"/>
          <w:szCs w:val="16"/>
          <w:color w:val="auto"/>
        </w:rPr>
        <w:t xml:space="preserve">, then either Parent or the Company may extend the Outside Date to 11:59 p.m., Eastern time, on December 20, 2021 by delivering written notice to the other party, which notice shall expressly reference extension of the Outside Date to December 20, 2021 pursuant to this </w:t>
      </w:r>
      <w:r>
        <w:rPr>
          <w:rFonts w:ascii="Times New Roman" w:cs="Times New Roman" w:eastAsia="Times New Roman" w:hAnsi="Times New Roman"/>
          <w:sz w:val="16"/>
          <w:szCs w:val="16"/>
          <w:u w:val="single" w:color="auto"/>
          <w:color w:val="auto"/>
        </w:rPr>
        <w:t>Section 9.01(b)(i)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right to terminate this Agreement under this</w:t>
      </w:r>
    </w:p>
    <w:p>
      <w:pPr>
        <w:ind w:left="880" w:right="6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9.01(b)(i)</w:t>
      </w:r>
      <w:r>
        <w:rPr>
          <w:rFonts w:ascii="Times New Roman" w:cs="Times New Roman" w:eastAsia="Times New Roman" w:hAnsi="Times New Roman"/>
          <w:sz w:val="16"/>
          <w:szCs w:val="16"/>
          <w:color w:val="auto"/>
        </w:rPr>
        <w:t xml:space="preserve"> shall not be available to any party whose breach of any provision of this Agreement has been the proximate cause of, or resulted in, the failure of the Effective Time to occur on or before such time; or</w:t>
      </w:r>
    </w:p>
    <w:p>
      <w:pPr>
        <w:spacing w:after="0" w:line="161" w:lineRule="exact"/>
        <w:rPr>
          <w:rFonts w:ascii="Times New Roman" w:cs="Times New Roman" w:eastAsia="Times New Roman" w:hAnsi="Times New Roman"/>
          <w:sz w:val="16"/>
          <w:szCs w:val="16"/>
          <w:color w:val="auto"/>
        </w:rPr>
      </w:pPr>
    </w:p>
    <w:p>
      <w:pPr>
        <w:ind w:left="880" w:right="20" w:firstLine="356"/>
        <w:spacing w:after="0" w:line="258" w:lineRule="auto"/>
        <w:tabs>
          <w:tab w:leader="none" w:pos="1467"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Restraint having the effect set forth in </w:t>
      </w:r>
      <w:r>
        <w:rPr>
          <w:rFonts w:ascii="Times New Roman" w:cs="Times New Roman" w:eastAsia="Times New Roman" w:hAnsi="Times New Roman"/>
          <w:sz w:val="16"/>
          <w:szCs w:val="16"/>
          <w:u w:val="single" w:color="auto"/>
          <w:color w:val="auto"/>
        </w:rPr>
        <w:t>Section 8.01(c)</w:t>
      </w:r>
      <w:r>
        <w:rPr>
          <w:rFonts w:ascii="Times New Roman" w:cs="Times New Roman" w:eastAsia="Times New Roman" w:hAnsi="Times New Roman"/>
          <w:sz w:val="16"/>
          <w:szCs w:val="16"/>
          <w:color w:val="auto"/>
        </w:rPr>
        <w:t xml:space="preserve"> hereof shall have become final and nonappealable;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party seeking to terminate this Agreement shall have complied in all material respects with its obligations under </w:t>
      </w:r>
      <w:r>
        <w:rPr>
          <w:rFonts w:ascii="Times New Roman" w:cs="Times New Roman" w:eastAsia="Times New Roman" w:hAnsi="Times New Roman"/>
          <w:sz w:val="16"/>
          <w:szCs w:val="16"/>
          <w:u w:val="single" w:color="auto"/>
          <w:color w:val="auto"/>
        </w:rPr>
        <w:t>Section 7.07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 Initial Enforcement Order made by the Competition and Markets Authority pursuant to section 72(2) of the UK Enterprise Act 2002 is not considered a Restraint for the purposes of this </w:t>
      </w:r>
      <w:r>
        <w:rPr>
          <w:rFonts w:ascii="Times New Roman" w:cs="Times New Roman" w:eastAsia="Times New Roman" w:hAnsi="Times New Roman"/>
          <w:sz w:val="16"/>
          <w:szCs w:val="16"/>
          <w:u w:val="single" w:color="auto"/>
          <w:color w:val="auto"/>
        </w:rPr>
        <w:t>clause 9.01(b)(ii)</w:t>
      </w:r>
      <w:r>
        <w:rPr>
          <w:rFonts w:ascii="Times New Roman" w:cs="Times New Roman" w:eastAsia="Times New Roman" w:hAnsi="Times New Roman"/>
          <w:sz w:val="16"/>
          <w:szCs w:val="16"/>
          <w:color w:val="auto"/>
        </w:rPr>
        <w:t>; or</w:t>
      </w:r>
    </w:p>
    <w:p>
      <w:pPr>
        <w:spacing w:after="0" w:line="65"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Parent:</w:t>
      </w:r>
    </w:p>
    <w:p>
      <w:pPr>
        <w:spacing w:after="0" w:line="101" w:lineRule="exact"/>
        <w:rPr>
          <w:rFonts w:ascii="Times New Roman" w:cs="Times New Roman" w:eastAsia="Times New Roman" w:hAnsi="Times New Roman"/>
          <w:sz w:val="16"/>
          <w:szCs w:val="16"/>
          <w:color w:val="auto"/>
        </w:rPr>
      </w:pPr>
    </w:p>
    <w:p>
      <w:pPr>
        <w:ind w:left="880" w:right="40" w:firstLine="356"/>
        <w:spacing w:after="0" w:line="255" w:lineRule="auto"/>
        <w:tabs>
          <w:tab w:leader="none" w:pos="1423"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a breach by the Company of, or failure by the Company to perform, any representation, warranty, covenant or agreement set forth in this Agreement such that the conditions set forth in </w:t>
      </w:r>
      <w:r>
        <w:rPr>
          <w:rFonts w:ascii="Times New Roman" w:cs="Times New Roman" w:eastAsia="Times New Roman" w:hAnsi="Times New Roman"/>
          <w:sz w:val="16"/>
          <w:szCs w:val="16"/>
          <w:u w:val="single" w:color="auto"/>
          <w:color w:val="auto"/>
        </w:rPr>
        <w:t>Section 8.02(a)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8.02(b)</w:t>
      </w:r>
      <w:r>
        <w:rPr>
          <w:rFonts w:ascii="Times New Roman" w:cs="Times New Roman" w:eastAsia="Times New Roman" w:hAnsi="Times New Roman"/>
          <w:sz w:val="16"/>
          <w:szCs w:val="16"/>
          <w:color w:val="auto"/>
        </w:rPr>
        <w:t xml:space="preserve"> would not be satisfied and such breach or failure is incapable of being cured by the Outside Date or, if curable by the Outside Date, is not cured by the Company within thirty</w:t>
      </w:r>
    </w:p>
    <w:p>
      <w:pPr>
        <w:spacing w:after="0" w:line="1" w:lineRule="exact"/>
        <w:rPr>
          <w:rFonts w:ascii="Times New Roman" w:cs="Times New Roman" w:eastAsia="Times New Roman" w:hAnsi="Times New Roman"/>
          <w:sz w:val="16"/>
          <w:szCs w:val="16"/>
          <w:color w:val="auto"/>
        </w:rPr>
      </w:pPr>
    </w:p>
    <w:p>
      <w:pPr>
        <w:jc w:val="both"/>
        <w:ind w:left="880" w:right="1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(30) days of receipt by the Company of written notice of such breach or failure;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Parent shall not have the right to terminate this Agreement pursuant to this </w:t>
      </w:r>
      <w:r>
        <w:rPr>
          <w:rFonts w:ascii="Times New Roman" w:cs="Times New Roman" w:eastAsia="Times New Roman" w:hAnsi="Times New Roman"/>
          <w:sz w:val="16"/>
          <w:szCs w:val="16"/>
          <w:u w:val="single" w:color="auto"/>
          <w:color w:val="auto"/>
        </w:rPr>
        <w:t>Section 9.01(c)(i)</w:t>
      </w:r>
      <w:r>
        <w:rPr>
          <w:rFonts w:ascii="Times New Roman" w:cs="Times New Roman" w:eastAsia="Times New Roman" w:hAnsi="Times New Roman"/>
          <w:sz w:val="16"/>
          <w:szCs w:val="16"/>
          <w:color w:val="auto"/>
        </w:rPr>
        <w:t xml:space="preserve"> if either of Parent, First Merger Sub or Second Merger Sub is in breach of its representations, warranties or covenants such that the conditions in </w:t>
      </w:r>
      <w:r>
        <w:rPr>
          <w:rFonts w:ascii="Times New Roman" w:cs="Times New Roman" w:eastAsia="Times New Roman" w:hAnsi="Times New Roman"/>
          <w:sz w:val="16"/>
          <w:szCs w:val="16"/>
          <w:u w:val="single" w:color="auto"/>
          <w:color w:val="auto"/>
        </w:rPr>
        <w:t>Section 8.03(a)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8.03(b)</w:t>
      </w:r>
      <w:r>
        <w:rPr>
          <w:rFonts w:ascii="Times New Roman" w:cs="Times New Roman" w:eastAsia="Times New Roman" w:hAnsi="Times New Roman"/>
          <w:sz w:val="16"/>
          <w:szCs w:val="16"/>
          <w:color w:val="auto"/>
        </w:rPr>
        <w:t xml:space="preserve"> would not be satisfied;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9700"/>
          </w:cols>
          <w:pgMar w:left="1080" w:top="252" w:right="1119" w:bottom="1440" w:gutter="0" w:footer="0" w:header="0"/>
        </w:sectPr>
      </w:pPr>
    </w:p>
    <w:bookmarkStart w:id="107" w:name="page108"/>
    <w:bookmarkEnd w:id="107"/>
    <w:p>
      <w:pPr>
        <w:ind w:left="880" w:right="160" w:firstLine="356"/>
        <w:spacing w:after="0" w:line="258" w:lineRule="auto"/>
        <w:tabs>
          <w:tab w:leader="none" w:pos="1467"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If any Restraint having the effect set forth in </w:t>
      </w:r>
      <w:r>
        <w:rPr>
          <w:rFonts w:ascii="Times New Roman" w:cs="Times New Roman" w:eastAsia="Times New Roman" w:hAnsi="Times New Roman"/>
          <w:sz w:val="16"/>
          <w:szCs w:val="16"/>
          <w:u w:val="single" w:color="auto"/>
          <w:color w:val="auto"/>
        </w:rPr>
        <w:t>Section 8.02(d)</w:t>
      </w:r>
      <w:r>
        <w:rPr>
          <w:rFonts w:ascii="Times New Roman" w:cs="Times New Roman" w:eastAsia="Times New Roman" w:hAnsi="Times New Roman"/>
          <w:sz w:val="16"/>
          <w:szCs w:val="16"/>
          <w:color w:val="auto"/>
        </w:rPr>
        <w:t xml:space="preserve"> hereof shall have become final and nonappealable;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Parent shall have complied in all material respects with its obligations under </w:t>
      </w:r>
      <w:r>
        <w:rPr>
          <w:rFonts w:ascii="Times New Roman" w:cs="Times New Roman" w:eastAsia="Times New Roman" w:hAnsi="Times New Roman"/>
          <w:sz w:val="16"/>
          <w:szCs w:val="16"/>
          <w:u w:val="single" w:color="auto"/>
          <w:color w:val="auto"/>
        </w:rPr>
        <w:t>Section 7.07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an Initial Enforcement Order made by the Competition and Markets Authority pursuant to section 72(2) of the UK Enterprise Act 2002 is not considered a Restraint for the purposes of this </w:t>
      </w:r>
      <w:r>
        <w:rPr>
          <w:rFonts w:ascii="Times New Roman" w:cs="Times New Roman" w:eastAsia="Times New Roman" w:hAnsi="Times New Roman"/>
          <w:sz w:val="16"/>
          <w:szCs w:val="16"/>
          <w:u w:val="single" w:color="auto"/>
          <w:color w:val="auto"/>
        </w:rPr>
        <w:t>clause 9.01(c)(ii)</w:t>
      </w:r>
      <w:r>
        <w:rPr>
          <w:rFonts w:ascii="Times New Roman" w:cs="Times New Roman" w:eastAsia="Times New Roman" w:hAnsi="Times New Roman"/>
          <w:sz w:val="16"/>
          <w:szCs w:val="16"/>
          <w:color w:val="auto"/>
        </w:rPr>
        <w:t>;</w:t>
      </w:r>
    </w:p>
    <w:p>
      <w:pPr>
        <w:spacing w:after="0" w:line="65" w:lineRule="exact"/>
        <w:rPr>
          <w:rFonts w:ascii="Times New Roman" w:cs="Times New Roman" w:eastAsia="Times New Roman" w:hAnsi="Times New Roman"/>
          <w:sz w:val="16"/>
          <w:szCs w:val="16"/>
          <w:color w:val="auto"/>
        </w:rPr>
      </w:pPr>
    </w:p>
    <w:p>
      <w:pPr>
        <w:ind w:left="880" w:right="160" w:firstLine="356"/>
        <w:spacing w:after="0" w:line="263" w:lineRule="auto"/>
        <w:tabs>
          <w:tab w:leader="none" w:pos="151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Selling Investors fail to duly execute and deliver, or cause to be delivered, to Parent, First Merger Sub or Second Merger Sub the Selling Investor Support Agreement and the Drag-Along Consent within 24 hours following the execution and delivery of this Agreement; or</w:t>
      </w:r>
    </w:p>
    <w:p>
      <w:pPr>
        <w:spacing w:after="0" w:line="156" w:lineRule="exact"/>
        <w:rPr>
          <w:rFonts w:ascii="Times New Roman" w:cs="Times New Roman" w:eastAsia="Times New Roman" w:hAnsi="Times New Roman"/>
          <w:sz w:val="16"/>
          <w:szCs w:val="16"/>
          <w:color w:val="auto"/>
        </w:rPr>
      </w:pPr>
    </w:p>
    <w:p>
      <w:pPr>
        <w:ind w:firstLine="883"/>
        <w:spacing w:after="0" w:line="253" w:lineRule="auto"/>
        <w:tabs>
          <w:tab w:leader="none" w:pos="1098"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upon a breach by any of Parent, First Merger Sub or Second Merger Sub of, or a failure by any of Parent, First Merger Sub or Second Merger Sub to perform, any representation, warranty, covenant or agreement set forth in this Agreement such that the conditions set forth in </w:t>
      </w:r>
      <w:r>
        <w:rPr>
          <w:rFonts w:ascii="Times New Roman" w:cs="Times New Roman" w:eastAsia="Times New Roman" w:hAnsi="Times New Roman"/>
          <w:sz w:val="16"/>
          <w:szCs w:val="16"/>
          <w:u w:val="single" w:color="auto"/>
          <w:color w:val="auto"/>
        </w:rPr>
        <w:t>Section 8.03(a)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8.03(b)</w:t>
      </w:r>
      <w:r>
        <w:rPr>
          <w:rFonts w:ascii="Times New Roman" w:cs="Times New Roman" w:eastAsia="Times New Roman" w:hAnsi="Times New Roman"/>
          <w:sz w:val="16"/>
          <w:szCs w:val="16"/>
          <w:color w:val="auto"/>
        </w:rPr>
        <w:t xml:space="preserve"> would not be satisfied and such breach or failure is incapable of being cured by the Outside Date or, if curable by the Outside Date, is not cured by Parent, First Merger Sub or Second Merger Sub, as applicable, within 30 days of receipt by Parent, First Merger Sub or Second Merger Sub, as applicable, of written notice of such breach or failure;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Company shall not have the right to terminate this Agreement pursuant to this </w:t>
      </w:r>
      <w:r>
        <w:rPr>
          <w:rFonts w:ascii="Times New Roman" w:cs="Times New Roman" w:eastAsia="Times New Roman" w:hAnsi="Times New Roman"/>
          <w:sz w:val="16"/>
          <w:szCs w:val="16"/>
          <w:u w:val="single" w:color="auto"/>
          <w:color w:val="auto"/>
        </w:rPr>
        <w:t>Section 9.01(d)</w:t>
      </w:r>
      <w:r>
        <w:rPr>
          <w:rFonts w:ascii="Times New Roman" w:cs="Times New Roman" w:eastAsia="Times New Roman" w:hAnsi="Times New Roman"/>
          <w:sz w:val="16"/>
          <w:szCs w:val="16"/>
          <w:color w:val="auto"/>
        </w:rPr>
        <w:t xml:space="preserve"> if the Company is in breach of its representations, warranties or covenants such that the conditions in </w:t>
      </w:r>
      <w:r>
        <w:rPr>
          <w:rFonts w:ascii="Times New Roman" w:cs="Times New Roman" w:eastAsia="Times New Roman" w:hAnsi="Times New Roman"/>
          <w:sz w:val="16"/>
          <w:szCs w:val="16"/>
          <w:u w:val="single" w:color="auto"/>
          <w:color w:val="auto"/>
        </w:rPr>
        <w:t>Section 8.02(a)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8.02(b)</w:t>
      </w:r>
      <w:r>
        <w:rPr>
          <w:rFonts w:ascii="Times New Roman" w:cs="Times New Roman" w:eastAsia="Times New Roman" w:hAnsi="Times New Roman"/>
          <w:sz w:val="16"/>
          <w:szCs w:val="16"/>
          <w:color w:val="auto"/>
        </w:rPr>
        <w:t xml:space="preserve"> would not be satisfied.</w:t>
      </w:r>
    </w:p>
    <w:p>
      <w:pPr>
        <w:spacing w:after="0" w:line="166" w:lineRule="exact"/>
        <w:rPr>
          <w:sz w:val="20"/>
          <w:szCs w:val="20"/>
          <w:color w:val="auto"/>
        </w:rPr>
      </w:pPr>
    </w:p>
    <w:p>
      <w:pPr>
        <w:ind w:right="100" w:firstLine="874"/>
        <w:spacing w:after="0" w:line="252"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In the event of termination of this Agreement pursuant to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xml:space="preserve">, written notice thereof shall be given to the other parties hereto, specifying the provision or provisions hereof pursuant to which such termination shall have been made, and this Agreement shall forthwith become void, and there shall be no liability under this Agreement on the part of any party hereto or their respective Subsidiaries or Representatives, except (a) with respect to this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7.03(d)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7.19(c)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9.05</w:t>
      </w:r>
      <w:r>
        <w:rPr>
          <w:rFonts w:ascii="Times New Roman" w:cs="Times New Roman" w:eastAsia="Times New Roman" w:hAnsi="Times New Roman"/>
          <w:sz w:val="16"/>
          <w:szCs w:val="16"/>
          <w:color w:val="auto"/>
        </w:rPr>
        <w:t xml:space="preserve">, the tenth and eleventh sentences of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each of which shall survive any termination of this Agreement and remain in full force and effect and (b) nothing in this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xml:space="preserve"> shall relieve any party from liability for fraud committed prior to such termination or for any Intentional Breach prior to such termination of any of its representations, warranties, covenants or agreements set forth in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Confidentiality Agreement shall survive any termination of this Agreement.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9700"/>
          </w:cols>
          <w:pgMar w:left="1080" w:top="254" w:right="1119" w:bottom="1440" w:gutter="0" w:footer="0" w:header="0"/>
        </w:sectPr>
      </w:pPr>
    </w:p>
    <w:bookmarkStart w:id="108" w:name="page109"/>
    <w:bookmarkEnd w:id="108"/>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9.03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(a) In the event that:</w:t>
      </w:r>
    </w:p>
    <w:p>
      <w:pPr>
        <w:spacing w:after="0" w:line="102" w:lineRule="exact"/>
        <w:rPr>
          <w:sz w:val="20"/>
          <w:szCs w:val="20"/>
          <w:color w:val="auto"/>
        </w:rPr>
      </w:pPr>
    </w:p>
    <w:p>
      <w:pPr>
        <w:ind w:firstLine="883"/>
        <w:spacing w:after="0" w:line="259" w:lineRule="auto"/>
        <w:tabs>
          <w:tab w:leader="none" w:pos="1063"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or the Company terminates this Agreement pursuant to </w:t>
      </w:r>
      <w:r>
        <w:rPr>
          <w:rFonts w:ascii="Times New Roman" w:cs="Times New Roman" w:eastAsia="Times New Roman" w:hAnsi="Times New Roman"/>
          <w:sz w:val="16"/>
          <w:szCs w:val="16"/>
          <w:u w:val="single" w:color="auto"/>
          <w:color w:val="auto"/>
        </w:rPr>
        <w:t>Section 9.01(b)(i)</w:t>
      </w:r>
      <w:r>
        <w:rPr>
          <w:rFonts w:ascii="Times New Roman" w:cs="Times New Roman" w:eastAsia="Times New Roman" w:hAnsi="Times New Roman"/>
          <w:sz w:val="16"/>
          <w:szCs w:val="16"/>
          <w:color w:val="auto"/>
        </w:rPr>
        <w:t xml:space="preserve"> and, at the time of such termination, one or more of the conditions set forth in </w:t>
      </w:r>
      <w:r>
        <w:rPr>
          <w:rFonts w:ascii="Times New Roman" w:cs="Times New Roman" w:eastAsia="Times New Roman" w:hAnsi="Times New Roman"/>
          <w:sz w:val="16"/>
          <w:szCs w:val="16"/>
          <w:u w:val="single" w:color="auto"/>
          <w:color w:val="auto"/>
        </w:rPr>
        <w:t>Section 8.01(c)</w:t>
      </w:r>
      <w:r>
        <w:rPr>
          <w:rFonts w:ascii="Times New Roman" w:cs="Times New Roman" w:eastAsia="Times New Roman" w:hAnsi="Times New Roman"/>
          <w:sz w:val="16"/>
          <w:szCs w:val="16"/>
          <w:color w:val="auto"/>
        </w:rPr>
        <w:t xml:space="preserve"> (if the failure of such condition to be satisfied is a result of a Restraint arising under Antitrust Laws),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8.01(d)</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8.02(d)</w:t>
      </w:r>
      <w:r>
        <w:rPr>
          <w:rFonts w:ascii="Times New Roman" w:cs="Times New Roman" w:eastAsia="Times New Roman" w:hAnsi="Times New Roman"/>
          <w:sz w:val="16"/>
          <w:szCs w:val="16"/>
          <w:color w:val="auto"/>
        </w:rPr>
        <w:t xml:space="preserve"> were not satisfied or waived;</w:t>
      </w:r>
    </w:p>
    <w:p>
      <w:pPr>
        <w:spacing w:after="0" w:line="84" w:lineRule="exact"/>
        <w:rPr>
          <w:rFonts w:ascii="Times New Roman" w:cs="Times New Roman" w:eastAsia="Times New Roman" w:hAnsi="Times New Roman"/>
          <w:sz w:val="16"/>
          <w:szCs w:val="16"/>
          <w:color w:val="auto"/>
        </w:rPr>
      </w:pPr>
    </w:p>
    <w:p>
      <w:pPr>
        <w:ind w:left="1120" w:hanging="237"/>
        <w:spacing w:after="0"/>
        <w:tabs>
          <w:tab w:leader="none" w:pos="11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or the Company terminates this Agreement pursuant to </w:t>
      </w:r>
      <w:r>
        <w:rPr>
          <w:rFonts w:ascii="Times New Roman" w:cs="Times New Roman" w:eastAsia="Times New Roman" w:hAnsi="Times New Roman"/>
          <w:sz w:val="16"/>
          <w:szCs w:val="16"/>
          <w:u w:val="single" w:color="auto"/>
          <w:color w:val="auto"/>
        </w:rPr>
        <w:t>Section 9.01(b)(ii)</w:t>
      </w:r>
      <w:r>
        <w:rPr>
          <w:rFonts w:ascii="Times New Roman" w:cs="Times New Roman" w:eastAsia="Times New Roman" w:hAnsi="Times New Roman"/>
          <w:sz w:val="16"/>
          <w:szCs w:val="16"/>
          <w:color w:val="auto"/>
        </w:rPr>
        <w:t xml:space="preserve"> as a result of a Restraint arising under Antitrust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or</w:t>
      </w:r>
    </w:p>
    <w:p>
      <w:pPr>
        <w:spacing w:after="0" w:line="84" w:lineRule="exact"/>
        <w:rPr>
          <w:rFonts w:ascii="Times New Roman" w:cs="Times New Roman" w:eastAsia="Times New Roman" w:hAnsi="Times New Roman"/>
          <w:sz w:val="16"/>
          <w:szCs w:val="16"/>
          <w:color w:val="auto"/>
        </w:rPr>
      </w:pPr>
    </w:p>
    <w:p>
      <w:pPr>
        <w:ind w:left="1160" w:hanging="277"/>
        <w:spacing w:after="0"/>
        <w:tabs>
          <w:tab w:leader="none" w:pos="11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terminates this Agreement pursuant to </w:t>
      </w:r>
      <w:r>
        <w:rPr>
          <w:rFonts w:ascii="Times New Roman" w:cs="Times New Roman" w:eastAsia="Times New Roman" w:hAnsi="Times New Roman"/>
          <w:sz w:val="16"/>
          <w:szCs w:val="16"/>
          <w:u w:val="single" w:color="auto"/>
          <w:color w:val="auto"/>
        </w:rPr>
        <w:t>Section 9.01(c)(ii)</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 xml:space="preserve">and, in the case of each of clauses (i), (ii) and (iii), at the time of such termination (A) all of the other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have been satisfied or validly waived (except for those conditions that by their terms must be satisfied at the Closing,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conditions would have been so satisfied if the Closing would have occurred) and (B) the Company and the Selling Investors are not in breach in any material respect of its obligations under this Agreement or Selling Investor Support Agreement, as applicable, in any manner that shall be the proximate cause of the failure of any of the conditions referred to in clause (i) above or the imposition of the Restraint in clause (ii) above or the imposition of any remedies (x) other than Permitted Restrictions or (y) unless such remedy is part of an agreement between Parent and its Subsidiaries and a Governmental Authority, as applicable, then Parent shall pay to the Company a fee equal to $300,000,000 (the “</w:t>
      </w:r>
      <w:r>
        <w:rPr>
          <w:rFonts w:ascii="Times New Roman" w:cs="Times New Roman" w:eastAsia="Times New Roman" w:hAnsi="Times New Roman"/>
          <w:sz w:val="16"/>
          <w:szCs w:val="16"/>
          <w:u w:val="single" w:color="auto"/>
          <w:color w:val="auto"/>
        </w:rPr>
        <w:t>Regulatory Termination Fee</w:t>
      </w:r>
      <w:r>
        <w:rPr>
          <w:rFonts w:ascii="Times New Roman" w:cs="Times New Roman" w:eastAsia="Times New Roman" w:hAnsi="Times New Roman"/>
          <w:sz w:val="16"/>
          <w:szCs w:val="16"/>
          <w:color w:val="auto"/>
        </w:rPr>
        <w:t>”), by wire transfer on the second Business Day following the date of termination of this Agreement. In no event shall Parent be required to pay the Regulatory Termination Fee on more than one occasion.</w:t>
      </w:r>
    </w:p>
    <w:p>
      <w:pPr>
        <w:spacing w:after="0" w:line="165" w:lineRule="exact"/>
        <w:rPr>
          <w:sz w:val="20"/>
          <w:szCs w:val="20"/>
          <w:color w:val="auto"/>
        </w:rPr>
      </w:pPr>
    </w:p>
    <w:p>
      <w:pPr>
        <w:ind w:right="140" w:firstLine="883"/>
        <w:spacing w:after="0" w:line="258" w:lineRule="auto"/>
        <w:tabs>
          <w:tab w:leader="none" w:pos="109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Expenses incurred in connection with this Agreement and the Transactions shall be paid by the party incurring such Expenses, whether or not the Mergers or any other Transaction is consummated, except Expenses incurred in connection with filing, printing and mailing of the Registration Statement and the Consent Solicitation Statement (including filing fees) shall be borne by Parent, whether or not the Mergers or any other Transaction is consummated.</w:t>
      </w:r>
    </w:p>
    <w:p>
      <w:pPr>
        <w:spacing w:after="0" w:line="160" w:lineRule="exact"/>
        <w:rPr>
          <w:rFonts w:ascii="Times New Roman" w:cs="Times New Roman" w:eastAsia="Times New Roman" w:hAnsi="Times New Roman"/>
          <w:sz w:val="16"/>
          <w:szCs w:val="16"/>
          <w:color w:val="auto"/>
        </w:rPr>
      </w:pPr>
    </w:p>
    <w:p>
      <w:pPr>
        <w:ind w:right="20" w:firstLine="883"/>
        <w:spacing w:after="0" w:line="251" w:lineRule="auto"/>
        <w:tabs>
          <w:tab w:leader="none" w:pos="109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hereto acknowledge and agree that the agreements contained in </w:t>
      </w:r>
      <w:r>
        <w:rPr>
          <w:rFonts w:ascii="Times New Roman" w:cs="Times New Roman" w:eastAsia="Times New Roman" w:hAnsi="Times New Roman"/>
          <w:sz w:val="16"/>
          <w:szCs w:val="16"/>
          <w:u w:val="single" w:color="auto"/>
          <w:color w:val="auto"/>
        </w:rPr>
        <w:t>Section 9.03(a)</w:t>
      </w:r>
      <w:r>
        <w:rPr>
          <w:rFonts w:ascii="Times New Roman" w:cs="Times New Roman" w:eastAsia="Times New Roman" w:hAnsi="Times New Roman"/>
          <w:sz w:val="16"/>
          <w:szCs w:val="16"/>
          <w:color w:val="auto"/>
        </w:rPr>
        <w:t xml:space="preserve"> are an integral part of the Transactions, and that, without these agreements, the parties hereto would not enter into this Agreement; accordingly, if Parent fails promptly to pay the Regulatory Termination Fee, and, in order to obtain such payment, the Company commences a suit that results in a judgment against Parent for the Regulatory Termination Fee, Parent shall pay to the Company its costs and expenses (including attorneys’ fees and expenses) in connection with such suit, in each case, together with interest on the amount of the Regulatory Termination Fee, as applicable, from the date such payment was required to be made until the date of payment at the prime rate set forth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in effect on the date such payment was required to be made. Each party further acknowledges that the Regulatory Termination Fee is not 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9700"/>
          </w:cols>
          <w:pgMar w:left="1080" w:top="254" w:right="1119" w:bottom="1440" w:gutter="0" w:footer="0" w:header="0"/>
        </w:sectPr>
      </w:pPr>
    </w:p>
    <w:bookmarkStart w:id="109" w:name="page110"/>
    <w:bookmarkEnd w:id="109"/>
    <w:p>
      <w:pPr>
        <w:ind w:right="60" w:firstLine="883"/>
        <w:spacing w:after="0" w:line="250" w:lineRule="auto"/>
        <w:tabs>
          <w:tab w:leader="none" w:pos="109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Subject to the proviso at the end of this sentence, in the event the Regulatory Termination Fee is required to be paid and is paid to the Company pursuant to </w:t>
      </w:r>
      <w:r>
        <w:rPr>
          <w:rFonts w:ascii="Times New Roman" w:cs="Times New Roman" w:eastAsia="Times New Roman" w:hAnsi="Times New Roman"/>
          <w:sz w:val="16"/>
          <w:szCs w:val="16"/>
          <w:u w:val="single" w:color="auto"/>
          <w:color w:val="auto"/>
        </w:rPr>
        <w:t>Section 9.03(a)</w:t>
      </w:r>
      <w:r>
        <w:rPr>
          <w:rFonts w:ascii="Times New Roman" w:cs="Times New Roman" w:eastAsia="Times New Roman" w:hAnsi="Times New Roman"/>
          <w:sz w:val="16"/>
          <w:szCs w:val="16"/>
          <w:color w:val="auto"/>
        </w:rPr>
        <w:t>, such payment of the Regulatory Termination Fee shall constitute liquidated damages and be the sole and exclusive monetary remedy of the Company and its Subsidiaries and the Company’s and its Subsidiaries’ respective current or future stockholders, employees, directors, officers or Affiliates (collectively, the “</w:t>
      </w:r>
      <w:r>
        <w:rPr>
          <w:rFonts w:ascii="Times New Roman" w:cs="Times New Roman" w:eastAsia="Times New Roman" w:hAnsi="Times New Roman"/>
          <w:sz w:val="16"/>
          <w:szCs w:val="16"/>
          <w:u w:val="single" w:color="auto"/>
          <w:color w:val="auto"/>
        </w:rPr>
        <w:t>Company Related Parties</w:t>
      </w:r>
      <w:r>
        <w:rPr>
          <w:rFonts w:ascii="Times New Roman" w:cs="Times New Roman" w:eastAsia="Times New Roman" w:hAnsi="Times New Roman"/>
          <w:sz w:val="16"/>
          <w:szCs w:val="16"/>
          <w:color w:val="auto"/>
        </w:rPr>
        <w:t>”) against Parent, First Merger Sub and Second Merger Sub and their respective current, former or future Representatives (collectively, the “</w:t>
      </w:r>
      <w:r>
        <w:rPr>
          <w:rFonts w:ascii="Times New Roman" w:cs="Times New Roman" w:eastAsia="Times New Roman" w:hAnsi="Times New Roman"/>
          <w:sz w:val="16"/>
          <w:szCs w:val="16"/>
          <w:u w:val="single" w:color="auto"/>
          <w:color w:val="auto"/>
        </w:rPr>
        <w:t>Parent Related Parties</w:t>
      </w:r>
      <w:r>
        <w:rPr>
          <w:rFonts w:ascii="Times New Roman" w:cs="Times New Roman" w:eastAsia="Times New Roman" w:hAnsi="Times New Roman"/>
          <w:sz w:val="16"/>
          <w:szCs w:val="16"/>
          <w:color w:val="auto"/>
        </w:rPr>
        <w:t xml:space="preserve">”) for all losses, damages, costs or expenses in respect of this Agreement (or the termination thereof) or the Transactions (or the failure of such transactions to occur for any reason or for no reason) or any breach of any covenant or agreement or otherwise in respect of this Agreement or any oral representation made or alleged to be made in connection herewith, and upon payment of the Regulatory Termination Fee, none of the Parent Related Parties shall have any further monetary liability or obligation relating to or arising out of this Agreement or the Transactions, and none of the Company, its Subsidiaries or any other Company Related Party shall seek to recover any other monetary damages;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(x) </w:t>
      </w:r>
      <w:r>
        <w:rPr>
          <w:rFonts w:ascii="Times New Roman" w:cs="Times New Roman" w:eastAsia="Times New Roman" w:hAnsi="Times New Roman"/>
          <w:sz w:val="16"/>
          <w:szCs w:val="16"/>
          <w:u w:val="single" w:color="auto"/>
          <w:color w:val="auto"/>
        </w:rPr>
        <w:t>Section 7.19(c)</w:t>
      </w:r>
      <w:r>
        <w:rPr>
          <w:rFonts w:ascii="Times New Roman" w:cs="Times New Roman" w:eastAsia="Times New Roman" w:hAnsi="Times New Roman"/>
          <w:sz w:val="16"/>
          <w:szCs w:val="16"/>
          <w:color w:val="auto"/>
        </w:rPr>
        <w:t xml:space="preserve"> shall survive any such termination and (y) in the event of any Intentional Breach by Parent, First Merger Sub or Second Merger Sub prior to such termination, the Company shall be entitled to the payment of the Regulatory Termination Fee (to the extent owed pursuant to </w:t>
      </w:r>
      <w:r>
        <w:rPr>
          <w:rFonts w:ascii="Times New Roman" w:cs="Times New Roman" w:eastAsia="Times New Roman" w:hAnsi="Times New Roman"/>
          <w:sz w:val="16"/>
          <w:szCs w:val="16"/>
          <w:u w:val="single" w:color="auto"/>
          <w:color w:val="auto"/>
        </w:rPr>
        <w:t>Section 9.03(a)</w:t>
      </w:r>
      <w:r>
        <w:rPr>
          <w:rFonts w:ascii="Times New Roman" w:cs="Times New Roman" w:eastAsia="Times New Roman" w:hAnsi="Times New Roman"/>
          <w:sz w:val="16"/>
          <w:szCs w:val="16"/>
          <w:color w:val="auto"/>
        </w:rPr>
        <w:t xml:space="preserve">) and to seek any damages (including, for the avoidance of doubt, damages of the type referred to in </w:t>
      </w:r>
      <w:r>
        <w:rPr>
          <w:rFonts w:ascii="Times New Roman" w:cs="Times New Roman" w:eastAsia="Times New Roman" w:hAnsi="Times New Roman"/>
          <w:sz w:val="16"/>
          <w:szCs w:val="16"/>
          <w:u w:val="single" w:color="auto"/>
          <w:color w:val="auto"/>
        </w:rPr>
        <w:t>Section 11.05(ii)</w:t>
      </w:r>
      <w:r>
        <w:rPr>
          <w:rFonts w:ascii="Times New Roman" w:cs="Times New Roman" w:eastAsia="Times New Roman" w:hAnsi="Times New Roman"/>
          <w:sz w:val="16"/>
          <w:szCs w:val="16"/>
          <w:color w:val="auto"/>
        </w:rPr>
        <w:t>), to the extent proven, resulting from or arising out of such Intentional Breach (as reduced by any Regulatory Termination Fee paid by Parent).</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9.04 </w:t>
      </w:r>
      <w:r>
        <w:rPr>
          <w:rFonts w:ascii="Times New Roman" w:cs="Times New Roman" w:eastAsia="Times New Roman" w:hAnsi="Times New Roman"/>
          <w:sz w:val="16"/>
          <w:szCs w:val="16"/>
          <w:u w:val="single" w:color="auto"/>
          <w:color w:val="auto"/>
        </w:rPr>
        <w:t>Continuation Payments; Additional Termination Payment; Equity Issuance Fees and Expenses</w:t>
      </w:r>
      <w:r>
        <w:rPr>
          <w:rFonts w:ascii="Times New Roman" w:cs="Times New Roman" w:eastAsia="Times New Roman" w:hAnsi="Times New Roman"/>
          <w:sz w:val="16"/>
          <w:szCs w:val="16"/>
          <w:color w:val="auto"/>
        </w:rPr>
        <w:t>. (a) In the event (i)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Time has not occurred on or before 11:59 p.m., Eastern Time, on December 20, 2020, and (ii) the Company is not in breach in any material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 of its obligations under this Agreement in any manner that shall have proximately caused the failure of the Effective Time to occur prior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on which a Continuation Payment (as defined below) is due, Parent shall make a payment to the Company of $35 million (each, a “</w:t>
      </w:r>
      <w:r>
        <w:rPr>
          <w:rFonts w:ascii="Times New Roman" w:cs="Times New Roman" w:eastAsia="Times New Roman" w:hAnsi="Times New Roman"/>
          <w:sz w:val="16"/>
          <w:szCs w:val="16"/>
          <w:u w:val="single" w:color="auto"/>
          <w:color w:val="auto"/>
        </w:rPr>
        <w:t>Continuation</w:t>
      </w:r>
    </w:p>
    <w:p>
      <w:pPr>
        <w:spacing w:after="0" w:line="187" w:lineRule="auto"/>
        <w:rPr>
          <w:sz w:val="20"/>
          <w:szCs w:val="20"/>
          <w:color w:val="auto"/>
        </w:rPr>
      </w:pPr>
      <w:r>
        <w:rPr>
          <w:rFonts w:ascii="Times New Roman" w:cs="Times New Roman" w:eastAsia="Times New Roman" w:hAnsi="Times New Roman"/>
          <w:sz w:val="15"/>
          <w:szCs w:val="15"/>
          <w:u w:val="single" w:color="auto"/>
          <w:color w:val="auto"/>
        </w:rPr>
        <w:t>Payment</w:t>
      </w:r>
      <w:r>
        <w:rPr>
          <w:rFonts w:ascii="Times New Roman" w:cs="Times New Roman" w:eastAsia="Times New Roman" w:hAnsi="Times New Roman"/>
          <w:sz w:val="15"/>
          <w:szCs w:val="15"/>
          <w:color w:val="auto"/>
        </w:rPr>
        <w:t>”), by wire transfer on the next Business Day following such date and on the 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of each month thereafter until the earlier of (a)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Closing Date or (b) the termination of this Agreement by either Parent or the Company pursuant to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xml:space="preserve"> (such date, the “</w:t>
      </w:r>
      <w:r>
        <w:rPr>
          <w:rFonts w:ascii="Times New Roman" w:cs="Times New Roman" w:eastAsia="Times New Roman" w:hAnsi="Times New Roman"/>
          <w:sz w:val="16"/>
          <w:szCs w:val="16"/>
          <w:u w:val="single" w:color="auto"/>
          <w:color w:val="auto"/>
        </w:rPr>
        <w:t>Continuation End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Parent shall have no obligation to make any Continuation Payment which is an Excess Continuation Payment unless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until the Company Conditions have been satisfied (it being understood that any Excess Continuation Payment(s) that would have been required to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paid if the Company Conditions have been satisfied will be paid by Parent to the Company promptly following satisfaction of the Company Conditions);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the Company may waive Parent’s obligation to make any Excess Continuation Payment. For the avoidance of doubt, no additional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Continuation Payments shall be payable by Parent in relation to periods after the Continuation End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9720"/>
          </w:cols>
          <w:pgMar w:left="1080" w:top="254" w:right="1099" w:bottom="1440" w:gutter="0" w:footer="0" w:header="0"/>
        </w:sectPr>
      </w:pPr>
    </w:p>
    <w:bookmarkStart w:id="110" w:name="page111"/>
    <w:bookmarkEnd w:id="110"/>
    <w:p>
      <w:pPr>
        <w:ind w:left="-9" w:firstLine="883"/>
        <w:spacing w:after="0" w:line="252" w:lineRule="auto"/>
        <w:tabs>
          <w:tab w:leader="none" w:pos="1090"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 the event that this Agreement is terminated in a circumstance where the Regulatory Termination Fee becomes payable by Parent in accordance with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xml:space="preserve"> and subject to the satisfaction (or waiver by Parent) of the Company Conditions (unless Parent’s material breach of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is the proximate cause of the failure of such Company Conditions to be satisfied), at the Company’s election, by written notice to Parent no later than the date which is ten (10) Business Days after such termination, Parent shall pay to the Company an additional amount specified by the Company up to $300 million (the “</w:t>
      </w:r>
      <w:r>
        <w:rPr>
          <w:rFonts w:ascii="Times New Roman" w:cs="Times New Roman" w:eastAsia="Times New Roman" w:hAnsi="Times New Roman"/>
          <w:sz w:val="16"/>
          <w:szCs w:val="16"/>
          <w:u w:val="single" w:color="auto"/>
          <w:color w:val="auto"/>
        </w:rPr>
        <w:t>Additional Termination Payment</w:t>
      </w:r>
      <w:r>
        <w:rPr>
          <w:rFonts w:ascii="Times New Roman" w:cs="Times New Roman" w:eastAsia="Times New Roman" w:hAnsi="Times New Roman"/>
          <w:sz w:val="16"/>
          <w:szCs w:val="16"/>
          <w:color w:val="auto"/>
        </w:rPr>
        <w:t xml:space="preserve">”) on or prior to the date which is three (3) Business Days after the later of: (i) the date of the Company’s written election referred to in this </w:t>
      </w:r>
      <w:r>
        <w:rPr>
          <w:rFonts w:ascii="Times New Roman" w:cs="Times New Roman" w:eastAsia="Times New Roman" w:hAnsi="Times New Roman"/>
          <w:sz w:val="16"/>
          <w:szCs w:val="16"/>
          <w:u w:val="single" w:color="auto"/>
          <w:color w:val="auto"/>
        </w:rPr>
        <w:t>Section 9.04(b)</w:t>
      </w:r>
      <w:r>
        <w:rPr>
          <w:rFonts w:ascii="Times New Roman" w:cs="Times New Roman" w:eastAsia="Times New Roman" w:hAnsi="Times New Roman"/>
          <w:sz w:val="16"/>
          <w:szCs w:val="16"/>
          <w:color w:val="auto"/>
        </w:rPr>
        <w:t xml:space="preserve">, and (ii) the satisfaction of the Company Conditions (unless Parent’s breach of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is the proximate cause of the failure of such Company Conditions to be satisfied, in which case the Additional Termination Payment shall be payable upon the date specified in clause (i)).</w:t>
      </w:r>
    </w:p>
    <w:p>
      <w:pPr>
        <w:spacing w:after="0" w:line="168" w:lineRule="exact"/>
        <w:rPr>
          <w:rFonts w:ascii="Times New Roman" w:cs="Times New Roman" w:eastAsia="Times New Roman" w:hAnsi="Times New Roman"/>
          <w:sz w:val="16"/>
          <w:szCs w:val="16"/>
          <w:color w:val="auto"/>
        </w:rPr>
      </w:pPr>
    </w:p>
    <w:p>
      <w:pPr>
        <w:ind w:left="1091" w:hanging="217"/>
        <w:spacing w:after="0"/>
        <w:tabs>
          <w:tab w:leader="none" w:pos="1091"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date which is the later of (i) sixty (60) days after the date of termination of this Agreement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and</w:t>
      </w:r>
    </w:p>
    <w:p>
      <w:pPr>
        <w:spacing w:after="0" w:line="23" w:lineRule="exact"/>
        <w:rPr>
          <w:rFonts w:ascii="Times New Roman" w:cs="Times New Roman" w:eastAsia="Times New Roman" w:hAnsi="Times New Roman"/>
          <w:sz w:val="16"/>
          <w:szCs w:val="16"/>
          <w:color w:val="auto"/>
        </w:rPr>
      </w:pPr>
    </w:p>
    <w:p>
      <w:pPr>
        <w:ind w:left="-9" w:right="40" w:firstLine="9"/>
        <w:spacing w:after="0" w:line="249" w:lineRule="auto"/>
        <w:tabs>
          <w:tab w:leader="none" w:pos="22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(3) Business Days after satisfaction or waiver (where permissible) of the Issuance Conditions, as consideration for any Excess Continuation Payments and the Additional Termination Payment, in each case, actually made by Parent, as applicable, the Company shall (x) issue and deliver to Parent a number of validly issued, fully paid and non-assessable shares of Series E-1 Preferred Stock equal to (I) (A) the aggregate amount of Excess Continuation Payments actually paid by Parent to the Company, plus (B) the amount of the Additional Termination Payment actually paid by Parent to the Company ((A) plus (B) being the “</w:t>
      </w:r>
      <w:r>
        <w:rPr>
          <w:rFonts w:ascii="Times New Roman" w:cs="Times New Roman" w:eastAsia="Times New Roman" w:hAnsi="Times New Roman"/>
          <w:sz w:val="16"/>
          <w:szCs w:val="16"/>
          <w:u w:val="single" w:color="auto"/>
          <w:color w:val="auto"/>
        </w:rPr>
        <w:t>Investment Amount</w:t>
      </w:r>
      <w:r>
        <w:rPr>
          <w:rFonts w:ascii="Times New Roman" w:cs="Times New Roman" w:eastAsia="Times New Roman" w:hAnsi="Times New Roman"/>
          <w:sz w:val="16"/>
          <w:szCs w:val="16"/>
          <w:color w:val="auto"/>
        </w:rPr>
        <w:t>”), minus (C) an amount (if any) specified by the Company in its sole discretion (the “</w:t>
      </w:r>
      <w:r>
        <w:rPr>
          <w:rFonts w:ascii="Times New Roman" w:cs="Times New Roman" w:eastAsia="Times New Roman" w:hAnsi="Times New Roman"/>
          <w:sz w:val="16"/>
          <w:szCs w:val="16"/>
          <w:u w:val="single" w:color="auto"/>
          <w:color w:val="auto"/>
        </w:rPr>
        <w:t>Reduction Amount</w:t>
      </w:r>
      <w:r>
        <w:rPr>
          <w:rFonts w:ascii="Times New Roman" w:cs="Times New Roman" w:eastAsia="Times New Roman" w:hAnsi="Times New Roman"/>
          <w:sz w:val="16"/>
          <w:szCs w:val="16"/>
          <w:color w:val="auto"/>
        </w:rPr>
        <w:t>”), divided by (II) the Issue Price (the “</w:t>
      </w:r>
      <w:r>
        <w:rPr>
          <w:rFonts w:ascii="Times New Roman" w:cs="Times New Roman" w:eastAsia="Times New Roman" w:hAnsi="Times New Roman"/>
          <w:sz w:val="16"/>
          <w:szCs w:val="16"/>
          <w:u w:val="single" w:color="auto"/>
          <w:color w:val="auto"/>
        </w:rPr>
        <w:t>Equity Issuance”</w:t>
      </w:r>
      <w:r>
        <w:rPr>
          <w:rFonts w:ascii="Times New Roman" w:cs="Times New Roman" w:eastAsia="Times New Roman" w:hAnsi="Times New Roman"/>
          <w:sz w:val="16"/>
          <w:szCs w:val="16"/>
          <w:color w:val="auto"/>
        </w:rPr>
        <w:t xml:space="preserve">), and (y) pay to Parent the Reduction Amount (if any);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prior to consummation of the Equity Issuance, the Company may elect (in its sole discretion) to pay to Parent an amount of cash equal to the Investment Amount, and, upon such payment being made to Parent, the Company shall have no further liability pursuant to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and, for the avoidance of doubt, will not be obliged to consummate the Equity Issuance or follow the process set forth in </w:t>
      </w:r>
      <w:r>
        <w:rPr>
          <w:rFonts w:ascii="Times New Roman" w:cs="Times New Roman" w:eastAsia="Times New Roman" w:hAnsi="Times New Roman"/>
          <w:sz w:val="16"/>
          <w:szCs w:val="16"/>
          <w:u w:val="single" w:color="auto"/>
          <w:color w:val="auto"/>
        </w:rPr>
        <w:t>Section 9.04(f)</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ind w:left="-9" w:right="60" w:firstLine="883"/>
        <w:spacing w:after="0" w:line="255" w:lineRule="auto"/>
        <w:tabs>
          <w:tab w:leader="none" w:pos="1090"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its reasonable best efforts to cause the Company Conditions to be satisfied prior to the earlier to occur of (i) in circumstances where the Regulatory Termination Fee is payable, the Termination Date, and (ii) prior to the date that the first payment by Parent to the Company of any Excess Continuation Payment is payable. Parent irrevocably agrees that it shall (and shall cause its Subsidiaries to), upon the written request of the Company, vote any shares of capital stock of the Company held by it to approve all matters and execute any written consents and/or amendments or restatements of the Investor Agreements, in each case as are reasonably necessary to satisfy the Company Conditions.</w:t>
      </w:r>
    </w:p>
    <w:p>
      <w:pPr>
        <w:spacing w:after="0" w:line="105"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9671"/>
          </w:cols>
          <w:pgMar w:left="1089" w:top="254" w:right="1139" w:bottom="1440" w:gutter="0" w:footer="0" w:header="0"/>
        </w:sectPr>
      </w:pPr>
    </w:p>
    <w:bookmarkStart w:id="111" w:name="page112"/>
    <w:bookmarkEnd w:id="111"/>
    <w:p>
      <w:pPr>
        <w:ind w:left="740" w:hanging="217"/>
        <w:spacing w:after="0"/>
        <w:tabs>
          <w:tab w:leader="none" w:pos="74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As used in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520" w:right="160" w:firstLine="356"/>
        <w:spacing w:after="0" w:line="258" w:lineRule="auto"/>
        <w:tabs>
          <w:tab w:leader="none" w:pos="1063"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Class A-1 Common Stock</w:t>
      </w:r>
      <w:r>
        <w:rPr>
          <w:rFonts w:ascii="Times New Roman" w:cs="Times New Roman" w:eastAsia="Times New Roman" w:hAnsi="Times New Roman"/>
          <w:sz w:val="16"/>
          <w:szCs w:val="16"/>
          <w:color w:val="auto"/>
        </w:rPr>
        <w:t>” shall mean a series of common stock of the Company having substantially the same terms as the Class A Common Stock, except that (1) shares of Class A-1 Common Stock shall have no voting rights and (2) upon the transfer by the holder thereof to a third party, a share of Class A-1 Common Stock shall automatically convert into a share of Class A Common Stock if such conversion satisfies the Regulatory Condition.</w:t>
      </w:r>
    </w:p>
    <w:p>
      <w:pPr>
        <w:spacing w:after="0" w:line="65" w:lineRule="exact"/>
        <w:rPr>
          <w:rFonts w:ascii="Times New Roman" w:cs="Times New Roman" w:eastAsia="Times New Roman" w:hAnsi="Times New Roman"/>
          <w:sz w:val="16"/>
          <w:szCs w:val="16"/>
          <w:color w:val="auto"/>
        </w:rPr>
      </w:pPr>
    </w:p>
    <w:p>
      <w:pPr>
        <w:ind w:left="1100" w:hanging="224"/>
        <w:spacing w:after="0"/>
        <w:tabs>
          <w:tab w:leader="none" w:pos="1100"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Conditions</w:t>
      </w:r>
      <w:r>
        <w:rPr>
          <w:rFonts w:ascii="Times New Roman" w:cs="Times New Roman" w:eastAsia="Times New Roman" w:hAnsi="Times New Roman"/>
          <w:sz w:val="16"/>
          <w:szCs w:val="16"/>
          <w:color w:val="auto"/>
        </w:rPr>
        <w:t>” shall mean:</w:t>
      </w:r>
    </w:p>
    <w:p>
      <w:pPr>
        <w:spacing w:after="0" w:line="101" w:lineRule="exact"/>
        <w:rPr>
          <w:rFonts w:ascii="Times New Roman" w:cs="Times New Roman" w:eastAsia="Times New Roman" w:hAnsi="Times New Roman"/>
          <w:sz w:val="16"/>
          <w:szCs w:val="16"/>
          <w:color w:val="auto"/>
        </w:rPr>
      </w:pPr>
    </w:p>
    <w:p>
      <w:pPr>
        <w:ind w:left="520" w:right="60" w:firstLine="798"/>
        <w:spacing w:after="0" w:line="258" w:lineRule="auto"/>
        <w:tabs>
          <w:tab w:leader="none" w:pos="1575" w:val="left"/>
        </w:tabs>
        <w:numPr>
          <w:ilvl w:val="2"/>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received all necessary stockholder and other corporate approvals and adopted and filed with the Secretary of State of the State of Delaware an amendment to its certificate of incorporation, in a form consistent with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creating and authorizing the issuance of the Series E-1 Preferred Stock and the Series E Preferred Stock, Class A-1 Common Stock and Class A Common Stock into which such Series E-1 Preferred Stock may be converted</w:t>
      </w:r>
    </w:p>
    <w:p>
      <w:pPr>
        <w:spacing w:after="0" w:line="65" w:lineRule="exact"/>
        <w:rPr>
          <w:rFonts w:ascii="Times New Roman" w:cs="Times New Roman" w:eastAsia="Times New Roman" w:hAnsi="Times New Roman"/>
          <w:sz w:val="16"/>
          <w:szCs w:val="16"/>
          <w:color w:val="auto"/>
        </w:rPr>
      </w:pPr>
    </w:p>
    <w:p>
      <w:pPr>
        <w:ind w:left="520" w:right="40" w:firstLine="798"/>
        <w:spacing w:after="0" w:line="272" w:lineRule="auto"/>
        <w:tabs>
          <w:tab w:leader="none" w:pos="1566" w:val="left"/>
        </w:tabs>
        <w:numPr>
          <w:ilvl w:val="2"/>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either (x) received such waivers as are reasonably required under its certificate of incorporation, bylaws and the Investor Agreements to permit the consummation of the Equity Issuance, including the waiver of any preemptive rights, rights of first offer, rights of first refusal or similar rights of any stockholder of the Company with respect to the Equity Issuance, or</w:t>
      </w:r>
    </w:p>
    <w:p>
      <w:pPr>
        <w:spacing w:after="0" w:line="1" w:lineRule="exact"/>
        <w:rPr>
          <w:rFonts w:ascii="Times New Roman" w:cs="Times New Roman" w:eastAsia="Times New Roman" w:hAnsi="Times New Roman"/>
          <w:sz w:val="15"/>
          <w:szCs w:val="15"/>
          <w:color w:val="auto"/>
        </w:rPr>
      </w:pPr>
    </w:p>
    <w:p>
      <w:pPr>
        <w:ind w:left="520" w:firstLine="3"/>
        <w:spacing w:after="0" w:line="250" w:lineRule="auto"/>
        <w:tabs>
          <w:tab w:leader="none" w:pos="745"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notified the Parent that it has complied, or intends to comply, with any such preemptive rights, rights of first offer, rights of first refusal or similar rights of any stockholder of the Company with respect to the Equity Issuance (it being understood that the Company may, at its election, issue additional shares of Series E-1 Preferred Stock to such stockholders above and beyond the amount of shares to be issued to Parent in the Equity Issuance (assuming there is no Reduction Amount) or adjust the number of shares to be issued to Parent in the Equity Issuance by specifying a Reduction Amount).</w:t>
      </w:r>
    </w:p>
    <w:p>
      <w:pPr>
        <w:spacing w:after="0" w:line="72" w:lineRule="exact"/>
        <w:rPr>
          <w:rFonts w:ascii="Times New Roman" w:cs="Times New Roman" w:eastAsia="Times New Roman" w:hAnsi="Times New Roman"/>
          <w:sz w:val="16"/>
          <w:szCs w:val="16"/>
          <w:color w:val="auto"/>
        </w:rPr>
      </w:pPr>
    </w:p>
    <w:p>
      <w:pPr>
        <w:ind w:left="520" w:firstLine="798"/>
        <w:spacing w:after="0" w:line="263" w:lineRule="auto"/>
        <w:tabs>
          <w:tab w:leader="none" w:pos="1566" w:val="left"/>
        </w:tabs>
        <w:numPr>
          <w:ilvl w:val="2"/>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Amendments to each of the Investor Agreements to include the Series E-1 Preferred Stock and the Series E Preferred Stock in the definition of “Preferred Stock” and to define “Class A Common Stock” to include shares of Class A-1 Common Stock in each such Investor Agreement, in each case in a consistent with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shall have been approved and adopted.</w:t>
      </w:r>
    </w:p>
    <w:p>
      <w:pPr>
        <w:spacing w:after="0" w:line="61" w:lineRule="exact"/>
        <w:rPr>
          <w:rFonts w:ascii="Times New Roman" w:cs="Times New Roman" w:eastAsia="Times New Roman" w:hAnsi="Times New Roman"/>
          <w:sz w:val="16"/>
          <w:szCs w:val="16"/>
          <w:color w:val="auto"/>
        </w:rPr>
      </w:pPr>
    </w:p>
    <w:p>
      <w:pPr>
        <w:ind w:left="1160" w:hanging="284"/>
        <w:spacing w:after="0"/>
        <w:tabs>
          <w:tab w:leader="none" w:pos="1160"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Excess Continuation Payments</w:t>
      </w:r>
      <w:r>
        <w:rPr>
          <w:rFonts w:ascii="Times New Roman" w:cs="Times New Roman" w:eastAsia="Times New Roman" w:hAnsi="Times New Roman"/>
          <w:sz w:val="16"/>
          <w:szCs w:val="16"/>
          <w:color w:val="auto"/>
        </w:rPr>
        <w:t>” shall mean Continuation Payments actually paid to the Company in excess of $315 million.</w:t>
      </w:r>
    </w:p>
    <w:p>
      <w:pPr>
        <w:spacing w:after="0" w:line="101" w:lineRule="exact"/>
        <w:rPr>
          <w:rFonts w:ascii="Times New Roman" w:cs="Times New Roman" w:eastAsia="Times New Roman" w:hAnsi="Times New Roman"/>
          <w:sz w:val="16"/>
          <w:szCs w:val="16"/>
          <w:color w:val="auto"/>
        </w:rPr>
      </w:pPr>
    </w:p>
    <w:p>
      <w:pPr>
        <w:ind w:left="1140" w:hanging="264"/>
        <w:spacing w:after="0"/>
        <w:tabs>
          <w:tab w:leader="none" w:pos="1140"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Issuance Conditions</w:t>
      </w:r>
      <w:r>
        <w:rPr>
          <w:rFonts w:ascii="Times New Roman" w:cs="Times New Roman" w:eastAsia="Times New Roman" w:hAnsi="Times New Roman"/>
          <w:sz w:val="16"/>
          <w:szCs w:val="16"/>
          <w:color w:val="auto"/>
        </w:rPr>
        <w:t>” shall mean the Regulatory Condition and the Company Conditions.</w:t>
      </w:r>
    </w:p>
    <w:p>
      <w:pPr>
        <w:spacing w:after="0" w:line="196" w:lineRule="exact"/>
        <w:rPr>
          <w:rFonts w:ascii="Times New Roman" w:cs="Times New Roman" w:eastAsia="Times New Roman" w:hAnsi="Times New Roman"/>
          <w:sz w:val="16"/>
          <w:szCs w:val="16"/>
          <w:color w:val="auto"/>
        </w:rPr>
      </w:pPr>
    </w:p>
    <w:p>
      <w:pPr>
        <w:ind w:left="520" w:right="80" w:firstLine="356"/>
        <w:spacing w:after="0" w:line="278" w:lineRule="auto"/>
        <w:tabs>
          <w:tab w:leader="none" w:pos="1098"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Issue Price</w:t>
      </w:r>
      <w:r>
        <w:rPr>
          <w:rFonts w:ascii="Times New Roman" w:cs="Times New Roman" w:eastAsia="Times New Roman" w:hAnsi="Times New Roman"/>
          <w:sz w:val="16"/>
          <w:szCs w:val="16"/>
          <w:color w:val="auto"/>
        </w:rPr>
        <w:t>” shall mean $8 billion divided by the Company Fully Diluted Share Count (with the reference to the Effective Time in the definition of “Company Fully Diluted Share Count” deemed to be a reference to the date of the Equity Issuance).</w:t>
      </w:r>
    </w:p>
    <w:p>
      <w:pPr>
        <w:spacing w:after="0" w:line="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9320"/>
          </w:cols>
          <w:pgMar w:left="1440" w:top="254" w:right="1139" w:bottom="1440" w:gutter="0" w:footer="0" w:header="0"/>
        </w:sectPr>
      </w:pPr>
    </w:p>
    <w:bookmarkStart w:id="112" w:name="page113"/>
    <w:bookmarkEnd w:id="112"/>
    <w:p>
      <w:pPr>
        <w:ind w:left="860" w:right="40" w:firstLine="356"/>
        <w:spacing w:after="0" w:line="258" w:lineRule="auto"/>
        <w:tabs>
          <w:tab w:leader="none" w:pos="1482"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Regulatory Condition</w:t>
      </w:r>
      <w:r>
        <w:rPr>
          <w:rFonts w:ascii="Times New Roman" w:cs="Times New Roman" w:eastAsia="Times New Roman" w:hAnsi="Times New Roman"/>
          <w:sz w:val="16"/>
          <w:szCs w:val="16"/>
          <w:color w:val="auto"/>
        </w:rPr>
        <w:t>” shall mean (A) no Governmental Authority shall have enacted, issued, promulgated, enforced or entered any Law, whether temporary, preliminary or permanent, which is then in effect and has the effect of enjoining, restraining, prohibiting or otherwise preventing the Equity Issuance, (B) no Action by a Governmental Authority seeking such Law shall be pending, and (C) any waiting period under the HSR Act, if applicable, shall have expired or been terminated.</w:t>
      </w:r>
    </w:p>
    <w:p>
      <w:pPr>
        <w:spacing w:after="0" w:line="65" w:lineRule="exact"/>
        <w:rPr>
          <w:rFonts w:ascii="Times New Roman" w:cs="Times New Roman" w:eastAsia="Times New Roman" w:hAnsi="Times New Roman"/>
          <w:sz w:val="16"/>
          <w:szCs w:val="16"/>
          <w:color w:val="auto"/>
        </w:rPr>
      </w:pPr>
    </w:p>
    <w:p>
      <w:pPr>
        <w:ind w:left="860" w:right="100" w:firstLine="356"/>
        <w:spacing w:after="0" w:line="263" w:lineRule="auto"/>
        <w:tabs>
          <w:tab w:leader="none" w:pos="1526"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E Preferred Stock</w:t>
      </w:r>
      <w:r>
        <w:rPr>
          <w:rFonts w:ascii="Times New Roman" w:cs="Times New Roman" w:eastAsia="Times New Roman" w:hAnsi="Times New Roman"/>
          <w:sz w:val="16"/>
          <w:szCs w:val="16"/>
          <w:color w:val="auto"/>
        </w:rPr>
        <w:t>” shall mean a series of preferred stock of the Company having substantially the same terms as the Series A Preferred Stock, except that the Original Issue Price (as defined in the Restated Certificate of Incorporation) shall be equal to the Issue Price.</w:t>
      </w:r>
    </w:p>
    <w:p>
      <w:pPr>
        <w:spacing w:after="0" w:line="61" w:lineRule="exact"/>
        <w:rPr>
          <w:rFonts w:ascii="Times New Roman" w:cs="Times New Roman" w:eastAsia="Times New Roman" w:hAnsi="Times New Roman"/>
          <w:sz w:val="16"/>
          <w:szCs w:val="16"/>
          <w:color w:val="auto"/>
        </w:rPr>
      </w:pPr>
    </w:p>
    <w:p>
      <w:pPr>
        <w:ind w:left="860" w:right="20" w:firstLine="356"/>
        <w:spacing w:after="0" w:line="250" w:lineRule="auto"/>
        <w:tabs>
          <w:tab w:leader="none" w:pos="157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E-1 Preferred Stock</w:t>
      </w:r>
      <w:r>
        <w:rPr>
          <w:rFonts w:ascii="Times New Roman" w:cs="Times New Roman" w:eastAsia="Times New Roman" w:hAnsi="Times New Roman"/>
          <w:sz w:val="16"/>
          <w:szCs w:val="16"/>
          <w:color w:val="auto"/>
        </w:rPr>
        <w:t>” shall mean a series of preferred stock of the Company having substantially the same terms as the Series A Preferred Stock, except that (i) the Original Issue Price (as defined in the Restated Certificate of Incorporation) of the Series E-1 Preferred Stock shall be equal to the Issue Price, (ii) shares of Series E-1 Preferred Stock shall have no voting rights (including with respect to a vote on mandatory conversion in connection with a Qualified IPO (as defined in the Restated Certificate of Incorporation)), other than the right to approve (x) the amendment, alteration or repeal of any provision of the certificate of incorporation or bylaws of the Company in a manner that alters or changes the powers, preferences or rights of the shares of Series E-1 Preferred Stock so as to adversely affect them disproportionately to any other series or class of stock (it being understood that the creation of a new series of preferred stock shall not be deemed to alter or change the powers, preferences, or rights of the Series E-1 Preferred Stock or otherwise require the affirmative vote or written consent of the holders of the Series E-1 Preferred Stock), and (y) any waiver of any adjustment to the conversion price for the Series E-1 Preferred Stock, (iii) holders of Series E-1 Preferred Stock will have no rights to designate a member of the Company Board, (iv) upon transfer by the holder thereof to a third party, a share of Series E-1 Preferred Stock shall automatically convert into a share of Series E Preferred Stock if such conversion satisfies the Regulatory Condition and (v) the Series E-1 Preferred Stock shall otherwise be convertible into shares of Class A-1 Common Stock on substantially the same terms on which the Series A Preferred Stock is convertible into Class A Common Stock.</w:t>
      </w:r>
    </w:p>
    <w:p>
      <w:pPr>
        <w:spacing w:after="0" w:line="172" w:lineRule="exact"/>
        <w:rPr>
          <w:rFonts w:ascii="Times New Roman" w:cs="Times New Roman" w:eastAsia="Times New Roman" w:hAnsi="Times New Roman"/>
          <w:sz w:val="16"/>
          <w:szCs w:val="16"/>
          <w:color w:val="auto"/>
        </w:rPr>
      </w:pPr>
    </w:p>
    <w:p>
      <w:pPr>
        <w:ind w:left="-20" w:firstLine="883"/>
        <w:spacing w:after="0" w:line="255" w:lineRule="auto"/>
        <w:tabs>
          <w:tab w:leader="none" w:pos="1052"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 Governmental Authority shall, pursuant to any applicable Antitrust Law, have enacted, issued, promulgated, enforced or entered any Law, which shall have become final and nonappealable, that has the effect of enjoining, restraining, prohibiting or otherwise preventing the satisfaction of the Regulatory Condition or the consummation of the Equity Issuance on or before the date which is 180 days after the Termination Date (the “</w:t>
      </w:r>
      <w:r>
        <w:rPr>
          <w:rFonts w:ascii="Times New Roman" w:cs="Times New Roman" w:eastAsia="Times New Roman" w:hAnsi="Times New Roman"/>
          <w:sz w:val="16"/>
          <w:szCs w:val="16"/>
          <w:u w:val="single" w:color="auto"/>
          <w:color w:val="auto"/>
        </w:rPr>
        <w:t>Equity Issuance End Date</w:t>
      </w:r>
      <w:r>
        <w:rPr>
          <w:rFonts w:ascii="Times New Roman" w:cs="Times New Roman" w:eastAsia="Times New Roman" w:hAnsi="Times New Roman"/>
          <w:sz w:val="16"/>
          <w:szCs w:val="16"/>
          <w:color w:val="auto"/>
        </w:rPr>
        <w:t xml:space="preserve">”), then Parent shall nonetheless be obligated to make the Excess Continuation Payments and the Additional Termination Payment to the extent otherwise payable pursuant to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9700"/>
          </w:cols>
          <w:pgMar w:left="1100" w:top="254" w:right="1099" w:bottom="1440" w:gutter="0" w:footer="0" w:header="0"/>
        </w:sectPr>
      </w:pPr>
    </w:p>
    <w:bookmarkStart w:id="113" w:name="page114"/>
    <w:bookmarkEnd w:id="113"/>
    <w:p>
      <w:pPr>
        <w:jc w:val="both"/>
        <w:ind w:left="400" w:right="400" w:firstLine="836"/>
        <w:spacing w:after="0" w:line="263" w:lineRule="auto"/>
        <w:tabs>
          <w:tab w:leader="none" w:pos="142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for a period of 60 days after the Equity Issuance End Date, the parties hereto shall use reasonable best efforts to structure the Equity Issuance in a manner that is in compliance with applicable Law (including arranging for the Equity Issuance to be made in favor of a nominee of Parent or such other arrangement as is mutually agreed between the Company and Parent);</w:t>
      </w:r>
    </w:p>
    <w:p>
      <w:pPr>
        <w:spacing w:after="0" w:line="61" w:lineRule="exact"/>
        <w:rPr>
          <w:rFonts w:ascii="Times New Roman" w:cs="Times New Roman" w:eastAsia="Times New Roman" w:hAnsi="Times New Roman"/>
          <w:sz w:val="16"/>
          <w:szCs w:val="16"/>
          <w:color w:val="auto"/>
        </w:rPr>
      </w:pPr>
    </w:p>
    <w:p>
      <w:pPr>
        <w:ind w:left="400" w:right="20" w:firstLine="836"/>
        <w:spacing w:after="0" w:line="252" w:lineRule="auto"/>
        <w:tabs>
          <w:tab w:leader="none" w:pos="1472"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after such 60 day period, neither the Equity Issuance nor an alternative structure contemplated by clause (i) have been consummated, the Company shall (subject to the proviso at the end of this sentence of this clause (ii)) (x) from such date until the date which is 24 months after the Termination Date (the “</w:t>
      </w:r>
      <w:r>
        <w:rPr>
          <w:rFonts w:ascii="Times New Roman" w:cs="Times New Roman" w:eastAsia="Times New Roman" w:hAnsi="Times New Roman"/>
          <w:sz w:val="16"/>
          <w:szCs w:val="16"/>
          <w:u w:val="single" w:color="auto"/>
          <w:color w:val="auto"/>
        </w:rPr>
        <w:t>Alternative Financing End Date</w:t>
      </w:r>
      <w:r>
        <w:rPr>
          <w:rFonts w:ascii="Times New Roman" w:cs="Times New Roman" w:eastAsia="Times New Roman" w:hAnsi="Times New Roman"/>
          <w:sz w:val="16"/>
          <w:szCs w:val="16"/>
          <w:color w:val="auto"/>
        </w:rPr>
        <w:t>”), use its commercially reasonable efforts to carry out one or more bona fide equity capital raises (each, an “</w:t>
      </w:r>
      <w:r>
        <w:rPr>
          <w:rFonts w:ascii="Times New Roman" w:cs="Times New Roman" w:eastAsia="Times New Roman" w:hAnsi="Times New Roman"/>
          <w:sz w:val="16"/>
          <w:szCs w:val="16"/>
          <w:u w:val="single" w:color="auto"/>
          <w:color w:val="auto"/>
        </w:rPr>
        <w:t>Alternative Capital Raise</w:t>
      </w:r>
      <w:r>
        <w:rPr>
          <w:rFonts w:ascii="Times New Roman" w:cs="Times New Roman" w:eastAsia="Times New Roman" w:hAnsi="Times New Roman"/>
          <w:sz w:val="16"/>
          <w:szCs w:val="16"/>
          <w:color w:val="auto"/>
        </w:rPr>
        <w:t xml:space="preserve">”) in respect of shares of Company Capital Stock, and (y) if any Alternative Capital Raise is consummated prior to the Alternative Financing End Date, pay to Parent an amount equal to the lesser of (A)(I) the lesser of (a)(1) the number of shares of Series E-1 Preferred Stock that would have been issued pursuant to the Equity Issuance (and have not yet been covered by an Alternative Capital Raise pursuant to this </w:t>
      </w:r>
      <w:r>
        <w:rPr>
          <w:rFonts w:ascii="Times New Roman" w:cs="Times New Roman" w:eastAsia="Times New Roman" w:hAnsi="Times New Roman"/>
          <w:sz w:val="16"/>
          <w:szCs w:val="16"/>
          <w:u w:val="single" w:color="auto"/>
          <w:color w:val="auto"/>
        </w:rPr>
        <w:t>Section 9.04(f)(ii)</w:t>
      </w:r>
      <w:r>
        <w:rPr>
          <w:rFonts w:ascii="Times New Roman" w:cs="Times New Roman" w:eastAsia="Times New Roman" w:hAnsi="Times New Roman"/>
          <w:sz w:val="16"/>
          <w:szCs w:val="16"/>
          <w:color w:val="auto"/>
        </w:rPr>
        <w:t>), and (2) the actual number of shares issued on the Alternative Capital Raise, multiplied by (II) the price per security obtained by the Company on the Alternative Capital Raise minus (b) the costs and expenses incurred by Company in connection with such Alternative Capital Raise, and (B) the Investment Amount;</w:t>
      </w:r>
    </w:p>
    <w:p>
      <w:pPr>
        <w:spacing w:after="0" w:line="165" w:lineRule="exact"/>
        <w:rPr>
          <w:sz w:val="20"/>
          <w:szCs w:val="20"/>
          <w:color w:val="auto"/>
        </w:rPr>
      </w:pPr>
    </w:p>
    <w:p>
      <w:pPr>
        <w:ind w:right="20" w:firstLine="874"/>
        <w:spacing w:after="0" w:line="254"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the foregoing provisions of this </w:t>
      </w:r>
      <w:r>
        <w:rPr>
          <w:rFonts w:ascii="Times New Roman" w:cs="Times New Roman" w:eastAsia="Times New Roman" w:hAnsi="Times New Roman"/>
          <w:sz w:val="16"/>
          <w:szCs w:val="16"/>
          <w:u w:val="single" w:color="auto"/>
          <w:color w:val="auto"/>
        </w:rPr>
        <w:t>Section 9.04(f)</w:t>
      </w:r>
      <w:r>
        <w:rPr>
          <w:rFonts w:ascii="Times New Roman" w:cs="Times New Roman" w:eastAsia="Times New Roman" w:hAnsi="Times New Roman"/>
          <w:sz w:val="16"/>
          <w:szCs w:val="16"/>
          <w:color w:val="auto"/>
        </w:rPr>
        <w:t xml:space="preserve">, at any time between the Equity Issuance End Date and the Alternative Financing End Date, the Company may elect (in its sole discretion) to pay to Parent an amount of cash equal to the Investment Amount, and, upon such payment being made to Parent, the Company shall have no further obligations or liability pursuant to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in respect of the Excess Continuation Payments and the Additional Termination Payment. Notwithstanding the foregoing provisions of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except in the event of an Intentional Breach of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by the Company, with effect from the Alternative Financing End Date, the Company shall have no obligations or liability pursuant to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or in respect of the Excess Continuation Payments and the Additional Termination Payment.</w:t>
      </w:r>
    </w:p>
    <w:p>
      <w:pPr>
        <w:spacing w:after="0" w:line="165" w:lineRule="exact"/>
        <w:rPr>
          <w:sz w:val="20"/>
          <w:szCs w:val="20"/>
          <w:color w:val="auto"/>
        </w:rPr>
      </w:pPr>
    </w:p>
    <w:p>
      <w:pPr>
        <w:ind w:firstLine="883"/>
        <w:spacing w:after="0" w:line="252" w:lineRule="auto"/>
        <w:tabs>
          <w:tab w:leader="none" w:pos="109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Until the Equity Issuance End Date, solely in connection with the Equity Issuance and/or the alternative structure contemplated by </w:t>
      </w:r>
      <w:r>
        <w:rPr>
          <w:rFonts w:ascii="Times New Roman" w:cs="Times New Roman" w:eastAsia="Times New Roman" w:hAnsi="Times New Roman"/>
          <w:sz w:val="16"/>
          <w:szCs w:val="16"/>
          <w:u w:val="single" w:color="auto"/>
          <w:color w:val="auto"/>
        </w:rPr>
        <w:t>Section 9.04(f)(i)</w:t>
      </w:r>
      <w:r>
        <w:rPr>
          <w:rFonts w:ascii="Times New Roman" w:cs="Times New Roman" w:eastAsia="Times New Roman" w:hAnsi="Times New Roman"/>
          <w:sz w:val="16"/>
          <w:szCs w:val="16"/>
          <w:color w:val="auto"/>
        </w:rPr>
        <w:t>, the Company will use its commercially reasonable efforts to reasonably cooperate with Parent to obtain any required approvals under Antitrust Laws in connection with the Equity Issuance and/or such alternative structure by: (i) providing Parent with such information as Parent reasonably requests in writing in connection with making any filings required under Antitrust Laws, (ii) at Parent’s reasonable request (and at Parent’s sole cost and expense) making such administrative filings with Governmental Authorities that are required by Antitrust Law to be made by the Company in connection with the Equity Issuance or such alternative structure, (iii) at Parent’s reasonable request (and at Parent’s sole cost and expense), attending and participating in meetings with any Governmental Authorities which are reasonably required in connection with obtaining clearance under Antitrust Laws, (iv) promptly notifying Parent of any written or material oral communication from any Governmental Authority relating to such approvals or clearance, (v)</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9720"/>
          </w:cols>
          <w:pgMar w:left="1080" w:top="254" w:right="1099" w:bottom="1440" w:gutter="0" w:footer="0" w:header="0"/>
        </w:sectPr>
      </w:pPr>
    </w:p>
    <w:bookmarkStart w:id="114" w:name="page115"/>
    <w:bookmarkEnd w:id="114"/>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subject to applicable Law and to the extent reasonably practicable, permit Parent to review and comment on any substantive written communication regarding the Equity Issuance or such alternative structure prior to providing such communication to any Governmental Authority and (vi) to extent reasonably practicable, not agree to participate, or permit its Subsidiaries or Representatives to participate, in any substantive meeting or discussion with any Governmental Authority with respect to the Equity Issuance or such alternative structure unless it consults with Parent in advance and, to the extent permitted by such Governmental Authority and reasonably practicable, gives Parent the opportunity to attend and participate. For the avoidance of doubt, and notwithstanding any provision in this </w:t>
      </w:r>
      <w:r>
        <w:rPr>
          <w:rFonts w:ascii="Times New Roman" w:cs="Times New Roman" w:eastAsia="Times New Roman" w:hAnsi="Times New Roman"/>
          <w:sz w:val="16"/>
          <w:szCs w:val="16"/>
          <w:u w:val="single" w:color="auto"/>
          <w:color w:val="auto"/>
        </w:rPr>
        <w:t>Section 9.04(g)</w:t>
      </w:r>
      <w:r>
        <w:rPr>
          <w:rFonts w:ascii="Times New Roman" w:cs="Times New Roman" w:eastAsia="Times New Roman" w:hAnsi="Times New Roman"/>
          <w:sz w:val="16"/>
          <w:szCs w:val="16"/>
          <w:color w:val="auto"/>
        </w:rPr>
        <w:t xml:space="preserve">, nothing in this </w:t>
      </w:r>
      <w:r>
        <w:rPr>
          <w:rFonts w:ascii="Times New Roman" w:cs="Times New Roman" w:eastAsia="Times New Roman" w:hAnsi="Times New Roman"/>
          <w:sz w:val="16"/>
          <w:szCs w:val="16"/>
          <w:u w:val="single" w:color="auto"/>
          <w:color w:val="auto"/>
        </w:rPr>
        <w:t>Section 9.04(g)</w:t>
      </w:r>
      <w:r>
        <w:rPr>
          <w:rFonts w:ascii="Times New Roman" w:cs="Times New Roman" w:eastAsia="Times New Roman" w:hAnsi="Times New Roman"/>
          <w:sz w:val="16"/>
          <w:szCs w:val="16"/>
          <w:color w:val="auto"/>
        </w:rPr>
        <w:t xml:space="preserve"> shall obligate the Company or any of its Subsidiaries to offer, agree to or accept any commitment, remedy, undertaking or Order of any kind.</w:t>
      </w:r>
    </w:p>
    <w:p>
      <w:pPr>
        <w:spacing w:after="0" w:line="166" w:lineRule="exact"/>
        <w:rPr>
          <w:sz w:val="20"/>
          <w:szCs w:val="20"/>
          <w:color w:val="auto"/>
        </w:rPr>
      </w:pPr>
    </w:p>
    <w:p>
      <w:pPr>
        <w:ind w:firstLine="874"/>
        <w:spacing w:after="0" w:line="251" w:lineRule="auto"/>
        <w:rPr>
          <w:sz w:val="20"/>
          <w:szCs w:val="20"/>
          <w:color w:val="auto"/>
        </w:rPr>
      </w:pPr>
      <w:r>
        <w:rPr>
          <w:rFonts w:ascii="Times New Roman" w:cs="Times New Roman" w:eastAsia="Times New Roman" w:hAnsi="Times New Roman"/>
          <w:sz w:val="16"/>
          <w:szCs w:val="16"/>
          <w:color w:val="auto"/>
        </w:rPr>
        <w:t xml:space="preserve">Section 9.05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This Agreement may be amended by the parties hereto by action taken by or on behalf of their respective boards of directors at any time prior to the Effective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after the Company Stockholder Approvals have been obtained, no amendment may be made that under applicable Law or in accordance with the rules of any relevant stock exchange requires further approval by the stockholders of the Company without such approval having been obtained. This Agreement may not be amended except by an instrument in writing signed by each of the parties hereto. Notwithstanding anything to the contrary in this </w:t>
      </w:r>
      <w:r>
        <w:rPr>
          <w:rFonts w:ascii="Times New Roman" w:cs="Times New Roman" w:eastAsia="Times New Roman" w:hAnsi="Times New Roman"/>
          <w:sz w:val="16"/>
          <w:szCs w:val="16"/>
          <w:u w:val="single" w:color="auto"/>
          <w:color w:val="auto"/>
        </w:rPr>
        <w:t>Section 9.05</w:t>
      </w:r>
      <w:r>
        <w:rPr>
          <w:rFonts w:ascii="Times New Roman" w:cs="Times New Roman" w:eastAsia="Times New Roman" w:hAnsi="Times New Roman"/>
          <w:sz w:val="16"/>
          <w:szCs w:val="16"/>
          <w:color w:val="auto"/>
        </w:rPr>
        <w:t xml:space="preserve">, none of </w:t>
      </w:r>
      <w:r>
        <w:rPr>
          <w:rFonts w:ascii="Times New Roman" w:cs="Times New Roman" w:eastAsia="Times New Roman" w:hAnsi="Times New Roman"/>
          <w:sz w:val="16"/>
          <w:szCs w:val="16"/>
          <w:u w:val="single" w:color="auto"/>
          <w:color w:val="auto"/>
        </w:rPr>
        <w:t>Section 5.08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7.19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11.05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11.07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11.09</w:t>
      </w:r>
      <w:r>
        <w:rPr>
          <w:rFonts w:ascii="Times New Roman" w:cs="Times New Roman" w:eastAsia="Times New Roman" w:hAnsi="Times New Roman"/>
          <w:sz w:val="16"/>
          <w:szCs w:val="16"/>
          <w:color w:val="auto"/>
        </w:rPr>
        <w:t xml:space="preserve"> (or any other provision of this Agreement the amendment or waiver of which has the effect of modifying such Sections) may be amended, modified, terminated or waived in a manner that is adverse to the Financing Sources without the prior written consent of such Financing Sources (it being expressly agreed that the Financing Sources in their capacities as such shall be third party beneficiaries of this </w:t>
      </w:r>
      <w:r>
        <w:rPr>
          <w:rFonts w:ascii="Times New Roman" w:cs="Times New Roman" w:eastAsia="Times New Roman" w:hAnsi="Times New Roman"/>
          <w:sz w:val="16"/>
          <w:szCs w:val="16"/>
          <w:u w:val="single" w:color="auto"/>
          <w:color w:val="auto"/>
        </w:rPr>
        <w:t>Section 9.05</w:t>
      </w:r>
      <w:r>
        <w:rPr>
          <w:rFonts w:ascii="Times New Roman" w:cs="Times New Roman" w:eastAsia="Times New Roman" w:hAnsi="Times New Roman"/>
          <w:sz w:val="16"/>
          <w:szCs w:val="16"/>
          <w:color w:val="auto"/>
        </w:rPr>
        <w:t xml:space="preserve"> and shall be entitled to the protections of the provisions contained in this </w:t>
      </w:r>
      <w:r>
        <w:rPr>
          <w:rFonts w:ascii="Times New Roman" w:cs="Times New Roman" w:eastAsia="Times New Roman" w:hAnsi="Times New Roman"/>
          <w:sz w:val="16"/>
          <w:szCs w:val="16"/>
          <w:u w:val="single" w:color="auto"/>
          <w:color w:val="auto"/>
        </w:rPr>
        <w:t>Section 9.05</w:t>
      </w:r>
      <w:r>
        <w:rPr>
          <w:rFonts w:ascii="Times New Roman" w:cs="Times New Roman" w:eastAsia="Times New Roman" w:hAnsi="Times New Roman"/>
          <w:sz w:val="16"/>
          <w:szCs w:val="16"/>
          <w:color w:val="auto"/>
        </w:rPr>
        <w:t xml:space="preserve"> as if they were a party to this Agreement).</w:t>
      </w:r>
    </w:p>
    <w:p>
      <w:pPr>
        <w:spacing w:after="0" w:line="170" w:lineRule="exact"/>
        <w:rPr>
          <w:sz w:val="20"/>
          <w:szCs w:val="20"/>
          <w:color w:val="auto"/>
        </w:rPr>
      </w:pPr>
    </w:p>
    <w:p>
      <w:pPr>
        <w:ind w:firstLine="874"/>
        <w:spacing w:after="0" w:line="252" w:lineRule="auto"/>
        <w:rPr>
          <w:sz w:val="20"/>
          <w:szCs w:val="20"/>
          <w:color w:val="auto"/>
        </w:rPr>
      </w:pPr>
      <w:r>
        <w:rPr>
          <w:rFonts w:ascii="Times New Roman" w:cs="Times New Roman" w:eastAsia="Times New Roman" w:hAnsi="Times New Roman"/>
          <w:sz w:val="16"/>
          <w:szCs w:val="16"/>
          <w:color w:val="auto"/>
        </w:rPr>
        <w:t xml:space="preserve">Section 9.06 </w:t>
      </w: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At any time prior to the Effective Time, any party hereto may (a) extend the time for the performance of any obligation or other act of any other party hereto, (b) to the extent permitted by applicable Law, waive any breach of or inaccuracy in the representations and warranties of any other party contained in this Agreement or in any document delivered pursuant hereto and (c) to the extent permitted by applicable Law, waive compliance with any agreement of any other party or any condition to its own obligations contained in this Agreement. No extension or waiver by the Company shall require the approval of the stockholders of the Company, unless required by applicable Law. Notwithstanding the foregoing, no failure or delay by the Company or Parent, First Merger Sub or Second Merger Sub in exercising any right hereunder shall operate as a waiver thereof nor shall any single or partial exercise thereof preclude any other or future exercise of any other right hereunder. Any such extension or waiver shall be valid if set forth in an instrument in writing signed by the party or parties to be bound thereby.</w:t>
      </w:r>
    </w:p>
    <w:p>
      <w:pPr>
        <w:spacing w:after="0" w:line="168" w:lineRule="exact"/>
        <w:rPr>
          <w:sz w:val="20"/>
          <w:szCs w:val="20"/>
          <w:color w:val="auto"/>
        </w:rPr>
      </w:pPr>
    </w:p>
    <w:p>
      <w:pPr>
        <w:jc w:val="both"/>
        <w:ind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9.07 </w:t>
      </w:r>
      <w:r>
        <w:rPr>
          <w:rFonts w:ascii="Times New Roman" w:cs="Times New Roman" w:eastAsia="Times New Roman" w:hAnsi="Times New Roman"/>
          <w:sz w:val="16"/>
          <w:szCs w:val="16"/>
          <w:u w:val="single" w:color="auto"/>
          <w:color w:val="auto"/>
        </w:rPr>
        <w:t>Procedure for Termination or Amendment</w:t>
      </w:r>
      <w:r>
        <w:rPr>
          <w:rFonts w:ascii="Times New Roman" w:cs="Times New Roman" w:eastAsia="Times New Roman" w:hAnsi="Times New Roman"/>
          <w:sz w:val="16"/>
          <w:szCs w:val="16"/>
          <w:color w:val="auto"/>
        </w:rPr>
        <w:t xml:space="preserve">. A termination of this Agreement pursuant to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xml:space="preserve"> or an amendment of this Agreement pursuant to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shall, in order to be effective, require, in the case of Parent or the Company, action by its board of directors or, with respect to any amendment of this Agreement pursuant to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the duly authorized committee of its board of directors to the extent permitted by applicable Law.</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9700"/>
          </w:cols>
          <w:pgMar w:left="1080" w:top="254" w:right="1119"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X</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CVR HOLDER REPRESENTATIVE</w:t>
      </w:r>
    </w:p>
    <w:p>
      <w:pPr>
        <w:spacing w:after="0" w:line="199" w:lineRule="exact"/>
        <w:rPr>
          <w:sz w:val="20"/>
          <w:szCs w:val="20"/>
          <w:color w:val="auto"/>
        </w:rPr>
      </w:pPr>
    </w:p>
    <w:p>
      <w:pPr>
        <w:ind w:right="40" w:firstLine="874"/>
        <w:spacing w:after="0" w:line="250" w:lineRule="auto"/>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u w:val="single" w:color="auto"/>
          <w:color w:val="auto"/>
        </w:rPr>
        <w:t>Designation and Replacement of CVR Holder Representative</w:t>
      </w:r>
      <w:r>
        <w:rPr>
          <w:rFonts w:ascii="Times New Roman" w:cs="Times New Roman" w:eastAsia="Times New Roman" w:hAnsi="Times New Roman"/>
          <w:sz w:val="16"/>
          <w:szCs w:val="16"/>
          <w:color w:val="auto"/>
        </w:rPr>
        <w:t>. The parties have agreed that it is desirable to designate a representative to act on behalf of those holders of Company Stock and Company Equity Awards who receive CVRs pursuant to the terms of this Agreement (each, a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for all purposes under the CVR Agreement (the “</w:t>
      </w:r>
      <w:r>
        <w:rPr>
          <w:rFonts w:ascii="Times New Roman" w:cs="Times New Roman" w:eastAsia="Times New Roman" w:hAnsi="Times New Roman"/>
          <w:sz w:val="16"/>
          <w:szCs w:val="16"/>
          <w:u w:val="single" w:color="auto"/>
          <w:color w:val="auto"/>
        </w:rPr>
        <w:t>CVR Holder Representative</w:t>
      </w:r>
      <w:r>
        <w:rPr>
          <w:rFonts w:ascii="Times New Roman" w:cs="Times New Roman" w:eastAsia="Times New Roman" w:hAnsi="Times New Roman"/>
          <w:sz w:val="16"/>
          <w:szCs w:val="16"/>
          <w:color w:val="auto"/>
        </w:rPr>
        <w:t xml:space="preserve">”). The Company (and, upon execution of a Letter of Transmittal, each Holder) will, promptly following the date hereof, subject to the prior written consent of Parent (not to be unreasonably withheld, conditioned or delayed), designate an initial CVR Holder Representative, and appoint the CVR Holder Representative as agent and attorney-in-fact for and on behalf of the other Holders for all purposes under the CVR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the foregoing, the Company may appoint Fortis Advisors LLC (or any of its Affiliates) or Shareholder Representative Services LLC (or any of its Affiliates) as the CVR Holder Representative without Parent’s consent. The CVR Holder Representative may resign at any time by five days’ prior written notice to Parent. The CVR Holder Representative may be removed pursuant to the terms of the CVR Agreement. In the event that the CVR Holder Representative has resigned or been removed, a new CVR Holder Representative, as applicable, shall concurrently be appointed pursuant to the CVR Agreement. All power, authority, rights and privileges conferred in this Agreement and the CVR Agreement to the initial CVR Holder Representative will apply to any successor CVR Holder Representative. The designation of any Person as a CVR Holder Representative is and shall be coupled with an interest, and, except as set forth in this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such designation is irrevocable and shall not be affected by the death, incapacity, illness, bankruptcy, dissolution or other inability to act of any of the stockholders of the Company.</w:t>
      </w:r>
    </w:p>
    <w:p>
      <w:pPr>
        <w:spacing w:after="0" w:line="173" w:lineRule="exact"/>
        <w:rPr>
          <w:sz w:val="20"/>
          <w:szCs w:val="20"/>
          <w:color w:val="auto"/>
        </w:rPr>
      </w:pPr>
    </w:p>
    <w:p>
      <w:pPr>
        <w:ind w:firstLine="874"/>
        <w:spacing w:after="0" w:line="270" w:lineRule="auto"/>
        <w:rPr>
          <w:sz w:val="20"/>
          <w:szCs w:val="20"/>
          <w:color w:val="auto"/>
        </w:rPr>
      </w:pPr>
      <w:r>
        <w:rPr>
          <w:rFonts w:ascii="Times New Roman" w:cs="Times New Roman" w:eastAsia="Times New Roman" w:hAnsi="Times New Roman"/>
          <w:sz w:val="15"/>
          <w:szCs w:val="15"/>
          <w:color w:val="auto"/>
        </w:rPr>
        <w:t xml:space="preserve">Section 10.02 </w:t>
      </w:r>
      <w:r>
        <w:rPr>
          <w:rFonts w:ascii="Times New Roman" w:cs="Times New Roman" w:eastAsia="Times New Roman" w:hAnsi="Times New Roman"/>
          <w:sz w:val="15"/>
          <w:szCs w:val="15"/>
          <w:u w:val="single" w:color="auto"/>
          <w:color w:val="auto"/>
        </w:rPr>
        <w:t>Authority and Rights of the CVR Holder Representative; Limitations on Liability</w:t>
      </w:r>
      <w:r>
        <w:rPr>
          <w:rFonts w:ascii="Times New Roman" w:cs="Times New Roman" w:eastAsia="Times New Roman" w:hAnsi="Times New Roman"/>
          <w:sz w:val="15"/>
          <w:szCs w:val="15"/>
          <w:color w:val="auto"/>
        </w:rPr>
        <w:t xml:space="preserve">. The CVR Holder Representative shall have such powers and authority as are necessary to carry out the functions, on behalf of the Holders, assigned to it under the CVR Agreement, as applicable;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CVR Holder Representative shall have no obligation to act, except as expressly provided herein. Without limiting the generality of the foregoing, each Holder agrees that the CVR Holder Representative has full power, authority and discretion, on behalf of each Holder and his, her or its successors and assigns, to (a) interpret the terms and provisions of the CVR Agreement and the documents to be executed and delivered by the Holders in connection therewith, (b) execute and deliver and receive deliveries of all agreements, certificates, statements, notices, approvals, extensions, waivers, undertakings, amendments and other documents required or permitted to be given in connection with the consummation of the transactions contemplated by the CVR Agreement, as applicable, (c) receive service of process in connection with any claims under the CVR Agreement or any document or agreement contemplated to be executed or delivered in connection with the CVR Agreement, (d) agree to, negotiate and enter into settlements and compromises of, and assume the defense of, claims, and demand arbitration and comply with Orders and awards of arbitrators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9680"/>
          </w:cols>
          <w:pgMar w:left="1080" w:top="252" w:right="1139" w:bottom="1440" w:gutter="0" w:footer="0" w:header="0"/>
        </w:sectPr>
      </w:pPr>
    </w:p>
    <w:bookmarkStart w:id="116" w:name="page117"/>
    <w:bookmarkEnd w:id="116"/>
    <w:p>
      <w:pPr>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with respect to such claims, and take all actions necessary or appropriate in the judgement of the CVR Holder Representative for the accomplishment of the foregoing, (e) give and receive notices and communications, and (f) take all actions necessary or appropriate in the judgment of the CVR Holder Representative in connection with the CVR Agreement. All actions taken by the CVR Holder Representative under the CVR Agreement shall be binding upon the Holders and their successors as if expressly confirmed and ratified in writing by each of them. The CVR Holder Representative shall not, in its capacity as such, have any liability to any Holder with respect to actions taken or omitted to be taken in its capacity as the CVR Holder Representative, except that the CVR Holder Representative will be liable for its willful misconduct or actual fraud, as finally determined by a court of competent jurisdiction from which no further appeal may be taken. The CVR Holder Representative shall at all times be entitled to rely on any directions received from the Majority Holders (as defined in the CVR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CVR Holder Representative shall not be required to follow any such direction, and shall be under no obligation to take any action in its capacity as the CVR Holder Representative, unless the CVR Holder Representative has been provided with other funds, security or indemnities which, in the sole determination of the CVR Holder Representative are sufficient to protect the CVR Holder Representative against the costs, expenses and liabilities which may be incurred by the CVR Holder Representative in responding to such direction or taking such action. At no cost to the Parent, First Merger Sub, Second Merger Sub or the Company, the CVR Holder Representative shall be entitled to engage such counsel, experts and other agents and consultants as it shall deem necessary in connection with exercising its powers and performing its function hereunder and (in the absence of bad faith on the part of the CVR Holder Representative) shall be entitled to conclusively rely on the opinions and advice of such Persons. The CVR Holder Representative shall be entitled to reimbursement from the Holders or the holders of the CVRs, as applicable, for all reasonable expenses, disbursements and advances (including fees and disbursements of their counsel, experts and other agents and consultants) incurred by the CVR Holder Representative in such capacity, and shall be entitled to indemnification from the Holders against any loss, liability or expenses arising out of actions taken or omitted to be taken in its capacity as the CVR Holder Representative (except in each case for those arising out of the CVR Holder Representative’s, as applicable, gross negligence or willful misconduct), including the costs and expenses of investigation and defense of claims. Parent and the Company shall be able to rely conclusively (without liability) on any instructions given and actions taken by the CVR Holder Representative as the instruction and decision of each Holder in all matters referred to therein, including instructions with respect to the payment and distribution of any amounts payable pursuant to or in relation to the CVR Agreement. No Holder shall have any cause of action against Parent or the Company for any action taken by Parent or the Company in reliance upon the written instructions or decisions of the CVR Holder Representative, or otherwise on account of payments or distributions made by or on behalf of Parent in accordance with the instructions of the CVR Holder Representative. The annual administration or retainer fees payable to the CVR Holder Representative shall be borne by Parent. Other than such annual administration or retainer fees, none of Parent, the Company or their respective Subsidiaries shall be responsible for or pay any other fees, expenses or other costs of the CVR Holder Representative. Notwithstanding anything to the contrary in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xml:space="preserve">, in the event of a conflict between the terms of the CVR Agreement and this </w:t>
      </w:r>
      <w:r>
        <w:rPr>
          <w:rFonts w:ascii="Times New Roman" w:cs="Times New Roman" w:eastAsia="Times New Roman" w:hAnsi="Times New Roman"/>
          <w:sz w:val="15"/>
          <w:szCs w:val="15"/>
          <w:u w:val="single" w:color="auto"/>
          <w:color w:val="auto"/>
        </w:rPr>
        <w:t>Article X</w:t>
      </w:r>
      <w:r>
        <w:rPr>
          <w:rFonts w:ascii="Times New Roman" w:cs="Times New Roman" w:eastAsia="Times New Roman" w:hAnsi="Times New Roman"/>
          <w:sz w:val="15"/>
          <w:szCs w:val="15"/>
          <w:color w:val="auto"/>
        </w:rPr>
        <w:t>, the CVR Agreement shall control.</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9680"/>
          </w:cols>
          <w:pgMar w:left="1080" w:top="254" w:right="11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XI</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199" w:lineRule="exact"/>
        <w:rPr>
          <w:sz w:val="20"/>
          <w:szCs w:val="20"/>
          <w:color w:val="auto"/>
        </w:rPr>
      </w:pPr>
    </w:p>
    <w:p>
      <w:pPr>
        <w:ind w:right="20" w:firstLine="874"/>
        <w:spacing w:after="0" w:line="251" w:lineRule="auto"/>
        <w:rPr>
          <w:sz w:val="20"/>
          <w:szCs w:val="20"/>
          <w:color w:val="auto"/>
        </w:rPr>
      </w:pPr>
      <w:r>
        <w:rPr>
          <w:rFonts w:ascii="Times New Roman" w:cs="Times New Roman" w:eastAsia="Times New Roman" w:hAnsi="Times New Roman"/>
          <w:sz w:val="16"/>
          <w:szCs w:val="16"/>
          <w:color w:val="auto"/>
        </w:rPr>
        <w:t xml:space="preserve">Section 11.01 </w:t>
      </w:r>
      <w:r>
        <w:rPr>
          <w:rFonts w:ascii="Times New Roman" w:cs="Times New Roman" w:eastAsia="Times New Roman" w:hAnsi="Times New Roman"/>
          <w:sz w:val="16"/>
          <w:szCs w:val="16"/>
          <w:u w:val="single" w:color="auto"/>
          <w:color w:val="auto"/>
        </w:rPr>
        <w:t>Non-Survival of Representations, Warranties, Covenants and Agreements; Exclusive Remedy</w:t>
      </w:r>
      <w:r>
        <w:rPr>
          <w:rFonts w:ascii="Times New Roman" w:cs="Times New Roman" w:eastAsia="Times New Roman" w:hAnsi="Times New Roman"/>
          <w:sz w:val="16"/>
          <w:szCs w:val="16"/>
          <w:color w:val="auto"/>
        </w:rPr>
        <w:t xml:space="preserve">. The representations, warranties, covenants and agreements in this Agreement and in any certificate delivered pursuant hereto shall terminate at the Effective Time, except for those covenants and agreements contained in this Agreement (including, without limitation,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that by their terms are to be performed in whole or in part after the Effective Time (the “</w:t>
      </w:r>
      <w:r>
        <w:rPr>
          <w:rFonts w:ascii="Times New Roman" w:cs="Times New Roman" w:eastAsia="Times New Roman" w:hAnsi="Times New Roman"/>
          <w:sz w:val="16"/>
          <w:szCs w:val="16"/>
          <w:u w:val="single" w:color="auto"/>
          <w:color w:val="auto"/>
        </w:rPr>
        <w:t>Post-Closing Covenants</w:t>
      </w:r>
      <w:r>
        <w:rPr>
          <w:rFonts w:ascii="Times New Roman" w:cs="Times New Roman" w:eastAsia="Times New Roman" w:hAnsi="Times New Roman"/>
          <w:sz w:val="16"/>
          <w:szCs w:val="16"/>
          <w:color w:val="auto"/>
        </w:rPr>
        <w:t>”). Effective as of the Effective Time, except for claims for Fraud or in respect of the Post-Closing Covenants, following the Effective Time, none of Parent, First Merger Sub, Second Merger Sub, the Company or any holder of Company Stock or Company Equity Awards (each, an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xml:space="preserve">”) shall have any other rights or remedies in connection with any breach of this Agreement or any other liability arising out of the negotiation, entry into or consummation of the Transactions, whether at law or in equity or based on contract, tort, statute or otherwise. The provisions of and the limited remedies provided in this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xml:space="preserve"> were specifically bargained for among the parties and were taken into account by the parties in arriving at the Merger Consideration. After the Closing, no party or its Affiliates may seek the rescission of the Transactions.</w:t>
      </w:r>
    </w:p>
    <w:p>
      <w:pPr>
        <w:spacing w:after="0" w:line="170" w:lineRule="exact"/>
        <w:rPr>
          <w:sz w:val="20"/>
          <w:szCs w:val="20"/>
          <w:color w:val="auto"/>
        </w:rPr>
      </w:pPr>
    </w:p>
    <w:p>
      <w:pPr>
        <w:ind w:firstLine="874"/>
        <w:spacing w:after="0" w:line="253" w:lineRule="auto"/>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All notices, requests, claims, demands and other communications under this Agreement shall be in writing and shall be deemed to have been duly given (a) when delivered in person, (b) upon confirmation of receipt after transmittal by facsimile (to such number specified below or another number or numbers as such Person may subsequently specify by proper notice under this Agreement), (c) upon confirmation of receipt after transmittal by email (to such email address specified below or another email address or addresses as such Person may subsequently specify by proper notice under this Agreement) and (d) on the next Business Day when sent by national overnight courier (providing proof of delivery), in each case to the respective parties at the following addresses (or at such other address for a party as shall be specified in a notice given in accordance with this </w:t>
      </w:r>
      <w:r>
        <w:rPr>
          <w:rFonts w:ascii="Times New Roman" w:cs="Times New Roman" w:eastAsia="Times New Roman" w:hAnsi="Times New Roman"/>
          <w:sz w:val="16"/>
          <w:szCs w:val="16"/>
          <w:u w:val="single" w:color="auto"/>
          <w:color w:val="auto"/>
        </w:rPr>
        <w:t>Section 11.02</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if to Parent, First Merger Sub or Second Merger Sub:</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San Diego, California 92122</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Charles E. Dadswell, Senior Vice President and General Counsel</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Telephone:</w:t>
        <w:tab/>
        <w:t>858-202-4500</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Facsimile:</w:t>
      </w:r>
      <w:r>
        <w:rPr>
          <w:sz w:val="20"/>
          <w:szCs w:val="20"/>
          <w:color w:val="auto"/>
        </w:rPr>
        <w:tab/>
      </w:r>
      <w:r>
        <w:rPr>
          <w:rFonts w:ascii="Times New Roman" w:cs="Times New Roman" w:eastAsia="Times New Roman" w:hAnsi="Times New Roman"/>
          <w:sz w:val="16"/>
          <w:szCs w:val="16"/>
          <w:color w:val="auto"/>
        </w:rPr>
        <w:t>858-202-4545</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CDadswell@illumina.com</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legalnotices@illumina.com</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9720"/>
          </w:cols>
          <w:pgMar w:left="1080" w:top="252" w:right="1099" w:bottom="1440" w:gutter="0" w:footer="0" w:header="0"/>
        </w:sectPr>
      </w:pPr>
    </w:p>
    <w:bookmarkStart w:id="118" w:name="page119"/>
    <w:bookmarkEnd w:id="118"/>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with a copy to:</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Worldwide Plaza</w:t>
      </w:r>
    </w:p>
    <w:p>
      <w:pPr>
        <w:spacing w:after="0" w:line="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825 Eighth Avenue</w:t>
      </w:r>
    </w:p>
    <w:p>
      <w:pPr>
        <w:spacing w:after="0" w:line="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New York, New York 10019-7475</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Faiza J. Saeed</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Ting S. Chen</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Telephone:</w:t>
        <w:tab/>
        <w:t>212-474-1000</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Facsimile:</w:t>
      </w:r>
      <w:r>
        <w:rPr>
          <w:sz w:val="20"/>
          <w:szCs w:val="20"/>
          <w:color w:val="auto"/>
        </w:rPr>
        <w:tab/>
      </w:r>
      <w:r>
        <w:rPr>
          <w:rFonts w:ascii="Times New Roman" w:cs="Times New Roman" w:eastAsia="Times New Roman" w:hAnsi="Times New Roman"/>
          <w:sz w:val="16"/>
          <w:szCs w:val="16"/>
          <w:color w:val="auto"/>
        </w:rPr>
        <w:t>212-474-3700</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fsaeed@cravath.com</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tchen@cravath.com</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General Counsel</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Telephone:</w:t>
        <w:tab/>
        <w:t>650-863-1024</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msong@grailbio.com</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with a copy to:</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23"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W. Alex Voxman, Esq.</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Andrew Clark, Esq.</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Telephone:</w:t>
        <w:tab/>
        <w:t>213-485-1234</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Facsimile:</w:t>
      </w:r>
      <w:r>
        <w:rPr>
          <w:sz w:val="20"/>
          <w:szCs w:val="20"/>
          <w:color w:val="auto"/>
        </w:rPr>
        <w:tab/>
      </w:r>
      <w:r>
        <w:rPr>
          <w:rFonts w:ascii="Times New Roman" w:cs="Times New Roman" w:eastAsia="Times New Roman" w:hAnsi="Times New Roman"/>
          <w:sz w:val="16"/>
          <w:szCs w:val="16"/>
          <w:color w:val="auto"/>
        </w:rPr>
        <w:t>213-891-8763</w:t>
      </w:r>
    </w:p>
    <w:p>
      <w:pPr>
        <w:spacing w:after="0" w:line="6" w:lineRule="exact"/>
        <w:rPr>
          <w:sz w:val="20"/>
          <w:szCs w:val="20"/>
          <w:color w:val="auto"/>
        </w:rPr>
      </w:pPr>
    </w:p>
    <w:p>
      <w:pPr>
        <w:ind w:left="1180"/>
        <w:spacing w:after="0"/>
        <w:tabs>
          <w:tab w:leader="none" w:pos="210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alex.voxman@lw.com</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andrew.clark@lw.com</w:t>
      </w:r>
    </w:p>
    <w:p>
      <w:pPr>
        <w:spacing w:after="0" w:line="180" w:lineRule="exact"/>
        <w:rPr>
          <w:sz w:val="20"/>
          <w:szCs w:val="20"/>
          <w:color w:val="auto"/>
        </w:rPr>
      </w:pPr>
    </w:p>
    <w:p>
      <w:pPr>
        <w:ind w:right="60"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11.03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spacing w:after="0" w:line="165" w:lineRule="exact"/>
        <w:rPr>
          <w:sz w:val="20"/>
          <w:szCs w:val="20"/>
          <w:color w:val="auto"/>
        </w:rPr>
      </w:pPr>
    </w:p>
    <w:p>
      <w:pPr>
        <w:ind w:firstLine="874"/>
        <w:spacing w:after="0" w:line="258" w:lineRule="auto"/>
        <w:rPr>
          <w:sz w:val="20"/>
          <w:szCs w:val="20"/>
          <w:color w:val="auto"/>
        </w:rPr>
      </w:pPr>
      <w:r>
        <w:rPr>
          <w:rFonts w:ascii="Times New Roman" w:cs="Times New Roman" w:eastAsia="Times New Roman" w:hAnsi="Times New Roman"/>
          <w:sz w:val="16"/>
          <w:szCs w:val="16"/>
          <w:color w:val="auto"/>
        </w:rPr>
        <w:t xml:space="preserve">Section 11.04 </w:t>
      </w:r>
      <w:r>
        <w:rPr>
          <w:rFonts w:ascii="Times New Roman" w:cs="Times New Roman" w:eastAsia="Times New Roman" w:hAnsi="Times New Roman"/>
          <w:sz w:val="16"/>
          <w:szCs w:val="16"/>
          <w:u w:val="single" w:color="auto"/>
          <w:color w:val="auto"/>
        </w:rPr>
        <w:t>Entire Agreement; Assignment</w:t>
      </w:r>
      <w:r>
        <w:rPr>
          <w:rFonts w:ascii="Times New Roman" w:cs="Times New Roman" w:eastAsia="Times New Roman" w:hAnsi="Times New Roman"/>
          <w:sz w:val="16"/>
          <w:szCs w:val="16"/>
          <w:color w:val="auto"/>
        </w:rPr>
        <w:t>. This Agreement (including the exhibits and schedules hereto, including the Company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9720"/>
          </w:cols>
          <w:pgMar w:left="1080" w:top="254" w:right="1099" w:bottom="1440" w:gutter="0" w:footer="0" w:header="0"/>
        </w:sectPr>
      </w:pPr>
    </w:p>
    <w:bookmarkStart w:id="119" w:name="page120"/>
    <w:bookmarkEnd w:id="119"/>
    <w:p>
      <w:pPr>
        <w:ind w:right="20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matter hereof and thereof. Neither this Agreement nor any of the rights, interests or obligations hereunder shall be assigned by any of the parties, in whole or in part (whether pursuant to a merger, by operation of Law or otherwise), without the prior written consent of the other parties, except that Parent, First Merger Sub and Second Merger Sub may assign all or any of their rights and obligations under this Agreement to any Affiliate of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assignment shall relieve the assigning party of its obligations under this Agreement if such assignee does not perform such obligations.</w:t>
      </w:r>
    </w:p>
    <w:p>
      <w:pPr>
        <w:spacing w:after="0" w:line="165" w:lineRule="exact"/>
        <w:rPr>
          <w:sz w:val="20"/>
          <w:szCs w:val="20"/>
          <w:color w:val="auto"/>
        </w:rPr>
      </w:pPr>
    </w:p>
    <w:p>
      <w:pPr>
        <w:ind w:right="260" w:firstLine="874"/>
        <w:spacing w:after="0" w:line="255" w:lineRule="auto"/>
        <w:rPr>
          <w:sz w:val="20"/>
          <w:szCs w:val="20"/>
          <w:color w:val="auto"/>
        </w:rPr>
      </w:pPr>
      <w:r>
        <w:rPr>
          <w:rFonts w:ascii="Times New Roman" w:cs="Times New Roman" w:eastAsia="Times New Roman" w:hAnsi="Times New Roman"/>
          <w:sz w:val="16"/>
          <w:szCs w:val="16"/>
          <w:color w:val="auto"/>
        </w:rPr>
        <w:t xml:space="preserve">Section 11.05 </w:t>
      </w:r>
      <w:r>
        <w:rPr>
          <w:rFonts w:ascii="Times New Roman" w:cs="Times New Roman" w:eastAsia="Times New Roman" w:hAnsi="Times New Roman"/>
          <w:sz w:val="16"/>
          <w:szCs w:val="16"/>
          <w:u w:val="single" w:color="auto"/>
          <w:color w:val="auto"/>
        </w:rPr>
        <w:t>Parties in Interest</w:t>
      </w:r>
      <w:r>
        <w:rPr>
          <w:rFonts w:ascii="Times New Roman" w:cs="Times New Roman" w:eastAsia="Times New Roman" w:hAnsi="Times New Roman"/>
          <w:sz w:val="16"/>
          <w:szCs w:val="16"/>
          <w:color w:val="auto"/>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 except (i) as specifically provided in </w:t>
      </w:r>
      <w:r>
        <w:rPr>
          <w:rFonts w:ascii="Times New Roman" w:cs="Times New Roman" w:eastAsia="Times New Roman" w:hAnsi="Times New Roman"/>
          <w:sz w:val="16"/>
          <w:szCs w:val="16"/>
          <w:u w:val="single" w:color="auto"/>
          <w:color w:val="auto"/>
        </w:rPr>
        <w:t>Section 7.05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7.19</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u w:val="single" w:color="auto"/>
          <w:color w:val="auto"/>
        </w:rPr>
        <w:t>Section 9.05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11.05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11.07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11.09</w:t>
      </w:r>
      <w:r>
        <w:rPr>
          <w:rFonts w:ascii="Times New Roman" w:cs="Times New Roman" w:eastAsia="Times New Roman" w:hAnsi="Times New Roman"/>
          <w:sz w:val="16"/>
          <w:szCs w:val="16"/>
          <w:color w:val="auto"/>
        </w:rPr>
        <w:t xml:space="preserve"> (which is intended to be for the benefit of the Persons expressly covered thereby and may be enforced by such Persons) and (ii) that the Company shall have the right to pursue damages on behalf of its stockholders in the event of Parent’s, First Merger Sub’s or Second Merger Sub’s Intentional Breach of this Agreement, which right is hereby acknowledged by Parent, First Merger Sub and Second Merger Sub.</w:t>
      </w:r>
    </w:p>
    <w:p>
      <w:pPr>
        <w:spacing w:after="0" w:line="165" w:lineRule="exact"/>
        <w:rPr>
          <w:sz w:val="20"/>
          <w:szCs w:val="20"/>
          <w:color w:val="auto"/>
        </w:rPr>
      </w:pPr>
    </w:p>
    <w:p>
      <w:pPr>
        <w:ind w:right="20" w:firstLine="874"/>
        <w:spacing w:after="0" w:line="254" w:lineRule="auto"/>
        <w:rPr>
          <w:sz w:val="20"/>
          <w:szCs w:val="20"/>
          <w:color w:val="auto"/>
        </w:rPr>
      </w:pPr>
      <w:r>
        <w:rPr>
          <w:rFonts w:ascii="Times New Roman" w:cs="Times New Roman" w:eastAsia="Times New Roman" w:hAnsi="Times New Roman"/>
          <w:sz w:val="16"/>
          <w:szCs w:val="16"/>
          <w:color w:val="auto"/>
        </w:rPr>
        <w:t xml:space="preserve">Section 11.06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spacing w:after="0" w:line="165" w:lineRule="exact"/>
        <w:rPr>
          <w:sz w:val="20"/>
          <w:szCs w:val="20"/>
          <w:color w:val="auto"/>
        </w:rPr>
      </w:pPr>
    </w:p>
    <w:p>
      <w:pPr>
        <w:ind w:right="60" w:firstLine="874"/>
        <w:spacing w:after="0" w:line="270" w:lineRule="auto"/>
        <w:rPr>
          <w:sz w:val="20"/>
          <w:szCs w:val="20"/>
          <w:color w:val="auto"/>
        </w:rPr>
      </w:pPr>
      <w:r>
        <w:rPr>
          <w:rFonts w:ascii="Times New Roman" w:cs="Times New Roman" w:eastAsia="Times New Roman" w:hAnsi="Times New Roman"/>
          <w:sz w:val="15"/>
          <w:szCs w:val="15"/>
          <w:color w:val="auto"/>
        </w:rPr>
        <w:t xml:space="preserve">Section 11.07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(a) This Agreement shall be governed by, and construed in accordance with, the laws of the State of Delaware, without giving effect to any choice or conflict of law provisions or rule (whether of the State of Delaware or any other jurisdiction) that would cause the application of the laws of any jurisdiction other than the State of Delaware. All Actions arising out of or relating to this Agreement or the Transactions shall be heard and determined exclusively in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The parties hereto hereby (i) irrevocably submit to the exclusive jurisdiction of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9720"/>
          </w:cols>
          <w:pgMar w:left="1080" w:top="254" w:right="1099" w:bottom="1440" w:gutter="0" w:footer="0" w:header="0"/>
        </w:sectPr>
      </w:pPr>
    </w:p>
    <w:bookmarkStart w:id="120" w:name="page121"/>
    <w:bookmarkEnd w:id="120"/>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or, if subject matter jurisdiction over the action or proceeding is vested exclusively in the federal courts of the United States of America, the United States District Court for the District of Delaware and, in each case, the appellate court(s) therefrom) for the purpose of any Action arising out of or relating to this Agreement or the Transactions brought by any party hereto,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the above-named courts, and (iii) agree that such party will not bring any Action arising out of or relating to this Agreement or the Transactions in any court other than the Court of Chancery of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Service of process, summons, notice or document to any party’s address and in the manner set forth in </w:t>
      </w:r>
      <w:r>
        <w:rPr>
          <w:rFonts w:ascii="Times New Roman" w:cs="Times New Roman" w:eastAsia="Times New Roman" w:hAnsi="Times New Roman"/>
          <w:sz w:val="16"/>
          <w:szCs w:val="16"/>
          <w:u w:val="single" w:color="auto"/>
          <w:color w:val="auto"/>
        </w:rPr>
        <w:t>Section 11.02</w:t>
      </w:r>
      <w:r>
        <w:rPr>
          <w:rFonts w:ascii="Times New Roman" w:cs="Times New Roman" w:eastAsia="Times New Roman" w:hAnsi="Times New Roman"/>
          <w:sz w:val="16"/>
          <w:szCs w:val="16"/>
          <w:color w:val="auto"/>
        </w:rPr>
        <w:t xml:space="preserve"> shall be effective service of process for any such action.</w:t>
      </w:r>
    </w:p>
    <w:p>
      <w:pPr>
        <w:spacing w:after="0" w:line="168" w:lineRule="exact"/>
        <w:rPr>
          <w:sz w:val="20"/>
          <w:szCs w:val="20"/>
          <w:color w:val="auto"/>
        </w:rPr>
      </w:pPr>
    </w:p>
    <w:p>
      <w:pPr>
        <w:ind w:firstLine="883"/>
        <w:spacing w:after="0" w:line="251" w:lineRule="auto"/>
        <w:tabs>
          <w:tab w:leader="none" w:pos="109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hereto and each Affiliate of Parent acknowledges and irrevocably agrees (i) that any Action (whether at law, in equity, in contract, in tort or otherwise) arising out of, or in any way relating to, the Financing or the performance of services thereunder or related thereto against or by any Financing Source in its capacity as such shall be subject to the exclusive jurisdiction of any state or federal court sitting in the Borough of Manhattan, New York, New York, and any appellate court therefrom, and each party hereto submits for itself and its property with respect to any such Action to the exclusive jurisdiction of such courts, (ii) not to bring or permit any of its Affiliates to bring or support anyone else in bringing any such Action in any other court, (iii) to waive and hereby waive, to the fullest extent permitted by Law, any objection which any of them may now or hereafter have to the laying of venue of, and the defense of an inconvenient forum to the maintenance of, any such Action in any such court, (iv) that a final judgment in any such Action shall be conclusive and may be enforced in other jurisdictions by suit on the judgment or in any other manner provided by Law and (v) that any such Action shall be governed by, and construed in accordance with, the Laws of the State of New York (it being expressly agreed that the Financing Sources in their capacities as such shall be third party beneficiaries of this Section 11.07 and shall be entitled to enforce the provisions contained in this Section 11.07 as if they were a party to this Agreement).</w:t>
      </w:r>
    </w:p>
    <w:p>
      <w:pPr>
        <w:spacing w:after="0" w:line="168" w:lineRule="exact"/>
        <w:rPr>
          <w:sz w:val="20"/>
          <w:szCs w:val="20"/>
          <w:color w:val="auto"/>
        </w:rPr>
      </w:pPr>
    </w:p>
    <w:p>
      <w:pPr>
        <w:ind w:right="80" w:firstLine="874"/>
        <w:spacing w:after="0" w:line="263" w:lineRule="auto"/>
        <w:rPr>
          <w:sz w:val="20"/>
          <w:szCs w:val="20"/>
          <w:color w:val="auto"/>
        </w:rPr>
      </w:pPr>
      <w:r>
        <w:rPr>
          <w:rFonts w:ascii="Times New Roman" w:cs="Times New Roman" w:eastAsia="Times New Roman" w:hAnsi="Times New Roman"/>
          <w:sz w:val="16"/>
          <w:szCs w:val="16"/>
          <w:color w:val="auto"/>
        </w:rPr>
        <w:t xml:space="preserve">Section 11.08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9700"/>
          </w:cols>
          <w:pgMar w:left="1080" w:top="254" w:right="1119" w:bottom="1440" w:gutter="0" w:footer="0" w:header="0"/>
        </w:sectPr>
      </w:pPr>
    </w:p>
    <w:bookmarkStart w:id="121" w:name="page122"/>
    <w:bookmarkEnd w:id="121"/>
    <w:p>
      <w:pPr>
        <w:ind w:right="160" w:firstLine="874"/>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11.09 </w:t>
      </w: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EACH PARTY HERETO AND EACH AFFILIATE OF PARENT ACKNOWLEDGES AND AGREES THAT ANY CONTROVERSY WHICH MAY ARISE UNDER THIS AGREEMENT IS LIKELY TO INVOLVE COMPLICATED AND DIFFICULT ISSUES, AND THEREFORE, EACH OF THE PARTIES HERETO AND EACH AFFILIATE OF PARENT HEREBY IRREVOCABLY AND UNCONDITIONALLY WAIVES TO THE FULLEST EXTENT PERMITTED BY APPLICABLE LAW ANY RIGHT IT MAY HAVE TO A TRIAL BY JURY WITH RESPECT TO ANY LITIGATION DIRECTLY OR INDIRECTLY ARISING OUT OF OR RELATING TO THIS AGREEMENT OR THE TRANSACTIONS (INCLUDING THE COMMITMENT LETTER AND ANY FINANCING CONTEMPLATED BY PARENT OR ANY OF ITS AFFILIATES IN CONNECTION WITH THIS AGREEMENT).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w:t>
      </w:r>
    </w:p>
    <w:p>
      <w:pPr>
        <w:spacing w:after="0" w:line="2" w:lineRule="exact"/>
        <w:rPr>
          <w:sz w:val="20"/>
          <w:szCs w:val="20"/>
          <w:color w:val="auto"/>
        </w:rPr>
      </w:pPr>
    </w:p>
    <w:p>
      <w:pPr>
        <w:ind w:right="340" w:firstLine="9"/>
        <w:spacing w:after="0" w:line="289" w:lineRule="auto"/>
        <w:tabs>
          <w:tab w:leader="none" w:pos="251"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SUCH PARTY MAKES THIS WAIVER VOLUNTARILY, AND (D) EACH SUCH PARTY HAS BEEN INDUCED TO ENTER INTO THIS AGREEMENT AND THE TRANSACTIONS BY, AMONG OTHER THINGS, THE MUTUAL WAIVERS IN THIS </w:t>
      </w:r>
      <w:r>
        <w:rPr>
          <w:rFonts w:ascii="Times New Roman" w:cs="Times New Roman" w:eastAsia="Times New Roman" w:hAnsi="Times New Roman"/>
          <w:sz w:val="15"/>
          <w:szCs w:val="15"/>
          <w:u w:val="single" w:color="auto"/>
          <w:color w:val="auto"/>
        </w:rPr>
        <w:t>SECTION 11.09</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11.10 </w:t>
      </w:r>
      <w:r>
        <w:rPr>
          <w:rFonts w:ascii="Times New Roman" w:cs="Times New Roman" w:eastAsia="Times New Roman" w:hAnsi="Times New Roman"/>
          <w:sz w:val="16"/>
          <w:szCs w:val="16"/>
          <w:u w:val="single" w:color="auto"/>
          <w:color w:val="auto"/>
        </w:rPr>
        <w:t>Non-Assertion of Attorney-Client Privilege</w:t>
      </w:r>
      <w:r>
        <w:rPr>
          <w:rFonts w:ascii="Times New Roman" w:cs="Times New Roman" w:eastAsia="Times New Roman" w:hAnsi="Times New Roman"/>
          <w:sz w:val="16"/>
          <w:szCs w:val="16"/>
          <w:color w:val="auto"/>
        </w:rPr>
        <w:t>. Parent acknowledges that Latham &amp; Watkins LLP and other legal counsel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Prior Company Counsel</w:t>
      </w:r>
      <w:r>
        <w:rPr>
          <w:rFonts w:ascii="Times New Roman" w:cs="Times New Roman" w:eastAsia="Times New Roman" w:hAnsi="Times New Roman"/>
          <w:sz w:val="15"/>
          <w:szCs w:val="15"/>
          <w:color w:val="auto"/>
        </w:rPr>
        <w:t>”) have, on or prior to the Closing Date, represented one or more of the Selling Investors, Equityholders, the Company, and 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and other Affiliates, and their respective officers, employees and directors (each such Person, other than the Company and its Subsidiaries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their respective officers and employees, a “</w:t>
      </w:r>
      <w:r>
        <w:rPr>
          <w:rFonts w:ascii="Times New Roman" w:cs="Times New Roman" w:eastAsia="Times New Roman" w:hAnsi="Times New Roman"/>
          <w:sz w:val="16"/>
          <w:szCs w:val="16"/>
          <w:u w:val="single" w:color="auto"/>
          <w:color w:val="auto"/>
        </w:rPr>
        <w:t>Designated Person</w:t>
      </w:r>
      <w:r>
        <w:rPr>
          <w:rFonts w:ascii="Times New Roman" w:cs="Times New Roman" w:eastAsia="Times New Roman" w:hAnsi="Times New Roman"/>
          <w:sz w:val="16"/>
          <w:szCs w:val="16"/>
          <w:color w:val="auto"/>
        </w:rPr>
        <w:t>”) in one or more matters relating to this Agreement or any other agreements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transactions contemplated hereby (including any matter that may be related to a litigation, claim or dispute arising under or related to this Agreement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other agreements or in connection with such transactions) (excluding, for the avoidance of doubt, the Company’s planned initial public offering)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an “</w:t>
      </w:r>
      <w:r>
        <w:rPr>
          <w:rFonts w:ascii="Times New Roman" w:cs="Times New Roman" w:eastAsia="Times New Roman" w:hAnsi="Times New Roman"/>
          <w:sz w:val="15"/>
          <w:szCs w:val="15"/>
          <w:u w:val="single" w:color="auto"/>
          <w:color w:val="auto"/>
        </w:rPr>
        <w:t>Existing Representation</w:t>
      </w:r>
      <w:r>
        <w:rPr>
          <w:rFonts w:ascii="Times New Roman" w:cs="Times New Roman" w:eastAsia="Times New Roman" w:hAnsi="Times New Roman"/>
          <w:sz w:val="15"/>
          <w:szCs w:val="15"/>
          <w:color w:val="auto"/>
        </w:rPr>
        <w:t>”). Each of Parent and the Company (on behalf of itself and its Affiliates) waives and shall not assert, and agrees after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Closing to cause its Affiliates to waive and to not assert, any attorney-client privilege, attorney work-product protection or expectation of client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confidence with respect to any communication between any Prior Company Counsel, on the one hand, and any Designated Person or the Company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of its Subsidiaries (collectively, the “</w:t>
      </w:r>
      <w:r>
        <w:rPr>
          <w:rFonts w:ascii="Times New Roman" w:cs="Times New Roman" w:eastAsia="Times New Roman" w:hAnsi="Times New Roman"/>
          <w:sz w:val="16"/>
          <w:szCs w:val="16"/>
          <w:u w:val="single" w:color="auto"/>
          <w:color w:val="auto"/>
        </w:rPr>
        <w:t>Pre-Closing Designated Persons</w:t>
      </w:r>
      <w:r>
        <w:rPr>
          <w:rFonts w:ascii="Times New Roman" w:cs="Times New Roman" w:eastAsia="Times New Roman" w:hAnsi="Times New Roman"/>
          <w:sz w:val="16"/>
          <w:szCs w:val="16"/>
          <w:color w:val="auto"/>
        </w:rPr>
        <w:t>”), or any advice given to any Pre-Closing Designated Person by any Prior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Counsel, occurring during one or more Existing Representations in connection with any representation by one or more Prior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Counsel of one or more Designated Persons, in each case, in connection with one or more post-Closing matters relating to this Agreement or any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agreements or transactions contemplated hereby (including any matter that may be related to a litigation, claim or dispute arising under or related to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Agreement or such other agreements or in connection with such transactions) (collectively, “</w:t>
      </w:r>
      <w:r>
        <w:rPr>
          <w:rFonts w:ascii="Times New Roman" w:cs="Times New Roman" w:eastAsia="Times New Roman" w:hAnsi="Times New Roman"/>
          <w:sz w:val="15"/>
          <w:szCs w:val="15"/>
          <w:u w:val="single" w:color="auto"/>
          <w:color w:val="auto"/>
        </w:rPr>
        <w:t>Pre-Closing Privileges</w:t>
      </w:r>
      <w:r>
        <w:rPr>
          <w:rFonts w:ascii="Times New Roman" w:cs="Times New Roman" w:eastAsia="Times New Roman" w:hAnsi="Times New Roman"/>
          <w:sz w:val="15"/>
          <w:szCs w:val="15"/>
          <w:color w:val="auto"/>
        </w:rPr>
        <w:t>”), it being the intention of the parties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hereto that all rights to such Pre-Closing Privileges, and all rights to waiver or otherwise control such Pre-Closing Privilege, shall be retained by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Designated Persons and shall not pass to or be claimed or used by Parent or the Company, except as provided in the last sentence of this </w:t>
      </w:r>
      <w:r>
        <w:rPr>
          <w:rFonts w:ascii="Times New Roman" w:cs="Times New Roman" w:eastAsia="Times New Roman" w:hAnsi="Times New Roman"/>
          <w:sz w:val="16"/>
          <w:szCs w:val="16"/>
          <w:u w:val="single" w:color="auto"/>
          <w:color w:val="auto"/>
        </w:rPr>
        <w:t>Section 11.10</w:t>
      </w:r>
      <w:r>
        <w:rPr>
          <w:rFonts w:ascii="Times New Roman" w:cs="Times New Roman" w:eastAsia="Times New Roman" w:hAnsi="Times New Roman"/>
          <w:sz w:val="16"/>
          <w:szCs w:val="16"/>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Furthermore, each of Parent and the Company (on behalf of itself and its Affiliates) acknowledges and agrees that any advice given to or communication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any of the Designated Persons in connection with any Existing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9720"/>
          </w:cols>
          <w:pgMar w:left="1080" w:top="254" w:right="1099" w:bottom="1440" w:gutter="0" w:footer="0" w:header="0"/>
        </w:sectPr>
      </w:pPr>
    </w:p>
    <w:bookmarkStart w:id="122" w:name="page123"/>
    <w:bookmarkEnd w:id="122"/>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Representation shall not be subject to any joint privilege (whether or not the Company or one more of its Subsidiaries also received such advice or communication) and shall be owned solely by such Designated Persons. Notwithstanding the foregoing, (i) in the event that a dispute arises between Parent or the Company or any of its Subsidiaries, on the one hand, and a third party other than a Designated Person, on the other hand, the Company may assert the Pre-Closing Privileges on behalf of the Designated Persons to prevent disclosure to such third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such privilege may be waived only with the prior written consent of the Designated Persons, acting on behalf of the applicable Designated Persons (such consent not to be unreasonably withheld, conditioned or delayed) and (ii) the foregoing provisions of this </w:t>
      </w:r>
      <w:r>
        <w:rPr>
          <w:rFonts w:ascii="Times New Roman" w:cs="Times New Roman" w:eastAsia="Times New Roman" w:hAnsi="Times New Roman"/>
          <w:sz w:val="16"/>
          <w:szCs w:val="16"/>
          <w:u w:val="single" w:color="auto"/>
          <w:color w:val="auto"/>
        </w:rPr>
        <w:t>Section 11.10</w:t>
      </w:r>
      <w:r>
        <w:rPr>
          <w:rFonts w:ascii="Times New Roman" w:cs="Times New Roman" w:eastAsia="Times New Roman" w:hAnsi="Times New Roman"/>
          <w:sz w:val="16"/>
          <w:szCs w:val="16"/>
          <w:color w:val="auto"/>
        </w:rPr>
        <w:t xml:space="preserve"> shall not extend to any communication or materials not involving the negotiation, documentation and consummation of the transactions contemplated by this Agreement or any claims brought in connection with such transactions or this Agreement.</w:t>
      </w:r>
    </w:p>
    <w:p>
      <w:pPr>
        <w:spacing w:after="0" w:line="168" w:lineRule="exact"/>
        <w:rPr>
          <w:sz w:val="20"/>
          <w:szCs w:val="20"/>
          <w:color w:val="auto"/>
        </w:rPr>
      </w:pPr>
    </w:p>
    <w:p>
      <w:pPr>
        <w:ind w:firstLine="874"/>
        <w:spacing w:after="0" w:line="267" w:lineRule="auto"/>
        <w:rPr>
          <w:sz w:val="20"/>
          <w:szCs w:val="20"/>
          <w:color w:val="auto"/>
        </w:rPr>
      </w:pPr>
      <w:r>
        <w:rPr>
          <w:rFonts w:ascii="Times New Roman" w:cs="Times New Roman" w:eastAsia="Times New Roman" w:hAnsi="Times New Roman"/>
          <w:sz w:val="15"/>
          <w:szCs w:val="15"/>
          <w:color w:val="auto"/>
        </w:rPr>
        <w:t xml:space="preserve">Section 11.11 </w:t>
      </w:r>
      <w:r>
        <w:rPr>
          <w:rFonts w:ascii="Times New Roman" w:cs="Times New Roman" w:eastAsia="Times New Roman" w:hAnsi="Times New Roman"/>
          <w:sz w:val="15"/>
          <w:szCs w:val="15"/>
          <w:u w:val="single" w:color="auto"/>
          <w:color w:val="auto"/>
        </w:rPr>
        <w:t>Release by Equityholders</w:t>
      </w:r>
      <w:r>
        <w:rPr>
          <w:rFonts w:ascii="Times New Roman" w:cs="Times New Roman" w:eastAsia="Times New Roman" w:hAnsi="Times New Roman"/>
          <w:sz w:val="15"/>
          <w:szCs w:val="15"/>
          <w:color w:val="auto"/>
        </w:rPr>
        <w:t>. (a) Effective as of the Effective Time, upon execution of a Letter of Transmittal, each Equityholder, on behalf of himself, herself or itself and each of his, her or its past, present and future controlled Affiliates, parent(s) and subsidiary companies, representatives, and assigns (each, an “</w:t>
      </w:r>
      <w:r>
        <w:rPr>
          <w:rFonts w:ascii="Times New Roman" w:cs="Times New Roman" w:eastAsia="Times New Roman" w:hAnsi="Times New Roman"/>
          <w:sz w:val="15"/>
          <w:szCs w:val="15"/>
          <w:u w:val="single" w:color="auto"/>
          <w:color w:val="auto"/>
        </w:rPr>
        <w:t>Equityholder Releasing Party</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Equityholder Releasing Parties</w:t>
      </w:r>
      <w:r>
        <w:rPr>
          <w:rFonts w:ascii="Times New Roman" w:cs="Times New Roman" w:eastAsia="Times New Roman" w:hAnsi="Times New Roman"/>
          <w:sz w:val="15"/>
          <w:szCs w:val="15"/>
          <w:color w:val="auto"/>
        </w:rPr>
        <w:t>”) will absolutely, unconditionally and irrevocably release, acquit and forever discharge the Company and each of its respective past, present and future controlled Affiliates, parent(s) and subsidiary companies, joint ventures, predecessors, successors and assigns, and their respective past, present and future representatives, investors, equityholders, insurers and indemnitees, firms, corporations, limited liability companies, partnerships, trusts, associations, organizations, stockholders, members, managers, directors, officers, employees, partners, trustees, principals, consultants, contractors, family members, heirs, executors, administrators, predecessors, successors and assigns (collectively the “</w:t>
      </w:r>
      <w:r>
        <w:rPr>
          <w:rFonts w:ascii="Times New Roman" w:cs="Times New Roman" w:eastAsia="Times New Roman" w:hAnsi="Times New Roman"/>
          <w:sz w:val="15"/>
          <w:szCs w:val="15"/>
          <w:u w:val="single" w:color="auto"/>
          <w:color w:val="auto"/>
        </w:rPr>
        <w:t>Released Parties</w:t>
      </w:r>
      <w:r>
        <w:rPr>
          <w:rFonts w:ascii="Times New Roman" w:cs="Times New Roman" w:eastAsia="Times New Roman" w:hAnsi="Times New Roman"/>
          <w:sz w:val="15"/>
          <w:szCs w:val="15"/>
          <w:color w:val="auto"/>
        </w:rPr>
        <w:t>”), of and from any and all manner of action or inaction, cause or causes of action, Actions, Encumbrances, contractual obligations, promises, liabilities or damages (whether for compensatory, special, incidental or punitive damages, equitable relief or otherwise) of any kind or nature whatsoever, past, present or future, at law, in equity or otherwise (including with respect to conduct which is negligent, grossly negligent, willful, intentional, with or without malice, or a breach of any duty, applicable Law or rule), whether known or unknown, whether fixed or contingent, whether concealed or hidden, whether disclosed or undisclosed, whether liquidated or unliquidated, whether foreseeable or unforeseeable, whether anticipated or unanticipated, whether suspected or unsuspected (“</w:t>
      </w:r>
      <w:r>
        <w:rPr>
          <w:rFonts w:ascii="Times New Roman" w:cs="Times New Roman" w:eastAsia="Times New Roman" w:hAnsi="Times New Roman"/>
          <w:sz w:val="15"/>
          <w:szCs w:val="15"/>
          <w:u w:val="single" w:color="auto"/>
          <w:color w:val="auto"/>
        </w:rPr>
        <w:t>Claims</w:t>
      </w:r>
      <w:r>
        <w:rPr>
          <w:rFonts w:ascii="Times New Roman" w:cs="Times New Roman" w:eastAsia="Times New Roman" w:hAnsi="Times New Roman"/>
          <w:sz w:val="15"/>
          <w:szCs w:val="15"/>
          <w:color w:val="auto"/>
        </w:rPr>
        <w:t>”), which such Equityholder Releasing Parties, or any of them, ever have had or ever in the future may have against the Released Parties, or any of them, in each case, to the extent arising solely as a result of the ownership or purported ownership of any of Company Stock, Company Stock Options or other security or interest of the Company and which, in each case, are based on acts, events or omissions occurring prior to or contemporaneously with the Effective Time (the “</w:t>
      </w:r>
      <w:r>
        <w:rPr>
          <w:rFonts w:ascii="Times New Roman" w:cs="Times New Roman" w:eastAsia="Times New Roman" w:hAnsi="Times New Roman"/>
          <w:sz w:val="15"/>
          <w:szCs w:val="15"/>
          <w:u w:val="single" w:color="auto"/>
          <w:color w:val="auto"/>
        </w:rPr>
        <w:t>Equityholder Released Claims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foregoing release shall not release, impair or diminish, and the term “Equityholder Released Claims” shall not include, in any respect (i) an </w:t>
      </w:r>
      <w:r>
        <w:rPr>
          <w:rFonts w:ascii="Times New Roman" w:cs="Times New Roman" w:eastAsia="Times New Roman" w:hAnsi="Times New Roman"/>
          <w:sz w:val="15"/>
          <w:szCs w:val="15"/>
          <w:u w:val="single" w:color="auto"/>
          <w:color w:val="auto"/>
        </w:rPr>
        <w:t>Equityholder’s</w:t>
      </w:r>
      <w:r>
        <w:rPr>
          <w:rFonts w:ascii="Times New Roman" w:cs="Times New Roman" w:eastAsia="Times New Roman" w:hAnsi="Times New Roman"/>
          <w:sz w:val="15"/>
          <w:szCs w:val="15"/>
          <w:color w:val="auto"/>
        </w:rPr>
        <w:t xml:space="preserve"> right pursuant to the Transaction Documents, including the right to receive its respective portion of the Merger Consideration; (ii) any Claims for indemnification, insurance benefits, reimbursement or advancement of expenses in such </w:t>
      </w:r>
      <w:r>
        <w:rPr>
          <w:rFonts w:ascii="Times New Roman" w:cs="Times New Roman" w:eastAsia="Times New Roman" w:hAnsi="Times New Roman"/>
          <w:sz w:val="15"/>
          <w:szCs w:val="15"/>
          <w:u w:val="single" w:color="auto"/>
          <w:color w:val="auto"/>
        </w:rPr>
        <w:t>Equityholder’s</w:t>
      </w:r>
      <w:r>
        <w:rPr>
          <w:rFonts w:ascii="Times New Roman" w:cs="Times New Roman" w:eastAsia="Times New Roman" w:hAnsi="Times New Roman"/>
          <w:sz w:val="15"/>
          <w:szCs w:val="15"/>
          <w:color w:val="auto"/>
        </w:rPr>
        <w:t xml:space="preserve"> capacity as a director, officer or employee of the Company under the Company’s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9680"/>
          </w:cols>
          <w:pgMar w:left="1080" w:top="254" w:right="1139" w:bottom="1440" w:gutter="0" w:footer="0" w:header="0"/>
        </w:sectPr>
      </w:pPr>
    </w:p>
    <w:bookmarkStart w:id="123" w:name="page124"/>
    <w:bookmarkEnd w:id="123"/>
    <w:p>
      <w:pPr>
        <w:ind w:right="24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organizational documents or any indemnification agreement in effect as of the date hereof (or any fiduciary insurance policy maintained by the Company or the Surviving Entity for the benefit of the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xml:space="preserve">, or any indemnification agreements with the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xml:space="preserve"> or its board designee) with respect to any act, omission, event or transaction occurring prior to or contemporaneously with the Effective Time; or (iii) the rights of any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xml:space="preserve"> Releasing Party in his or her capacity as an employee of the Company.</w:t>
      </w:r>
    </w:p>
    <w:p>
      <w:pPr>
        <w:spacing w:after="0" w:line="161" w:lineRule="exact"/>
        <w:rPr>
          <w:sz w:val="20"/>
          <w:szCs w:val="20"/>
          <w:color w:val="auto"/>
        </w:rPr>
      </w:pPr>
    </w:p>
    <w:p>
      <w:pPr>
        <w:ind w:right="40" w:firstLine="883"/>
        <w:spacing w:after="0" w:line="254" w:lineRule="auto"/>
        <w:tabs>
          <w:tab w:leader="none" w:pos="109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execution of a Letter of Transmittal, each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xml:space="preserve"> shall represent and acknowledge that he, she or it has read this release and the Merger Agreement and other Transaction Documents and understands their terms and has been given sufficient opportunity to review this release and the Transaction Documents and to ask questions of the Company’s Representatives. Each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xml:space="preserve"> will further represent that, in signing the Letter of Transmittal, he, she or it does not rely, and has not relied, on any representation or statement made by any Representative of the Company or any other Person with respect to the subject matter, basis or effect of this release or otherwise, except such express representations and warranties set forth in the Merger Agreement or this Agreement.</w:t>
      </w:r>
    </w:p>
    <w:p>
      <w:pPr>
        <w:spacing w:after="0" w:line="164" w:lineRule="exact"/>
        <w:rPr>
          <w:rFonts w:ascii="Times New Roman" w:cs="Times New Roman" w:eastAsia="Times New Roman" w:hAnsi="Times New Roman"/>
          <w:sz w:val="16"/>
          <w:szCs w:val="16"/>
          <w:color w:val="auto"/>
        </w:rPr>
      </w:pPr>
    </w:p>
    <w:p>
      <w:pPr>
        <w:jc w:val="both"/>
        <w:ind w:right="540" w:firstLine="883"/>
        <w:spacing w:after="0" w:line="258" w:lineRule="auto"/>
        <w:tabs>
          <w:tab w:leader="none" w:pos="109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w:t>
      </w:r>
      <w:r>
        <w:rPr>
          <w:rFonts w:ascii="Times New Roman" w:cs="Times New Roman" w:eastAsia="Times New Roman" w:hAnsi="Times New Roman"/>
          <w:sz w:val="16"/>
          <w:szCs w:val="16"/>
          <w:u w:val="single" w:color="auto"/>
          <w:color w:val="auto"/>
        </w:rPr>
        <w:t>Section 11.11(a)</w:t>
      </w:r>
      <w:r>
        <w:rPr>
          <w:rFonts w:ascii="Times New Roman" w:cs="Times New Roman" w:eastAsia="Times New Roman" w:hAnsi="Times New Roman"/>
          <w:sz w:val="16"/>
          <w:szCs w:val="16"/>
          <w:color w:val="auto"/>
        </w:rPr>
        <w:t xml:space="preserve">, with respect to the Equityholder Released Claims, each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upon execution of a Letter of Transmittal, will acknowledge that he, she or it is familiar with Section 1542 of the Civil Code of the State of California (“</w:t>
      </w:r>
      <w:r>
        <w:rPr>
          <w:rFonts w:ascii="Times New Roman" w:cs="Times New Roman" w:eastAsia="Times New Roman" w:hAnsi="Times New Roman"/>
          <w:sz w:val="16"/>
          <w:szCs w:val="16"/>
          <w:u w:val="single" w:color="auto"/>
          <w:color w:val="auto"/>
        </w:rPr>
        <w:t>Section 1542</w:t>
      </w:r>
      <w:r>
        <w:rPr>
          <w:rFonts w:ascii="Times New Roman" w:cs="Times New Roman" w:eastAsia="Times New Roman" w:hAnsi="Times New Roman"/>
          <w:sz w:val="16"/>
          <w:szCs w:val="16"/>
          <w:color w:val="auto"/>
        </w:rPr>
        <w:t>”) and expressly waive all rights under Section 1542 and any similar applicable Law or common law principle in any applicable jurisdiction prohibiting or restricting the waiver of unknown claims. Section 1542 reads as follows:</w:t>
      </w:r>
    </w:p>
    <w:p>
      <w:pPr>
        <w:spacing w:after="0" w:line="16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6"/>
          <w:szCs w:val="16"/>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7" w:lineRule="exact"/>
        <w:rPr>
          <w:sz w:val="20"/>
          <w:szCs w:val="20"/>
          <w:color w:val="auto"/>
        </w:rPr>
      </w:pPr>
    </w:p>
    <w:p>
      <w:pPr>
        <w:ind w:right="40" w:firstLine="883"/>
        <w:spacing w:after="0" w:line="255" w:lineRule="auto"/>
        <w:tabs>
          <w:tab w:leader="none" w:pos="109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provisions of Section 1542 or any similar applicable Law or common law principle in any applicable jurisdiction, upon execution of a Letter of Transmittal, each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xml:space="preserve"> will expressly acknowledge that the foregoing release is intended to include in its effect all claims within the scope of such release which any </w:t>
      </w:r>
      <w:r>
        <w:rPr>
          <w:rFonts w:ascii="Times New Roman" w:cs="Times New Roman" w:eastAsia="Times New Roman" w:hAnsi="Times New Roman"/>
          <w:sz w:val="16"/>
          <w:szCs w:val="16"/>
          <w:u w:val="single" w:color="auto"/>
          <w:color w:val="auto"/>
        </w:rPr>
        <w:t>Equityholder</w:t>
      </w:r>
      <w:r>
        <w:rPr>
          <w:rFonts w:ascii="Times New Roman" w:cs="Times New Roman" w:eastAsia="Times New Roman" w:hAnsi="Times New Roman"/>
          <w:sz w:val="16"/>
          <w:szCs w:val="16"/>
          <w:color w:val="auto"/>
        </w:rPr>
        <w:t xml:space="preserve"> does not know or suspect to exist in his, her or its favor against any of the Released Parties (including, without limitation, unknown and contingent claims), and that the foregoing release expressly contemplates the extinguishment of all such claims (except to the extent expressly set forth in this </w:t>
      </w:r>
      <w:r>
        <w:rPr>
          <w:rFonts w:ascii="Times New Roman" w:cs="Times New Roman" w:eastAsia="Times New Roman" w:hAnsi="Times New Roman"/>
          <w:sz w:val="16"/>
          <w:szCs w:val="16"/>
          <w:u w:val="single" w:color="auto"/>
          <w:color w:val="auto"/>
        </w:rPr>
        <w:t>Section 11.11</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9700"/>
          </w:cols>
          <w:pgMar w:left="1080" w:top="254" w:right="1119" w:bottom="1440" w:gutter="0" w:footer="0" w:header="0"/>
        </w:sectPr>
      </w:pPr>
    </w:p>
    <w:bookmarkStart w:id="124" w:name="page125"/>
    <w:bookmarkEnd w:id="124"/>
    <w:p>
      <w:pPr>
        <w:ind w:firstLine="874"/>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Parent, First Merger Sub, Second Merger Sub and the Company have caused this Agreement to be executed as of the date first written above by their respective officers thereunto duly authorized.</w:t>
      </w:r>
    </w:p>
    <w:p>
      <w:pPr>
        <w:spacing w:after="0" w:line="1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ILLUMINA, INC.</w:t>
      </w:r>
    </w:p>
    <w:p>
      <w:pPr>
        <w:spacing w:after="0" w:line="1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 /s/ Francis deSouza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14605</wp:posOffset>
            </wp:positionV>
            <wp:extent cx="225933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Name: Francis deSouza</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Title:  President and Chief Executive Officer</w:t>
      </w:r>
    </w:p>
    <w:p>
      <w:pPr>
        <w:spacing w:after="0" w:line="1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SDG OPS, INC.</w:t>
      </w:r>
    </w:p>
    <w:p>
      <w:pPr>
        <w:spacing w:after="0" w:line="1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 /s/ Francis deSouza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14605</wp:posOffset>
            </wp:positionV>
            <wp:extent cx="225933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Name: Francis deSouza</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Title:  President</w:t>
      </w:r>
    </w:p>
    <w:p>
      <w:pPr>
        <w:spacing w:after="0" w:line="1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SDG OPS, LLC</w:t>
      </w:r>
    </w:p>
    <w:p>
      <w:pPr>
        <w:spacing w:after="0" w:line="1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 /s/ Francis deSouza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14605</wp:posOffset>
            </wp:positionV>
            <wp:extent cx="225933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Name: Francis deSouza</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Title:  President</w:t>
      </w:r>
    </w:p>
    <w:p>
      <w:pPr>
        <w:spacing w:after="0" w:line="18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GRAIL, INC.</w:t>
      </w:r>
    </w:p>
    <w:p>
      <w:pPr>
        <w:spacing w:after="0" w:line="1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 /s/ Hans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14605</wp:posOffset>
            </wp:positionV>
            <wp:extent cx="225933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Name: Hans Bishop</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Agreement and Plan of Merger</w:t>
      </w:r>
      <w:r>
        <w:rPr>
          <w:rFonts w:ascii="Times New Roman" w:cs="Times New Roman" w:eastAsia="Times New Roman" w:hAnsi="Times New Roman"/>
          <w:sz w:val="16"/>
          <w:szCs w:val="16"/>
          <w:color w:val="auto"/>
        </w:rPr>
        <w:t>]</w:t>
      </w:r>
    </w:p>
    <w:p>
      <w:pPr>
        <w:sectPr>
          <w:pgSz w:w="11900" w:h="16838" w:orient="portrait"/>
          <w:cols w:equalWidth="0" w:num="1">
            <w:col w:w="9660"/>
          </w:cols>
          <w:pgMar w:left="1080" w:top="254" w:right="11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SELLING INVESTOR SUPPORT AGREEMENT</w:t>
      </w:r>
    </w:p>
    <w:p>
      <w:pPr>
        <w:spacing w:after="0" w:line="199" w:lineRule="exact"/>
        <w:rPr>
          <w:sz w:val="20"/>
          <w:szCs w:val="20"/>
          <w:color w:val="auto"/>
        </w:rPr>
      </w:pPr>
    </w:p>
    <w:p>
      <w:pPr>
        <w:jc w:val="both"/>
        <w:ind w:right="20" w:firstLine="388"/>
        <w:spacing w:after="0" w:line="263" w:lineRule="auto"/>
        <w:rPr>
          <w:sz w:val="20"/>
          <w:szCs w:val="20"/>
          <w:color w:val="auto"/>
        </w:rPr>
      </w:pPr>
      <w:r>
        <w:rPr>
          <w:rFonts w:ascii="Times New Roman" w:cs="Times New Roman" w:eastAsia="Times New Roman" w:hAnsi="Times New Roman"/>
          <w:sz w:val="16"/>
          <w:szCs w:val="16"/>
          <w:color w:val="auto"/>
        </w:rPr>
        <w:t>SELLING INVESTOR SUPPORT AGREEMENT (hereinafter referred to as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 among Illumina,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each of the undersigned stockholders (the “</w:t>
      </w:r>
      <w:r>
        <w:rPr>
          <w:rFonts w:ascii="Times New Roman" w:cs="Times New Roman" w:eastAsia="Times New Roman" w:hAnsi="Times New Roman"/>
          <w:sz w:val="16"/>
          <w:szCs w:val="16"/>
          <w:u w:val="single" w:color="auto"/>
          <w:color w:val="auto"/>
        </w:rPr>
        <w:t>Selling Investors</w:t>
      </w:r>
      <w:r>
        <w:rPr>
          <w:rFonts w:ascii="Times New Roman" w:cs="Times New Roman" w:eastAsia="Times New Roman" w:hAnsi="Times New Roman"/>
          <w:sz w:val="16"/>
          <w:szCs w:val="16"/>
          <w:color w:val="auto"/>
        </w:rPr>
        <w:t>”) of GRAIL,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set forth on Schedule 1(b) hereto.</w:t>
      </w:r>
    </w:p>
    <w:p>
      <w:pPr>
        <w:spacing w:after="0" w:line="157" w:lineRule="exact"/>
        <w:rPr>
          <w:sz w:val="20"/>
          <w:szCs w:val="20"/>
          <w:color w:val="auto"/>
        </w:rPr>
      </w:pPr>
    </w:p>
    <w:p>
      <w:pPr>
        <w:ind w:right="20" w:firstLine="388"/>
        <w:spacing w:after="0" w:line="252" w:lineRule="auto"/>
        <w:rPr>
          <w:sz w:val="20"/>
          <w:szCs w:val="20"/>
          <w:color w:val="auto"/>
        </w:rPr>
      </w:pPr>
      <w:r>
        <w:rPr>
          <w:rFonts w:ascii="Times New Roman" w:cs="Times New Roman" w:eastAsia="Times New Roman" w:hAnsi="Times New Roman"/>
          <w:sz w:val="16"/>
          <w:szCs w:val="16"/>
          <w:color w:val="auto"/>
        </w:rPr>
        <w:t>WHEREAS, the Company, Parent, SDG Ops, Inc., a Delaware corporation and wholly owned subsidiary of Parent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SDG Ops, LLC, a Delaware limited liability company and wholly owned subsidiary of Parent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have entered into an Agreement and Plan of Merger dated as of September 20, 2020 (as it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which provides for, among other things, the merger of First Merger Sub with and into the Company, with the Company continuing as the surviving corporation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and immediately following the First Merger and as part of the same overall transaction as the First Merger, the Surviving Corporation will merge with and into Second Merger Sub, with Second Merger Sub being the surviving company of the Second Merger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and pursuant to which all shares of Company Stock issued and outstanding immediately prior to the Effective Time (other than as provided in Section 2.04(c) of the Merger Agreement and Appraisal Shares) will be converted into the right to receive the Merger Consideration;</w:t>
      </w:r>
    </w:p>
    <w:p>
      <w:pPr>
        <w:spacing w:after="0" w:line="165" w:lineRule="exact"/>
        <w:rPr>
          <w:sz w:val="20"/>
          <w:szCs w:val="20"/>
          <w:color w:val="auto"/>
        </w:rPr>
      </w:pPr>
    </w:p>
    <w:p>
      <w:pPr>
        <w:ind w:right="160" w:firstLine="388"/>
        <w:spacing w:after="0" w:line="278" w:lineRule="auto"/>
        <w:rPr>
          <w:sz w:val="20"/>
          <w:szCs w:val="20"/>
          <w:color w:val="auto"/>
        </w:rPr>
      </w:pPr>
      <w:r>
        <w:rPr>
          <w:rFonts w:ascii="Times New Roman" w:cs="Times New Roman" w:eastAsia="Times New Roman" w:hAnsi="Times New Roman"/>
          <w:sz w:val="16"/>
          <w:szCs w:val="16"/>
          <w:color w:val="auto"/>
        </w:rPr>
        <w:t>WHEREAS, each Selling Investor Beneficially Owns and is entitled to vote (or direct the voting of) the number of shares of Company Stock set forth opposite such Selling Investor’s name on Schedule 1(b) attached hereto; and</w:t>
      </w:r>
    </w:p>
    <w:p>
      <w:pPr>
        <w:spacing w:after="0" w:line="145" w:lineRule="exact"/>
        <w:rPr>
          <w:sz w:val="20"/>
          <w:szCs w:val="20"/>
          <w:color w:val="auto"/>
        </w:rPr>
      </w:pPr>
    </w:p>
    <w:p>
      <w:pPr>
        <w:ind w:right="80" w:firstLine="388"/>
        <w:spacing w:after="0" w:line="263" w:lineRule="auto"/>
        <w:rPr>
          <w:sz w:val="20"/>
          <w:szCs w:val="20"/>
          <w:color w:val="auto"/>
        </w:rPr>
      </w:pPr>
      <w:r>
        <w:rPr>
          <w:rFonts w:ascii="Times New Roman" w:cs="Times New Roman" w:eastAsia="Times New Roman" w:hAnsi="Times New Roman"/>
          <w:sz w:val="16"/>
          <w:szCs w:val="16"/>
          <w:color w:val="auto"/>
        </w:rPr>
        <w:t>WHEREAS, Parent desires that the Selling Investors agree, and the Selling Investors are willing to agree, on the terms and subject to the conditions set forth herein, (i) to not Transfer (as defined below) the Covered Shares (as defined below), and (ii) to vote or consent with respect to all of the Covered Shares in a manner so as to facilitate the consummation of the Mergers and the other Transactions.</w:t>
      </w:r>
    </w:p>
    <w:p>
      <w:pPr>
        <w:spacing w:after="0" w:line="157" w:lineRule="exact"/>
        <w:rPr>
          <w:sz w:val="20"/>
          <w:szCs w:val="20"/>
          <w:color w:val="auto"/>
        </w:rPr>
      </w:pPr>
    </w:p>
    <w:p>
      <w:pPr>
        <w:ind w:right="260" w:firstLine="388"/>
        <w:spacing w:after="0" w:line="278" w:lineRule="auto"/>
        <w:rPr>
          <w:sz w:val="20"/>
          <w:szCs w:val="20"/>
          <w:color w:val="auto"/>
        </w:rPr>
      </w:pPr>
      <w:r>
        <w:rPr>
          <w:rFonts w:ascii="Times New Roman" w:cs="Times New Roman" w:eastAsia="Times New Roman" w:hAnsi="Times New Roman"/>
          <w:sz w:val="16"/>
          <w:szCs w:val="16"/>
          <w:color w:val="auto"/>
        </w:rPr>
        <w:t>NOW, THEREFORE, in consideration of the premises, and of the representations, warranties, covenants and agreements contained herein, and intending to be legally bound hereby, the parties hereto agree as follows:</w:t>
      </w:r>
    </w:p>
    <w:p>
      <w:pPr>
        <w:spacing w:after="0" w:line="50" w:lineRule="exact"/>
        <w:rPr>
          <w:sz w:val="20"/>
          <w:szCs w:val="20"/>
          <w:color w:val="auto"/>
        </w:rPr>
      </w:pPr>
    </w:p>
    <w:p>
      <w:pPr>
        <w:ind w:right="640" w:firstLine="397"/>
        <w:spacing w:after="0" w:line="278" w:lineRule="auto"/>
        <w:tabs>
          <w:tab w:leader="none" w:pos="666"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defined herein shall have the respective meanings ascribed to them in the Merger Agreement. For all purposes of and under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right="200" w:firstLine="883"/>
        <w:spacing w:after="0" w:line="258" w:lineRule="auto"/>
        <w:tabs>
          <w:tab w:leader="none" w:pos="1208"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Beneficially Own</w:t>
      </w:r>
      <w:r>
        <w:rPr>
          <w:rFonts w:ascii="Times New Roman" w:cs="Times New Roman" w:eastAsia="Times New Roman" w:hAnsi="Times New Roman"/>
          <w:sz w:val="16"/>
          <w:szCs w:val="16"/>
          <w:color w:val="auto"/>
        </w:rPr>
        <w:t>” 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spacing w:after="0" w:line="160" w:lineRule="exact"/>
        <w:rPr>
          <w:rFonts w:ascii="Times New Roman" w:cs="Times New Roman" w:eastAsia="Times New Roman" w:hAnsi="Times New Roman"/>
          <w:sz w:val="16"/>
          <w:szCs w:val="16"/>
          <w:color w:val="auto"/>
        </w:rPr>
      </w:pPr>
    </w:p>
    <w:p>
      <w:pPr>
        <w:ind w:right="60" w:firstLine="883"/>
        <w:spacing w:after="0" w:line="255" w:lineRule="auto"/>
        <w:tabs>
          <w:tab w:leader="none" w:pos="1217"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means, with respect to any Selling Investor, (i) all shares of Company Stock set forth opposite such Selling Investor’s name on Schedule 1(b) attached hereto, and (ii) all shares of Company Stock that such Selling Investor comes to Beneficially Own during the period from the date of this Agreement through the Expiration Date, together with any voting securities or instruments of the Company, or other securities or interests exercisable for or convertible into shares of Company Stock or voting securities or instruments of the Company, that such Selling Investor comes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20"/>
          </w:cols>
          <w:pgMar w:left="1080" w:top="254" w:right="1099" w:bottom="1440" w:gutter="0" w:footer="0" w:header="0"/>
        </w:sectPr>
      </w:pPr>
    </w:p>
    <w:bookmarkStart w:id="126" w:name="page127"/>
    <w:bookmarkEnd w:id="126"/>
    <w:p>
      <w:pPr>
        <w:ind w:right="6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the Company).</w:t>
      </w:r>
    </w:p>
    <w:p>
      <w:pPr>
        <w:spacing w:after="0" w:line="157" w:lineRule="exact"/>
        <w:rPr>
          <w:sz w:val="20"/>
          <w:szCs w:val="20"/>
          <w:color w:val="auto"/>
        </w:rPr>
      </w:pPr>
    </w:p>
    <w:p>
      <w:pPr>
        <w:ind w:left="1220" w:hanging="337"/>
        <w:spacing w:after="0"/>
        <w:tabs>
          <w:tab w:leader="none" w:pos="1220" w:val="left"/>
        </w:tabs>
        <w:numPr>
          <w:ilvl w:val="1"/>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Expiration Date</w:t>
      </w:r>
      <w:r>
        <w:rPr>
          <w:rFonts w:ascii="Times New Roman" w:cs="Times New Roman" w:eastAsia="Times New Roman" w:hAnsi="Times New Roman"/>
          <w:sz w:val="15"/>
          <w:szCs w:val="15"/>
          <w:color w:val="auto"/>
        </w:rPr>
        <w:t>” means the earlier to occur of (i) the Effective Time and (ii) the termination of the Merger Agreement in accordance</w:t>
      </w:r>
    </w:p>
    <w:p>
      <w:pPr>
        <w:spacing w:after="0" w:line="3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with its terms.</w:t>
      </w:r>
    </w:p>
    <w:p>
      <w:pPr>
        <w:spacing w:after="0" w:line="179" w:lineRule="exact"/>
        <w:rPr>
          <w:rFonts w:ascii="Times New Roman" w:cs="Times New Roman" w:eastAsia="Times New Roman" w:hAnsi="Times New Roman"/>
          <w:sz w:val="15"/>
          <w:szCs w:val="15"/>
          <w:color w:val="auto"/>
        </w:rPr>
      </w:pPr>
    </w:p>
    <w:p>
      <w:pPr>
        <w:ind w:right="340" w:firstLine="883"/>
        <w:spacing w:after="0" w:line="278" w:lineRule="auto"/>
        <w:tabs>
          <w:tab w:leader="none" w:pos="1217"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with respect to any Selling Investor, that such Selling Investor sells, pledges, Encumbers, exchanges, assigns, grants an option with respect to, transfers, tenders or otherwise disposes of its Beneficial Ownership of Covered Shares.</w:t>
      </w:r>
    </w:p>
    <w:p>
      <w:pPr>
        <w:spacing w:after="0" w:line="144" w:lineRule="exact"/>
        <w:rPr>
          <w:rFonts w:ascii="Times New Roman" w:cs="Times New Roman" w:eastAsia="Times New Roman" w:hAnsi="Times New Roman"/>
          <w:sz w:val="16"/>
          <w:szCs w:val="16"/>
          <w:color w:val="auto"/>
        </w:rPr>
      </w:pPr>
    </w:p>
    <w:p>
      <w:pPr>
        <w:ind w:right="20" w:firstLine="397"/>
        <w:spacing w:after="0" w:line="268" w:lineRule="auto"/>
        <w:tabs>
          <w:tab w:leader="none" w:pos="66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Agreement Not to Transfer or Encumber</w:t>
      </w:r>
      <w:r>
        <w:rPr>
          <w:rFonts w:ascii="Times New Roman" w:cs="Times New Roman" w:eastAsia="Times New Roman" w:hAnsi="Times New Roman"/>
          <w:sz w:val="15"/>
          <w:szCs w:val="15"/>
          <w:color w:val="auto"/>
        </w:rPr>
        <w:t xml:space="preserve">. Each Selling Investor hereby agrees that, from the date hereof until the Expiration Date, it shall not Transfer any Covered Shares, cause the conversion of any Covered Shares or deposit any Covered Shares into a voting trust or enter into any tender, voting or other agreement or arrangement with any Person with respect to any Covered Shares or grant a proxy or power of attorney with respect thereto (other than pursuant to this Agreement or the Drag-Along Consent) or give instructions with respect to the voting of the Covered Shares in any manner that is inconsistent with this Agreement or otherwise take any other action with respect to the Covered Shares that would in any way restrict, limit or interfere with the performance by the Selling Investors of their obligations hereunder or the transactions contemplated hereby, including the execution and delivery of the Written Consent approving the adoption of the Merger Agreement and approving the Transactions;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however, that the Stockholder may Transfer all or any portion of the Shares to one or more of its controlled Affiliates or a family member that, prior to such Transfer, executes and delivers to the Parent a written agreement, in form and substance reasonably acceptable to Parent, to assume all of the Selling Investor’s obligations hereunder and to be bound by the terms of this Agreement to the same extent as the Selling Investor is bound hereunder and to make each of the representations and warranties hereunder in respect of the Covered Shares transferred as the Selling Investor shall have made hereunder. Notwithstanding the foregoing, following the receipt of the Company Stockholder Approvals, a Selling Investor may cause the conversion of any shares of Company Class B Common Stock into shares of Company Class A Common Stock in accordance with the Company’s certificate of incorporation.</w:t>
      </w:r>
    </w:p>
    <w:p>
      <w:pPr>
        <w:spacing w:after="0" w:line="161" w:lineRule="exact"/>
        <w:rPr>
          <w:rFonts w:ascii="Times New Roman" w:cs="Times New Roman" w:eastAsia="Times New Roman" w:hAnsi="Times New Roman"/>
          <w:sz w:val="15"/>
          <w:szCs w:val="15"/>
          <w:color w:val="auto"/>
        </w:rPr>
      </w:pPr>
    </w:p>
    <w:p>
      <w:pPr>
        <w:ind w:left="680" w:hanging="283"/>
        <w:spacing w:after="0"/>
        <w:tabs>
          <w:tab w:leader="none" w:pos="68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Consent and Approve</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right="460" w:firstLine="883"/>
        <w:spacing w:after="0" w:line="263" w:lineRule="auto"/>
        <w:tabs>
          <w:tab w:leader="none" w:pos="1208"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Selling Investor agrees to execute and deliver the Drag-Along Consent in such Selling Investor’s capacity as a holder of Company Preferred Shares, and (ii) to refrain from (x) withdrawing, revoking, rescinding, modifying or amending in any manner the Drag-Along Consent or (y) modifying or amending in any manner, or waiving compliance of, the Voting Agreement.</w:t>
      </w:r>
    </w:p>
    <w:p>
      <w:pPr>
        <w:spacing w:after="0" w:line="156" w:lineRule="exact"/>
        <w:rPr>
          <w:rFonts w:ascii="Times New Roman" w:cs="Times New Roman" w:eastAsia="Times New Roman" w:hAnsi="Times New Roman"/>
          <w:sz w:val="16"/>
          <w:szCs w:val="16"/>
          <w:color w:val="auto"/>
        </w:rPr>
      </w:pPr>
    </w:p>
    <w:p>
      <w:pPr>
        <w:ind w:right="20" w:firstLine="883"/>
        <w:spacing w:after="0" w:line="274" w:lineRule="auto"/>
        <w:tabs>
          <w:tab w:leader="none" w:pos="1217" w:val="left"/>
        </w:tabs>
        <w:numPr>
          <w:ilvl w:val="1"/>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Selling Investor hereby irrevocably and unconditionally agrees, promptly after the Registration Statement (which shall include the Consent Solicitation Statement) is declared effective by the SEC (and in any event within five Business Days after notification thereof to such Selling Investor), to execute and deliver, or cause to be executed and delivered, a written consent substantially in the form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Written Consent</w:t>
      </w:r>
      <w:r>
        <w:rPr>
          <w:rFonts w:ascii="Times New Roman" w:cs="Times New Roman" w:eastAsia="Times New Roman" w:hAnsi="Times New Roman"/>
          <w:sz w:val="15"/>
          <w:szCs w:val="15"/>
          <w:color w:val="auto"/>
        </w:rPr>
        <w:t>”) approving the adoption of the Merger Agreement and approving the Transactions, including the Mergers, with respect to all of such Selling Investor’s Covered Shares. The Selling Investor’s execution and delivery of the Written Consent shall be carried out in accordance with the DGCL and the organizational documents of the Company, so as to ensure that it is duly counted for purposes of recording the results of such consent.</w:t>
      </w:r>
    </w:p>
    <w:p>
      <w:pPr>
        <w:spacing w:after="0" w:line="151" w:lineRule="exact"/>
        <w:rPr>
          <w:rFonts w:ascii="Times New Roman" w:cs="Times New Roman" w:eastAsia="Times New Roman" w:hAnsi="Times New Roman"/>
          <w:sz w:val="15"/>
          <w:szCs w:val="15"/>
          <w:color w:val="auto"/>
        </w:rPr>
      </w:pPr>
    </w:p>
    <w:p>
      <w:pPr>
        <w:ind w:right="60" w:firstLine="883"/>
        <w:spacing w:after="0" w:line="278" w:lineRule="auto"/>
        <w:tabs>
          <w:tab w:leader="none" w:pos="1208"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Selling Investor hereby irrevocably and unconditionally agrees that, from the date hereof until the Expiration Date, it shall vote or cause to be voted (including by written consent) all of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00"/>
          </w:cols>
          <w:pgMar w:left="1080" w:top="254" w:right="1119" w:bottom="1440" w:gutter="0" w:footer="0" w:header="0"/>
        </w:sectPr>
      </w:pPr>
    </w:p>
    <w:bookmarkStart w:id="127" w:name="page128"/>
    <w:bookmarkEnd w:id="127"/>
    <w:p>
      <w:pPr>
        <w:ind w:right="2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such Selling Investor’s Covered Shares (i) in favor of (A) the adoption of the Merger Agreement and the approval of the Transactions and (B) any amendment to the Company’s certificate of incorporation or Investor Agreements to the extent contemplated in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of the Merger Agreement and otherwise as is reasonably necessary to permit to, or assist the Company in, complying with its obligations under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of the Merger Agreement and (ii) against (A) any Competing Proposal; (B) any amendment of the organizational documents of the Company which would prevent or materially delay the consummation of the Transactions, including the Mergers; or (C) any other action, agreement or transaction involving the Company that would reasonably be expected to prevent or materially delay the consummation of the Transactions, including the Mergers.</w:t>
      </w:r>
    </w:p>
    <w:p>
      <w:pPr>
        <w:spacing w:after="0" w:line="165" w:lineRule="exact"/>
        <w:rPr>
          <w:sz w:val="20"/>
          <w:szCs w:val="20"/>
          <w:color w:val="auto"/>
        </w:rPr>
      </w:pPr>
    </w:p>
    <w:p>
      <w:pPr>
        <w:ind w:firstLine="883"/>
        <w:spacing w:after="0" w:line="255" w:lineRule="auto"/>
        <w:tabs>
          <w:tab w:leader="none" w:pos="1217"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Selling Investor agrees that, from the date hereof until the Expiration Date, in the event that a meeting of the stockholders of the Company is held regarding the Merger Agreement, the Transactions or any of the matters referred to in Section 3(c), it shall, or shall cause the holder of record of any of the Covered Shares of such Selling Investor on any applicable record date to, be present in person or represented by proxy at such meeting or otherwise cause all Covered Shares of such Selling Investor to be counted as present thereat for purposes of establishing a quorum, and shall vote all of such Selling Investor’s Covered Shares at such meeting in accordance with Section 3(c).</w:t>
      </w:r>
    </w:p>
    <w:p>
      <w:pPr>
        <w:spacing w:after="0" w:line="164" w:lineRule="exact"/>
        <w:rPr>
          <w:rFonts w:ascii="Times New Roman" w:cs="Times New Roman" w:eastAsia="Times New Roman" w:hAnsi="Times New Roman"/>
          <w:sz w:val="16"/>
          <w:szCs w:val="16"/>
          <w:color w:val="auto"/>
        </w:rPr>
      </w:pPr>
    </w:p>
    <w:p>
      <w:pPr>
        <w:jc w:val="both"/>
        <w:ind w:right="180" w:firstLine="883"/>
        <w:spacing w:after="0" w:line="258" w:lineRule="auto"/>
        <w:tabs>
          <w:tab w:leader="none" w:pos="1208"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delivery of the Written Consent expressly contemplated by this Agreement, prior to the Expiration Date, no Selling Investor shall call, seek to call or request the call of any meeting of stockholders of the Company with respect to any matter relating to the Mergers or any other Transaction, or take any action by consent relating to the Mergers or any other Transaction, other than as expressly contemplated by Section 3(c), whether pursuant to the DGCL, the organizational documents of the Company or otherwise.</w:t>
      </w:r>
    </w:p>
    <w:p>
      <w:pPr>
        <w:spacing w:after="0" w:line="160" w:lineRule="exact"/>
        <w:rPr>
          <w:rFonts w:ascii="Times New Roman" w:cs="Times New Roman" w:eastAsia="Times New Roman" w:hAnsi="Times New Roman"/>
          <w:sz w:val="16"/>
          <w:szCs w:val="16"/>
          <w:color w:val="auto"/>
        </w:rPr>
      </w:pPr>
    </w:p>
    <w:p>
      <w:pPr>
        <w:ind w:firstLine="883"/>
        <w:spacing w:after="0" w:line="258" w:lineRule="auto"/>
        <w:tabs>
          <w:tab w:leader="none" w:pos="1191"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in no event shall this Section 3 require or be construed so as to require any Selling Investor to vote or cause to be voted (including by written consent) such Selling Investor’s Covered Shares in favor of or against any stockholder vote to approve “parachute payments” (within the meaning of Section 280G of the Internal Revenue Code of 1986, as amended, and the Treasury Regulations thereunder) solicited in connection with the Transaction.</w:t>
      </w:r>
    </w:p>
    <w:p>
      <w:pPr>
        <w:spacing w:after="0" w:line="160" w:lineRule="exact"/>
        <w:rPr>
          <w:rFonts w:ascii="Times New Roman" w:cs="Times New Roman" w:eastAsia="Times New Roman" w:hAnsi="Times New Roman"/>
          <w:sz w:val="16"/>
          <w:szCs w:val="16"/>
          <w:color w:val="auto"/>
        </w:rPr>
      </w:pPr>
    </w:p>
    <w:p>
      <w:pPr>
        <w:ind w:right="20" w:firstLine="883"/>
        <w:spacing w:after="0" w:line="254" w:lineRule="auto"/>
        <w:tabs>
          <w:tab w:leader="none" w:pos="1217"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in the event that a vote or consent of the stockholders of the Company is required in order to effect an amendment to the Merger Agreement that reduces the amount or changes the form of consideration payable in respect of each share of Company Capital Stock in the Mergers or otherwise amends the Merger Agreement in a manner adverse to the Selling Investor (any such amendment, an “</w:t>
      </w:r>
      <w:r>
        <w:rPr>
          <w:rFonts w:ascii="Times New Roman" w:cs="Times New Roman" w:eastAsia="Times New Roman" w:hAnsi="Times New Roman"/>
          <w:sz w:val="16"/>
          <w:szCs w:val="16"/>
          <w:u w:val="single" w:color="auto"/>
          <w:color w:val="auto"/>
        </w:rPr>
        <w:t>Adverse Amendment</w:t>
      </w:r>
      <w:r>
        <w:rPr>
          <w:rFonts w:ascii="Times New Roman" w:cs="Times New Roman" w:eastAsia="Times New Roman" w:hAnsi="Times New Roman"/>
          <w:sz w:val="16"/>
          <w:szCs w:val="16"/>
          <w:color w:val="auto"/>
        </w:rPr>
        <w:t xml:space="preserve">”), the provisions of this Section 3 shall not apply with respect to the Selling Investor’s vote or consent with respect to such Adverse Amendment (and Selling Investor shall not be required to vote or consent to such Adverse Amendment);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term “Adverse Amendments” shall not include the amendments contemplated in Section 3(c)(i)(B).</w:t>
      </w:r>
    </w:p>
    <w:p>
      <w:pPr>
        <w:spacing w:after="0" w:line="164" w:lineRule="exact"/>
        <w:rPr>
          <w:rFonts w:ascii="Times New Roman" w:cs="Times New Roman" w:eastAsia="Times New Roman" w:hAnsi="Times New Roman"/>
          <w:sz w:val="16"/>
          <w:szCs w:val="16"/>
          <w:color w:val="auto"/>
        </w:rPr>
      </w:pPr>
    </w:p>
    <w:p>
      <w:pPr>
        <w:ind w:right="20" w:firstLine="397"/>
        <w:spacing w:after="0" w:line="263" w:lineRule="auto"/>
        <w:tabs>
          <w:tab w:leader="none" w:pos="66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Voided Acts</w:t>
      </w:r>
      <w:r>
        <w:rPr>
          <w:rFonts w:ascii="Times New Roman" w:cs="Times New Roman" w:eastAsia="Times New Roman" w:hAnsi="Times New Roman"/>
          <w:sz w:val="16"/>
          <w:szCs w:val="16"/>
          <w:color w:val="auto"/>
        </w:rPr>
        <w:t xml:space="preserve">. Any (i) Transfer (or purported Transfer) in breach of this Agreement or (ii) attempt by any Selling Investor to vote, or express consent or dissent with respect to (or otherwise to utilizing the voting power of), its Covered Shares in contravention of this Agreement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firstLine="397"/>
        <w:spacing w:after="0" w:line="255" w:lineRule="auto"/>
        <w:tabs>
          <w:tab w:leader="none" w:pos="66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Not to Solicit</w:t>
      </w:r>
      <w:r>
        <w:rPr>
          <w:rFonts w:ascii="Times New Roman" w:cs="Times New Roman" w:eastAsia="Times New Roman" w:hAnsi="Times New Roman"/>
          <w:sz w:val="16"/>
          <w:szCs w:val="16"/>
          <w:color w:val="auto"/>
        </w:rPr>
        <w:t>. Each Selling Investor agrees that it shall not, and shall cause each of such Selling Investor’s controlled Affiliates not to, and shall instruct such Selling Investor’s and such Selling Investor’s controlled Affiliates’ Representatives not to, directly or indirectly, (a) solicit, initiate seek, or take any other action to facilitate or encourage the making, submission or announcement of any proposal that constitutes, or would be reasonably be expected to lead to, any Competing Proposal, (b) enter into, maintain, continue or participate in any discussions or negotiations with any Person or</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00"/>
          </w:cols>
          <w:pgMar w:left="1080" w:top="254" w:right="1119" w:bottom="1440" w:gutter="0" w:footer="0" w:header="0"/>
        </w:sectPr>
      </w:pPr>
    </w:p>
    <w:bookmarkStart w:id="128" w:name="page129"/>
    <w:bookmarkEnd w:id="128"/>
    <w:p>
      <w:pPr>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entity in furtherance of, or furnish to any Person any information or otherwise cooperate in any way with respect to, any Competing Proposal, (c) agree to, approve, endorse, recommend or consummate any Competing Proposal, (d) enter into, or propose to enter into, any Competing Transaction Agreement, or (e) resolve, propose or agree, or authorize or permit any Representative to do any of the foregoing. Each Selling Investor shall, and each Selling Investor shall cause such Selling Investor’s controlled Affiliates and use such Selling Investor’s reasonable best efforts to cause such Selling Investor’s Representatives to, immediately cease and cause to be terminated any discussions and negotiations with any Person conducted heretofore with respect to any Competing Proposal or proposal that would reasonably be expected to lead to a Competing Proposal.</w:t>
      </w:r>
    </w:p>
    <w:p>
      <w:pPr>
        <w:spacing w:after="0" w:line="165" w:lineRule="exact"/>
        <w:rPr>
          <w:sz w:val="20"/>
          <w:szCs w:val="20"/>
          <w:color w:val="auto"/>
        </w:rPr>
      </w:pPr>
    </w:p>
    <w:p>
      <w:pPr>
        <w:ind w:right="20" w:firstLine="397"/>
        <w:spacing w:after="0" w:line="254" w:lineRule="auto"/>
        <w:tabs>
          <w:tab w:leader="none" w:pos="66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Commencement or Participation in Actions</w:t>
      </w:r>
      <w:r>
        <w:rPr>
          <w:rFonts w:ascii="Times New Roman" w:cs="Times New Roman" w:eastAsia="Times New Roman" w:hAnsi="Times New Roman"/>
          <w:sz w:val="16"/>
          <w:szCs w:val="16"/>
          <w:color w:val="auto"/>
        </w:rPr>
        <w:t>. Each Selling Investor hereby agrees not to commence or join in, and to take all reasonable actions necessary to opt out of (if applicable), any Action against the Company and/or its directors and officers (for the avoidance of doubt, participating in the defense of such Action or any Action to enforce the Drag-Along is not prohibited by this Section 6) with respect to, any litigation (a) challenging the validity of, or seeking to enjoin the operation of, any provision of this Agreement or the Merger Agreement or the exercise of the Drag-Along in connection with the Transactions or (b) alleging a breach of any fiduciary duty of the Company Board or its members or any stockholder of the Company in connection with the Merger Agreement, the Transactions or the transactions contemplated hereby.</w:t>
      </w:r>
    </w:p>
    <w:p>
      <w:pPr>
        <w:spacing w:after="0" w:line="164" w:lineRule="exact"/>
        <w:rPr>
          <w:rFonts w:ascii="Times New Roman" w:cs="Times New Roman" w:eastAsia="Times New Roman" w:hAnsi="Times New Roman"/>
          <w:sz w:val="16"/>
          <w:szCs w:val="16"/>
          <w:color w:val="auto"/>
        </w:rPr>
      </w:pPr>
    </w:p>
    <w:p>
      <w:pPr>
        <w:ind w:right="160" w:firstLine="397"/>
        <w:spacing w:after="0" w:line="258" w:lineRule="auto"/>
        <w:tabs>
          <w:tab w:leader="none" w:pos="66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Appraisal Rights or Rights of Dissent</w:t>
      </w:r>
      <w:r>
        <w:rPr>
          <w:rFonts w:ascii="Times New Roman" w:cs="Times New Roman" w:eastAsia="Times New Roman" w:hAnsi="Times New Roman"/>
          <w:sz w:val="16"/>
          <w:szCs w:val="16"/>
          <w:color w:val="auto"/>
        </w:rPr>
        <w:t>. Each Selling Investor hereby waives, and agrees not to exercise or assert, any appraisal or dissenters’ rights it may have or could potentially have or acquire in connection with the Mergers under Section 262 of the DGCL and otherwise, whether or not such Selling Investor has previously made a written demand upon the Company and otherwise complied with the appraisal rights provisions of the DGCL.</w:t>
      </w:r>
    </w:p>
    <w:p>
      <w:pPr>
        <w:spacing w:after="0" w:line="160" w:lineRule="exact"/>
        <w:rPr>
          <w:rFonts w:ascii="Times New Roman" w:cs="Times New Roman" w:eastAsia="Times New Roman" w:hAnsi="Times New Roman"/>
          <w:sz w:val="16"/>
          <w:szCs w:val="16"/>
          <w:color w:val="auto"/>
        </w:rPr>
      </w:pPr>
    </w:p>
    <w:p>
      <w:pPr>
        <w:ind w:firstLine="397"/>
        <w:spacing w:after="0" w:line="251" w:lineRule="auto"/>
        <w:tabs>
          <w:tab w:leader="none" w:pos="66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Each Selling Investor agrees that, for a period of two years following the Expiration Date, such Selling Investor shall not, and shall cause its Affiliates, directors, officers, employees and agents not to divulge or convey to any third party, any of the Company’s confidential information, other than: (i) any of the Company’s confidential information that is or becomes generally available to the public other than as a result of an act or omission by such Selling Investor or its Affiliate, director, officer, employee or agent, (ii) any information that has been independently developed or conceived by the Selling Investor or its Affiliates, director, officer, employee or agent, (iii) is or has been made known or disclosed to the Selling Investor by a third party without a breach of any obligation of confidentiality such third party may have to the Company. Notwithstanding the foregoing, each Selling Investor shall be permitted to make any such disclosure (a) to its directors, officers, employees and agents who reasonably need to know such information and who agree to keep such information confidential and are made aware of the Selling Investor’s obligations of confidentiality under this Agreement and (b) to the extent requested by a Governmental Authority or required by Law or legal process (in which case the Selling Investor will, to the extent reasonably practicable and legally permissible, provide Parent with advance notice of such required or requested disclosure, shall use commercially reasonable efforts to resist such disclosure, and, at the request of Parent, shall cooperate with Parent to, at Parent’s sole cost and expense, limit or prevent such disclosure).</w:t>
      </w:r>
    </w:p>
    <w:p>
      <w:pPr>
        <w:spacing w:after="0" w:line="166" w:lineRule="exact"/>
        <w:rPr>
          <w:rFonts w:ascii="Times New Roman" w:cs="Times New Roman" w:eastAsia="Times New Roman" w:hAnsi="Times New Roman"/>
          <w:sz w:val="16"/>
          <w:szCs w:val="16"/>
          <w:color w:val="auto"/>
        </w:rPr>
      </w:pPr>
    </w:p>
    <w:p>
      <w:pPr>
        <w:ind w:right="140" w:firstLine="397"/>
        <w:spacing w:after="0" w:line="254" w:lineRule="auto"/>
        <w:tabs>
          <w:tab w:leader="none" w:pos="666"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Each Selling Investor is entering into this Agreement solely in its capacity as a Beneficial Owner of Covered Shares, and in this regard, such Selling Investor shall not be deemed to make any agreement or understanding in this Agreement in such Selling Investor’s capacity as a director or officer of the Company, including with respect to Section 7.02 of the Merger Agreement. The parties acknowledge and agree that nothing in this Agreement shall (i) restrict in any respect any actions taken by a Selling Investor or its designee who is a director or officer of the Company in his or her capacity as a director or officer of the Company or (ii) be construed to prohibit, limit or restrict the Selling Investor or its designee from exercising its fiduciary duties as a director or officer of the Company.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20"/>
          </w:cols>
          <w:pgMar w:left="1080" w:top="254" w:right="1099" w:bottom="1440" w:gutter="0" w:footer="0" w:header="0"/>
        </w:sectPr>
      </w:pPr>
    </w:p>
    <w:bookmarkStart w:id="129" w:name="page130"/>
    <w:bookmarkEnd w:id="129"/>
    <w:p>
      <w:pPr>
        <w:ind w:left="740" w:hanging="363"/>
        <w:spacing w:after="0"/>
        <w:tabs>
          <w:tab w:leader="none" w:pos="7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Irrevocable Proxy</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20" w:firstLine="883"/>
        <w:spacing w:after="0" w:line="250" w:lineRule="auto"/>
        <w:tabs>
          <w:tab w:leader="none" w:pos="1188"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Selling Investor hereby irrevocably grants to, and appoints, Parent, and any individual designated in writing by Parent, and each of them individually, as such Selling Investor’s proxy and attorney-in-fact (with full power of substitution), for and in the name, place and stead of such Selling Investor, to vote such Selling Investor’s Covered Shares, or execute a written consent or grant approval in respect of such Covered Shares, in a manner consistent with this Agreement from the date hereof until the Expiration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for the avoidance of doubt, that such proxy and voting and related rights are limited to those matters set forth in clauses (b)-(d) of Section 3, and each Selling Investor shall retain at all times the right to vote such Selling Investor’s Covered Shares (or to direct how such Covered Shares shall be voted) in such Selling Investor’s sole discretion and without any other limitation on any matters not connected with the Transactions. Each Selling Investor understands and acknowledges that Parent has entered into the Merger Agreement in reliance upon such Selling Investor’s execution and delivery of this Agreement. Each Selling Investor hereby affirms that the irrevocable proxy set forth in this Section 10(a) is given to secure the performance of the duties of such Selling Investor under this Agreement. Each Selling Investor hereby further affirms that the irrevocable proxy is coupled with an interest sufficient in law and such irrevocable proxy is executed and intended to be irrevocable in accordance with applicable Law and Section 2.09 of the Company’s bylaws until, and shall not be terminated by operation of Law or upon the occurrence of any other event other than, the termination of this Agreement pursuant to Section 19. Each Selling Investor shall, upon written request by Parent, as promptly as practicable, execute and deliver to Parent a separate written instrument or proxy that embodies the terms of this irrevocable proxy set forth in this Section 10(a). Each Selling Investor agrees not to grant any proxy that conflicts with or is inconsistent with the proxy granted to Parent in this Agreement.</w:t>
      </w:r>
    </w:p>
    <w:p>
      <w:pPr>
        <w:spacing w:after="0" w:line="171" w:lineRule="exact"/>
        <w:rPr>
          <w:rFonts w:ascii="Times New Roman" w:cs="Times New Roman" w:eastAsia="Times New Roman" w:hAnsi="Times New Roman"/>
          <w:sz w:val="16"/>
          <w:szCs w:val="16"/>
          <w:color w:val="auto"/>
        </w:rPr>
      </w:pPr>
    </w:p>
    <w:p>
      <w:pPr>
        <w:ind w:left="-20" w:right="160" w:firstLine="883"/>
        <w:spacing w:after="0" w:line="263" w:lineRule="auto"/>
        <w:tabs>
          <w:tab w:leader="none" w:pos="1197"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Selling Investor hereby revokes (or agrees to cause to be revoked) any proxies that conflict with or are inconsistent with the proxy granted to Parent in this Agreement that such Selling Investor has heretofore granted with respect to the Covered Shares Beneficially Owned by such Selling Investor, other than any such proxy granted to Parent pursuant to the Drag-Along Consent and Voting Agreement.</w:t>
      </w:r>
    </w:p>
    <w:p>
      <w:pPr>
        <w:spacing w:after="0" w:line="156" w:lineRule="exact"/>
        <w:rPr>
          <w:rFonts w:ascii="Times New Roman" w:cs="Times New Roman" w:eastAsia="Times New Roman" w:hAnsi="Times New Roman"/>
          <w:sz w:val="16"/>
          <w:szCs w:val="16"/>
          <w:color w:val="auto"/>
        </w:rPr>
      </w:pPr>
    </w:p>
    <w:p>
      <w:pPr>
        <w:ind w:left="720" w:hanging="343"/>
        <w:spacing w:after="0"/>
        <w:tabs>
          <w:tab w:leader="none" w:pos="7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740" w:hanging="363"/>
        <w:spacing w:after="0"/>
        <w:tabs>
          <w:tab w:leader="none" w:pos="7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Parent</w:t>
      </w:r>
      <w:r>
        <w:rPr>
          <w:rFonts w:ascii="Times New Roman" w:cs="Times New Roman" w:eastAsia="Times New Roman" w:hAnsi="Times New Roman"/>
          <w:sz w:val="16"/>
          <w:szCs w:val="16"/>
          <w:color w:val="auto"/>
        </w:rPr>
        <w:t>. Parent hereby represents and warrants as follows:</w:t>
      </w:r>
    </w:p>
    <w:p>
      <w:pPr>
        <w:spacing w:after="0" w:line="101" w:lineRule="exact"/>
        <w:rPr>
          <w:rFonts w:ascii="Times New Roman" w:cs="Times New Roman" w:eastAsia="Times New Roman" w:hAnsi="Times New Roman"/>
          <w:sz w:val="16"/>
          <w:szCs w:val="16"/>
          <w:color w:val="auto"/>
        </w:rPr>
      </w:pPr>
    </w:p>
    <w:p>
      <w:pPr>
        <w:ind w:left="-20" w:right="200" w:firstLine="883"/>
        <w:spacing w:after="0" w:line="278" w:lineRule="auto"/>
        <w:tabs>
          <w:tab w:leader="none" w:pos="1188"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and Qualification</w:t>
      </w:r>
      <w:r>
        <w:rPr>
          <w:rFonts w:ascii="Times New Roman" w:cs="Times New Roman" w:eastAsia="Times New Roman" w:hAnsi="Times New Roman"/>
          <w:sz w:val="16"/>
          <w:szCs w:val="16"/>
          <w:color w:val="auto"/>
        </w:rPr>
        <w:t>. Parent is a legal entity duly organized, validly existing and in good standing under the Laws of the jurisdiction of its incorporation.</w:t>
      </w:r>
    </w:p>
    <w:p>
      <w:pPr>
        <w:spacing w:after="0" w:line="142" w:lineRule="exact"/>
        <w:rPr>
          <w:rFonts w:ascii="Times New Roman" w:cs="Times New Roman" w:eastAsia="Times New Roman" w:hAnsi="Times New Roman"/>
          <w:sz w:val="16"/>
          <w:szCs w:val="16"/>
          <w:color w:val="auto"/>
        </w:rPr>
      </w:pPr>
    </w:p>
    <w:p>
      <w:pPr>
        <w:ind w:left="-20" w:firstLine="883"/>
        <w:spacing w:after="0" w:line="252" w:lineRule="auto"/>
        <w:tabs>
          <w:tab w:leader="none" w:pos="1197"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 Binding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 Parent has all requisite power and authority to execute and deliver this Agreement, to perform its obligations hereunder and to consummate the transactions contemplated hereby, and (ii) the execution and delivery by Parent of this Agreement and the performance of Parent’s obligations and the consummation of the transactions contemplated hereby by Parent have been duly authorized by all necessary action, and no other actions on the part of Parent (or its board of directors or stockholders) are necessary to authorize or adopt this Agreement or to consummate the transactions contemplated by this Agreement. This Agreement has been duly executed and delivered by Parent, and, assuming this Agreement constitutes a valid and binding obligation of the Selling Investors, constitutes a valid and binding obligation of Parent, enforceable against Parent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80"/>
          </w:cols>
          <w:pgMar w:left="1100" w:top="254" w:right="1119" w:bottom="1440" w:gutter="0" w:footer="0" w:header="0"/>
        </w:sectPr>
      </w:pPr>
    </w:p>
    <w:bookmarkStart w:id="130" w:name="page131"/>
    <w:bookmarkEnd w:id="130"/>
    <w:p>
      <w:pPr>
        <w:ind w:firstLine="883"/>
        <w:spacing w:after="0" w:line="256" w:lineRule="auto"/>
        <w:tabs>
          <w:tab w:leader="none" w:pos="1208"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 Conflicts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None of the execution and delivery by Parent of this Agreement, the performance by Parent of its obligations hereunder or the consummation by Parent of the transactions contemplated hereby does or would reasonably be expected to conflict with or result in a violation or breach of (i) Parent’s certificate of incorporation or bylaws, (ii) any other contract to which Parent is a party or by which Parent may be bound, except for violations, breaches or defaults that, individually or in the aggregate, would not reasonably be expected to in any material respect impair or adversely affect the ability of Parent to perform its obligations under this Agreement, or (iii) any Law applicable to Parent.</w:t>
      </w:r>
    </w:p>
    <w:p>
      <w:pPr>
        <w:spacing w:after="0" w:line="163" w:lineRule="exact"/>
        <w:rPr>
          <w:rFonts w:ascii="Times New Roman" w:cs="Times New Roman" w:eastAsia="Times New Roman" w:hAnsi="Times New Roman"/>
          <w:sz w:val="16"/>
          <w:szCs w:val="16"/>
          <w:color w:val="auto"/>
        </w:rPr>
      </w:pPr>
    </w:p>
    <w:p>
      <w:pPr>
        <w:jc w:val="both"/>
        <w:ind w:right="80" w:firstLine="883"/>
        <w:spacing w:after="0" w:line="263" w:lineRule="auto"/>
        <w:tabs>
          <w:tab w:leader="none" w:pos="1217"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Litigation</w:t>
      </w:r>
      <w:r>
        <w:rPr>
          <w:rFonts w:ascii="Times New Roman" w:cs="Times New Roman" w:eastAsia="Times New Roman" w:hAnsi="Times New Roman"/>
          <w:sz w:val="16"/>
          <w:szCs w:val="16"/>
          <w:color w:val="auto"/>
        </w:rPr>
        <w:t>. There are no Actions pending or, to the knowledge of Parent, threatened against Parent, or any Order to which Parent is subject, except, in each case, for those that, individually or in the aggregate, would not reasonably be expected to prevent or materially and adversely impair or otherwise affect the ability of Parent to fully perform its obligations under this Agreement.</w:t>
      </w:r>
    </w:p>
    <w:p>
      <w:pPr>
        <w:spacing w:after="0" w:line="156" w:lineRule="exact"/>
        <w:rPr>
          <w:rFonts w:ascii="Times New Roman" w:cs="Times New Roman" w:eastAsia="Times New Roman" w:hAnsi="Times New Roman"/>
          <w:sz w:val="16"/>
          <w:szCs w:val="16"/>
          <w:color w:val="auto"/>
        </w:rPr>
      </w:pPr>
    </w:p>
    <w:p>
      <w:pPr>
        <w:ind w:left="760" w:hanging="363"/>
        <w:spacing w:after="0"/>
        <w:tabs>
          <w:tab w:leader="none" w:pos="7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Selling Investors</w:t>
      </w:r>
      <w:r>
        <w:rPr>
          <w:rFonts w:ascii="Times New Roman" w:cs="Times New Roman" w:eastAsia="Times New Roman" w:hAnsi="Times New Roman"/>
          <w:sz w:val="16"/>
          <w:szCs w:val="16"/>
          <w:color w:val="auto"/>
        </w:rPr>
        <w:t>. Each Selling Investor (severally and not jointly) hereby represents and warrants as</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follows:</w:t>
      </w:r>
    </w:p>
    <w:p>
      <w:pPr>
        <w:spacing w:after="0" w:line="84" w:lineRule="exact"/>
        <w:rPr>
          <w:rFonts w:ascii="Times New Roman" w:cs="Times New Roman" w:eastAsia="Times New Roman" w:hAnsi="Times New Roman"/>
          <w:sz w:val="16"/>
          <w:szCs w:val="16"/>
          <w:color w:val="auto"/>
        </w:rPr>
      </w:pPr>
    </w:p>
    <w:p>
      <w:pPr>
        <w:ind w:right="280" w:firstLine="883"/>
        <w:spacing w:after="0" w:line="313" w:lineRule="auto"/>
        <w:tabs>
          <w:tab w:leader="none" w:pos="1208" w:val="left"/>
        </w:tabs>
        <w:numPr>
          <w:ilvl w:val="1"/>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Organization and Qualification</w:t>
      </w:r>
      <w:r>
        <w:rPr>
          <w:rFonts w:ascii="Times New Roman" w:cs="Times New Roman" w:eastAsia="Times New Roman" w:hAnsi="Times New Roman"/>
          <w:sz w:val="15"/>
          <w:szCs w:val="15"/>
          <w:color w:val="auto"/>
        </w:rPr>
        <w:t>. If such Selling Investor is not an individual, such Selling Investor is a legal entity duly formed or organized (as applicable), validly existing and in good standing under the Laws of the jurisdiction in which it is formed or organized, as applicable.</w:t>
      </w:r>
    </w:p>
    <w:p>
      <w:pPr>
        <w:spacing w:after="0" w:line="119" w:lineRule="exact"/>
        <w:rPr>
          <w:rFonts w:ascii="Times New Roman" w:cs="Times New Roman" w:eastAsia="Times New Roman" w:hAnsi="Times New Roman"/>
          <w:sz w:val="15"/>
          <w:szCs w:val="15"/>
          <w:color w:val="auto"/>
        </w:rPr>
      </w:pPr>
    </w:p>
    <w:p>
      <w:pPr>
        <w:ind w:right="20" w:firstLine="883"/>
        <w:spacing w:after="0" w:line="251" w:lineRule="auto"/>
        <w:tabs>
          <w:tab w:leader="none" w:pos="1217"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 Binding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If such Selling Investor is an individual, he or she has full legal capacity, right and authority to execute and deliver this Agreement and to perform his or her obligations hereunder and consummate the transactions contemplated hereby. If such Selling Investor is not an individual, (i) such Selling Investor has all requisite power and authority to execute and deliver this Agreement, to perform such Selling Investor’s obligations hereunder and to consummate the transactions contemplated hereby and (ii) the execution and delivery by such Selling Investor of this Agreement and the performance of such Selling Investor’s obligations and the consummation of the transactions contemplated hereby by such Selling Investor have been duly authorized by all necessary action, and no other actions on the part of such Selling Investor (or its governing body, board of directors, members, partners, stockholders or trustees, as applicable) are necessary to authorize or adopt this Agreement or to consummate the transactions contemplated by this Agreement. This Agreement has been duly executed and delivered by such Selling Investor, and, assuming this Agreement constitutes a valid and binding obligation of Parent, constitutes a valid and binding obligation of such Selling Investor, enforceable against such Selling Investor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66" w:lineRule="exact"/>
        <w:rPr>
          <w:rFonts w:ascii="Times New Roman" w:cs="Times New Roman" w:eastAsia="Times New Roman" w:hAnsi="Times New Roman"/>
          <w:sz w:val="16"/>
          <w:szCs w:val="16"/>
          <w:color w:val="auto"/>
        </w:rPr>
      </w:pPr>
    </w:p>
    <w:p>
      <w:pPr>
        <w:ind w:right="60" w:firstLine="883"/>
        <w:spacing w:after="0" w:line="253" w:lineRule="auto"/>
        <w:tabs>
          <w:tab w:leader="none" w:pos="1208"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None of the execution and delivery by such Selling Investor of this Agreement, the performance by such Selling Investor of such Selling Investor’s obligations hereunder or the consummation by such Selling Investor of the transactions contemplated hereby does or would reasonably be expected to conflict with or result in a violation or breach of, or in default under, (i) if such Selling Investor is not an individual, such Selling Investor’s articles or certificate of formation, incorporation or organization, operating agreement, bylaws or comparable organizational documents, as applicable, each in its currently effective form as amended from time to time, (ii) any other contract to which such Selling Investor is a party or by which such Selling Investor may be bound, including any voting agreement or voting trust, or (iii) any Law applicable to such Selling Investor, except, in each case, for violations, breaches or defaults that, individually or in the aggregate, would not reasonably be expected to (x) in any material respect impair or adversely affect the ability of such Selling Investor to</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00"/>
          </w:cols>
          <w:pgMar w:left="1080" w:top="252" w:right="1119" w:bottom="1440" w:gutter="0" w:footer="0" w:header="0"/>
        </w:sectPr>
      </w:pPr>
    </w:p>
    <w:bookmarkStart w:id="131" w:name="page132"/>
    <w:bookmarkEnd w:id="131"/>
    <w:p>
      <w:pPr>
        <w:ind w:right="16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perform such Selling Investor’s obligations under this Agreement on a timely basis or (y) prevent or materially delay the consummation of the Transactions. The execution, delivery and performance by such Selling Investor of this Agreement, and the consummation by such Selling Investor of the transactions contemplated hereby, require no consent or action by or in respect of, or filing with, any Governmental Authority.</w:t>
      </w:r>
    </w:p>
    <w:p>
      <w:pPr>
        <w:spacing w:after="0" w:line="155" w:lineRule="exact"/>
        <w:rPr>
          <w:sz w:val="20"/>
          <w:szCs w:val="20"/>
          <w:color w:val="auto"/>
        </w:rPr>
      </w:pPr>
    </w:p>
    <w:p>
      <w:pPr>
        <w:ind w:firstLine="883"/>
        <w:spacing w:after="0" w:line="253" w:lineRule="auto"/>
        <w:tabs>
          <w:tab w:leader="none" w:pos="1217" w:val="left"/>
        </w:tabs>
        <w:numPr>
          <w:ilvl w:val="2"/>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 of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Such Selling Investor (i) is the lawful record and Beneficial Owner of the shares of Company Stock set forth opposite such Selling Investor’s name on Schedule 1(b) attached hereto and has, and at all times prior to the Expiration Date will have, the sole power to vote (or cause to be voted), Transfer, or demand or waive any appraisal rights with respect to, such shares of Company Stock, all of which are free and clear of, and not subject to, any Encumbrances (other than those (A) created by this Agreement, (B) applicable to such Selling Investor’s Covered Shares that may exist pursuant to securities Laws or (C) any proxies that are not required by Section 10(b) to be revoked and which do not relate to the Mergers, the Transactions or Competing Proposals) and (ii) as of the date hereof, does not Beneficially Own or have the right to vote (or cause the voting of) any shares of any class of Company Stock or other securities of the Company or any interest therein or any voting rights with respect to any securities of the Company other than the shares of Company Stock set forth opposite such Selling Investor’s name on Schedule 1(b) attached hereto.</w:t>
      </w:r>
    </w:p>
    <w:p>
      <w:pPr>
        <w:spacing w:after="0" w:line="164" w:lineRule="exact"/>
        <w:rPr>
          <w:rFonts w:ascii="Times New Roman" w:cs="Times New Roman" w:eastAsia="Times New Roman" w:hAnsi="Times New Roman"/>
          <w:sz w:val="16"/>
          <w:szCs w:val="16"/>
          <w:color w:val="auto"/>
        </w:rPr>
      </w:pPr>
    </w:p>
    <w:p>
      <w:pPr>
        <w:ind w:left="1220" w:hanging="337"/>
        <w:spacing w:after="0"/>
        <w:tabs>
          <w:tab w:leader="none" w:pos="1220" w:val="left"/>
        </w:tabs>
        <w:numPr>
          <w:ilvl w:val="2"/>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right="60" w:firstLine="883"/>
        <w:spacing w:after="0" w:line="258" w:lineRule="auto"/>
        <w:tabs>
          <w:tab w:leader="none" w:pos="1191" w:val="left"/>
        </w:tabs>
        <w:numPr>
          <w:ilvl w:val="2"/>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Litigation</w:t>
      </w:r>
      <w:r>
        <w:rPr>
          <w:rFonts w:ascii="Times New Roman" w:cs="Times New Roman" w:eastAsia="Times New Roman" w:hAnsi="Times New Roman"/>
          <w:sz w:val="16"/>
          <w:szCs w:val="16"/>
          <w:color w:val="auto"/>
        </w:rPr>
        <w:t>. As of the date hereof, there are no Actions pending or, to the knowledge of such Selling Investor, threatened against such Selling Investor, or any Order to which such Selling Investor is subject, except, in each case, for those that, individually or in the aggregate, would not reasonably be expected to (i) prevent or impair or materially delay the ability of such Selling Investor to fully perform such Selling Investor’s obligations under this Agreement on a timely basis or (ii) prevent or materially delay the consummation of the Transactions.</w:t>
      </w:r>
    </w:p>
    <w:p>
      <w:pPr>
        <w:spacing w:after="0" w:line="160" w:lineRule="exact"/>
        <w:rPr>
          <w:rFonts w:ascii="Times New Roman" w:cs="Times New Roman" w:eastAsia="Times New Roman" w:hAnsi="Times New Roman"/>
          <w:sz w:val="16"/>
          <w:szCs w:val="16"/>
          <w:color w:val="auto"/>
        </w:rPr>
      </w:pPr>
    </w:p>
    <w:p>
      <w:pPr>
        <w:ind w:right="40" w:firstLine="883"/>
        <w:spacing w:after="0" w:line="263" w:lineRule="auto"/>
        <w:tabs>
          <w:tab w:leader="none" w:pos="1217" w:val="left"/>
        </w:tabs>
        <w:numPr>
          <w:ilvl w:val="2"/>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Finder’s Fees</w:t>
      </w:r>
      <w:r>
        <w:rPr>
          <w:rFonts w:ascii="Times New Roman" w:cs="Times New Roman" w:eastAsia="Times New Roman" w:hAnsi="Times New Roman"/>
          <w:sz w:val="16"/>
          <w:szCs w:val="16"/>
          <w:color w:val="auto"/>
        </w:rPr>
        <w:t>. No broker, investment banker, financial advisor, finder, agent or other Person is entitled to any broker’s, finder’s, financial advisor’s or other similar fee or commission payable by the Company in connection with this Agreement based upon arrangements made by or on behalf of such Selling Investor in his, her or its capacity as a stockholder of the Company.</w:t>
      </w:r>
    </w:p>
    <w:p>
      <w:pPr>
        <w:spacing w:after="0" w:line="156" w:lineRule="exact"/>
        <w:rPr>
          <w:rFonts w:ascii="Times New Roman" w:cs="Times New Roman" w:eastAsia="Times New Roman" w:hAnsi="Times New Roman"/>
          <w:sz w:val="16"/>
          <w:szCs w:val="16"/>
          <w:color w:val="auto"/>
        </w:rPr>
      </w:pPr>
    </w:p>
    <w:p>
      <w:pPr>
        <w:ind w:left="760" w:hanging="363"/>
        <w:spacing w:after="0"/>
        <w:tabs>
          <w:tab w:leader="none" w:pos="760"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and Communications</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right="200" w:firstLine="883"/>
        <w:spacing w:after="0" w:line="254" w:lineRule="auto"/>
        <w:tabs>
          <w:tab w:leader="none" w:pos="1208" w:val="left"/>
        </w:tabs>
        <w:numPr>
          <w:ilvl w:val="2"/>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Selling Investor hereby consents to and authorizes the publication and disclosure of such Selling Investor’s identity and ownership, this Agreement and the nature of such Selling Investor’s commitments, arrangements and understandings pursuant to this Agreement and such other information pertinent to such disclosure, including the filing of this Agreement, by Parent and the Company in the Registration Statement, Consent Solicitation Statement or other disclosure document required by applicable Law to be filed with the SEC or other Governmental Authority in connection with this Agreement, the Merger Agreement or the Transactions, and agrees to reasonably cooperate with Parent in connection with such filings.</w:t>
      </w:r>
    </w:p>
    <w:p>
      <w:pPr>
        <w:spacing w:after="0" w:line="164" w:lineRule="exact"/>
        <w:rPr>
          <w:rFonts w:ascii="Times New Roman" w:cs="Times New Roman" w:eastAsia="Times New Roman" w:hAnsi="Times New Roman"/>
          <w:sz w:val="16"/>
          <w:szCs w:val="16"/>
          <w:color w:val="auto"/>
        </w:rPr>
      </w:pPr>
    </w:p>
    <w:p>
      <w:pPr>
        <w:ind w:right="200" w:firstLine="883"/>
        <w:spacing w:after="0" w:line="268" w:lineRule="auto"/>
        <w:tabs>
          <w:tab w:leader="none" w:pos="1215" w:val="left"/>
        </w:tabs>
        <w:numPr>
          <w:ilvl w:val="2"/>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Selling Investors shall not issue or make any press release or public announcement related to this Agreement, the Merger Agreement or the Transactions, or any other announcement or communication to the employees, customers or suppliers of the Company or any of its Subsidiaries, in each case without the approval of Parent, unless required by applicable Law;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each Selling Investor may make public statements that do not contain any information relating to the Transactions that has not been previously announced or made public in accordance with this Agreement or the Merger Agreement so long as no such public statement (i) disparages the Transactions, (ii) encourages other holders of capital stock of the Company to vote against, or withhold their vote or consent on, the Transactions, including the adoption of the Merger Agreement, or</w:t>
      </w:r>
    </w:p>
    <w:p>
      <w:pPr>
        <w:spacing w:after="0" w:line="3"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encourages other holders of capital stock of the Company to exercise appraisal rights.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00"/>
          </w:cols>
          <w:pgMar w:left="1080" w:top="254" w:right="1119" w:bottom="1440" w:gutter="0" w:footer="0" w:header="0"/>
        </w:sectPr>
      </w:pPr>
    </w:p>
    <w:bookmarkStart w:id="132" w:name="page133"/>
    <w:bookmarkEnd w:id="132"/>
    <w:p>
      <w:pPr>
        <w:ind w:left="-20" w:right="60" w:firstLine="397"/>
        <w:spacing w:after="0" w:line="277" w:lineRule="auto"/>
        <w:tabs>
          <w:tab w:leader="none" w:pos="725"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 Ownership Interest</w:t>
      </w:r>
      <w:r>
        <w:rPr>
          <w:rFonts w:ascii="Times New Roman" w:cs="Times New Roman" w:eastAsia="Times New Roman" w:hAnsi="Times New Roman"/>
          <w:sz w:val="15"/>
          <w:szCs w:val="15"/>
          <w:color w:val="auto"/>
        </w:rPr>
        <w:t>. Nothing contained in this Agreement shall be deemed to vest in Parent any direct or indirect ownership or incidence of ownership of or with respect to any Covered Shares. All ownership and economic benefits of and relating to the Covered Shares shall remain vested in and belong to the applicable Selling Investor, and, except as otherwise provided herein, Parent shall not have any authority to direct any Selling Investor in the voting or disposition of any Covered Shares. For the avoidance of doubt, each Selling Investor shall be entitled to any dividends or other distributions declared by the Company Board with respect to such Selling Investor’s Covered Shares having a record date prior to the Effective Time.</w:t>
      </w:r>
    </w:p>
    <w:p>
      <w:pPr>
        <w:spacing w:after="0" w:line="146" w:lineRule="exact"/>
        <w:rPr>
          <w:rFonts w:ascii="Times New Roman" w:cs="Times New Roman" w:eastAsia="Times New Roman" w:hAnsi="Times New Roman"/>
          <w:sz w:val="15"/>
          <w:szCs w:val="15"/>
          <w:color w:val="auto"/>
        </w:rPr>
      </w:pPr>
    </w:p>
    <w:p>
      <w:pPr>
        <w:ind w:left="740" w:hanging="363"/>
        <w:spacing w:after="0"/>
        <w:tabs>
          <w:tab w:leader="none" w:pos="7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jc w:val="both"/>
        <w:ind w:left="-20" w:right="120" w:firstLine="397"/>
        <w:spacing w:after="0" w:line="258" w:lineRule="auto"/>
        <w:tabs>
          <w:tab w:leader="none" w:pos="72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Stop Transfer Instructions</w:t>
      </w:r>
      <w:r>
        <w:rPr>
          <w:rFonts w:ascii="Times New Roman" w:cs="Times New Roman" w:eastAsia="Times New Roman" w:hAnsi="Times New Roman"/>
          <w:sz w:val="16"/>
          <w:szCs w:val="16"/>
          <w:color w:val="auto"/>
        </w:rPr>
        <w:t>. Each Selling Investor shall not request that the Company register the Transfer (book-entry or otherwise) of any certificated or uncertificated interest representing any of such Selling Investor’s Covered Shares, unless such Transfer is made in compliance with this Agreement. Each Selling Investor hereby authorizes Parent to direct the Company to impose stop orders to prevent the Transfer of any Covered Shares on the books of the Company in violation of this Agreement.</w:t>
      </w:r>
    </w:p>
    <w:p>
      <w:pPr>
        <w:spacing w:after="0" w:line="160" w:lineRule="exact"/>
        <w:rPr>
          <w:rFonts w:ascii="Times New Roman" w:cs="Times New Roman" w:eastAsia="Times New Roman" w:hAnsi="Times New Roman"/>
          <w:sz w:val="16"/>
          <w:szCs w:val="16"/>
          <w:color w:val="auto"/>
        </w:rPr>
      </w:pPr>
    </w:p>
    <w:p>
      <w:pPr>
        <w:ind w:left="740" w:hanging="363"/>
        <w:spacing w:after="0"/>
        <w:tabs>
          <w:tab w:leader="none" w:pos="7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20" w:firstLine="397"/>
        <w:spacing w:after="0" w:line="255" w:lineRule="auto"/>
        <w:tabs>
          <w:tab w:leader="none" w:pos="72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and all rights and obligations of the parties hereunder, shall terminate and shall have no further force or effect upon the termination of the Merger Agreement in accordance with its terms;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 this Section 19 and Sections 1, 14 and 23 shall survive any termination of the Agreement and (ii) Sections 2, 3, 4, 5, 10 and 17 shall terminate and shall have no further force or effect as of the Expiration Date. Notwithstanding the foregoing, nothing set forth in this Section 19 or elsewhere in this Agreement shall relieve either party hereto from liability, or otherwise limit the liability of a Selling Investor, for any intentional breach of this Agreement prior to such termination.</w:t>
      </w:r>
    </w:p>
    <w:p>
      <w:pPr>
        <w:spacing w:after="0" w:line="164" w:lineRule="exact"/>
        <w:rPr>
          <w:rFonts w:ascii="Times New Roman" w:cs="Times New Roman" w:eastAsia="Times New Roman" w:hAnsi="Times New Roman"/>
          <w:sz w:val="16"/>
          <w:szCs w:val="16"/>
          <w:color w:val="auto"/>
        </w:rPr>
      </w:pPr>
    </w:p>
    <w:p>
      <w:pPr>
        <w:ind w:left="-20" w:right="380" w:firstLine="397"/>
        <w:spacing w:after="0" w:line="278" w:lineRule="auto"/>
        <w:tabs>
          <w:tab w:leader="none" w:pos="72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Transaction Documents</w:t>
      </w:r>
      <w:r>
        <w:rPr>
          <w:rFonts w:ascii="Times New Roman" w:cs="Times New Roman" w:eastAsia="Times New Roman" w:hAnsi="Times New Roman"/>
          <w:sz w:val="16"/>
          <w:szCs w:val="16"/>
          <w:color w:val="auto"/>
        </w:rPr>
        <w:t>. Each Selling Investor acknowledges that the Merger Agreement and the other Transaction Documents may be amended in accordance with the terms and conditions set forth in the Merger Agreement and the other Transaction Documents.</w:t>
      </w:r>
    </w:p>
    <w:p>
      <w:pPr>
        <w:spacing w:after="0" w:line="144" w:lineRule="exact"/>
        <w:rPr>
          <w:rFonts w:ascii="Times New Roman" w:cs="Times New Roman" w:eastAsia="Times New Roman" w:hAnsi="Times New Roman"/>
          <w:sz w:val="16"/>
          <w:szCs w:val="16"/>
          <w:color w:val="auto"/>
        </w:rPr>
      </w:pPr>
    </w:p>
    <w:p>
      <w:pPr>
        <w:ind w:left="-20" w:right="60" w:firstLine="397"/>
        <w:spacing w:after="0" w:line="255" w:lineRule="auto"/>
        <w:tabs>
          <w:tab w:leader="none" w:pos="72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Each Selling Investor hereby waives any and all notice, information and consent requirements, as well as any right of first refusal, right of first offer, right of first negotiation, right restricting share transfers, redemption right, co-sale right, registration right, preemptive right and other similar rights, that may be applicable to, or triggered by, the Transactions, including the Mergers, the Merger Agreement, the other Transaction Documents and any of the transactions contemplated thereby that are contained in the Company’s organizational documents or any contractual obligation between the Company and such Selling Investor, or under applicable Law.</w:t>
      </w:r>
    </w:p>
    <w:p>
      <w:pPr>
        <w:spacing w:after="0" w:line="164" w:lineRule="exact"/>
        <w:rPr>
          <w:rFonts w:ascii="Times New Roman" w:cs="Times New Roman" w:eastAsia="Times New Roman" w:hAnsi="Times New Roman"/>
          <w:sz w:val="16"/>
          <w:szCs w:val="16"/>
          <w:color w:val="auto"/>
        </w:rPr>
      </w:pPr>
    </w:p>
    <w:p>
      <w:pPr>
        <w:ind w:left="740" w:hanging="363"/>
        <w:spacing w:after="0"/>
        <w:tabs>
          <w:tab w:leader="none" w:pos="74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 by Selling Investors</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20" w:firstLine="1271"/>
        <w:spacing w:after="0" w:line="255" w:lineRule="auto"/>
        <w:tabs>
          <w:tab w:leader="none" w:pos="1577"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Effective Time, each Selling Investor, on behalf of himself, herself or itself and each of his, her or its past, present and future controlled Affiliates, parent(s) and subsidiary companies, representatives, and assigns (each, a “</w:t>
      </w:r>
      <w:r>
        <w:rPr>
          <w:rFonts w:ascii="Times New Roman" w:cs="Times New Roman" w:eastAsia="Times New Roman" w:hAnsi="Times New Roman"/>
          <w:sz w:val="16"/>
          <w:szCs w:val="16"/>
          <w:u w:val="single" w:color="auto"/>
          <w:color w:val="auto"/>
        </w:rPr>
        <w:t>Selling Investor Releasing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Selling Investor Releasing Parties</w:t>
      </w:r>
      <w:r>
        <w:rPr>
          <w:rFonts w:ascii="Times New Roman" w:cs="Times New Roman" w:eastAsia="Times New Roman" w:hAnsi="Times New Roman"/>
          <w:sz w:val="16"/>
          <w:szCs w:val="16"/>
          <w:color w:val="auto"/>
        </w:rPr>
        <w:t>”) hereby absolutely, unconditionally and irrevocably releases, acquits and forever discharges the Company and each of its respective past, present and future controlled Affiliates, parent(s) and subsidiary companies, joint ventures, predecessors, successors and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80"/>
          </w:cols>
          <w:pgMar w:left="1100" w:top="254" w:right="1119" w:bottom="1440" w:gutter="0" w:footer="0" w:header="0"/>
        </w:sectPr>
      </w:pPr>
    </w:p>
    <w:bookmarkStart w:id="133" w:name="page134"/>
    <w:bookmarkEnd w:id="133"/>
    <w:p>
      <w:pPr>
        <w:ind w:right="20"/>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assigns, and their respective past, present and future representatives, investors, equityholders, insurers and indemnitees, firms, corporations, limited liability companies, partnerships, trusts, associations, organizations, stockholders, members, managers, directors, officers, employees, partners, trustees, principals, consultants, contractors, family members, heirs, executors, administrators, predecessors, successors and assigns (collectively the “</w:t>
      </w:r>
      <w:r>
        <w:rPr>
          <w:rFonts w:ascii="Times New Roman" w:cs="Times New Roman" w:eastAsia="Times New Roman" w:hAnsi="Times New Roman"/>
          <w:sz w:val="16"/>
          <w:szCs w:val="16"/>
          <w:u w:val="single" w:color="auto"/>
          <w:color w:val="auto"/>
        </w:rPr>
        <w:t>Selling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Investor Released Parties</w:t>
      </w:r>
      <w:r>
        <w:rPr>
          <w:rFonts w:ascii="Times New Roman" w:cs="Times New Roman" w:eastAsia="Times New Roman" w:hAnsi="Times New Roman"/>
          <w:sz w:val="16"/>
          <w:szCs w:val="16"/>
          <w:color w:val="auto"/>
        </w:rPr>
        <w:t>”), of and from any and all manner of action or inaction, cause or causes of action, Actions, Encumbrances, contractual obligations, promises, liabilities or damages (whether for compensatory, special, incidental or punitive damages, equitable relief or otherwise) of any kind or nature whatsoever, past, present or future, at law, in equity or otherwise (including with respect to conduct which is negligent, grossly negligent, willful, intentional, with or without malice, or a breach of any duty, applicable Law or rule), whether known or unknown, whether fixed or contingent, whether concealed or hidden, whether disclosed or undisclosed, whether liquidated or unliquidated, whether foreseeable or unforeseeable, whether anticipated or unanticipated, whether suspected or unsuspected (“</w:t>
      </w:r>
      <w:r>
        <w:rPr>
          <w:rFonts w:ascii="Times New Roman" w:cs="Times New Roman" w:eastAsia="Times New Roman" w:hAnsi="Times New Roman"/>
          <w:sz w:val="16"/>
          <w:szCs w:val="16"/>
          <w:u w:val="single" w:color="auto"/>
          <w:color w:val="auto"/>
        </w:rPr>
        <w:t>Claims</w:t>
      </w:r>
      <w:r>
        <w:rPr>
          <w:rFonts w:ascii="Times New Roman" w:cs="Times New Roman" w:eastAsia="Times New Roman" w:hAnsi="Times New Roman"/>
          <w:sz w:val="16"/>
          <w:szCs w:val="16"/>
          <w:color w:val="auto"/>
        </w:rPr>
        <w:t>”), which such Selling Investor Releasing Parties, or any of them, ever have had or ever in the future may have against the Selling Investor Released Parties, or any of them, in each case, to the extent arising solely as a result of the ownership or purported ownership of any of Company Stock, Company Stock Options or other security or interest of the Company and which, in each case, are based on acts, events or omissions occurring prior to or contemporaneously with the Effective Time (the “</w:t>
      </w:r>
      <w:r>
        <w:rPr>
          <w:rFonts w:ascii="Times New Roman" w:cs="Times New Roman" w:eastAsia="Times New Roman" w:hAnsi="Times New Roman"/>
          <w:sz w:val="16"/>
          <w:szCs w:val="16"/>
          <w:u w:val="single" w:color="auto"/>
          <w:color w:val="auto"/>
        </w:rPr>
        <w:t>Selling Investor Released Claims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foregoing release shall not release, impair or diminish, and the term “Selling Investor Released Claims” shall not include, in any respect (i) the Selling Investor’s right pursuant to the Transaction Documents, including the right to receive its respective portion of the Merger Consideration; (ii) any Claims for indemnification, insurance benefits, reimbursement or advancement of expenses in such Selling Investor Releasing Party’s capacity as a director, officer or employee of the Company under the Company’s organizational documents or any indemnification agreement in effect as of the date hereof (or any fiduciary insurance policy maintained by the Company or the Surviving Corporation for the benefit of the Selling Investor, or any indemnification agreements with the Selling Investor or its board designee) with respect to any act, omission, event or transaction occurring prior to or contemporaneously with the Effective Time; or (iii) the rights of any Selling Investor Releasing Party in his or her capacity as an employee of the Company.</w:t>
      </w:r>
    </w:p>
    <w:p>
      <w:pPr>
        <w:spacing w:after="0" w:line="181" w:lineRule="exact"/>
        <w:rPr>
          <w:sz w:val="20"/>
          <w:szCs w:val="20"/>
          <w:color w:val="auto"/>
        </w:rPr>
      </w:pPr>
    </w:p>
    <w:p>
      <w:pPr>
        <w:ind w:right="20" w:firstLine="1271"/>
        <w:spacing w:after="0" w:line="254" w:lineRule="auto"/>
        <w:tabs>
          <w:tab w:leader="none" w:pos="1606"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Selling Investor Releasing Party represents and acknowledges that he, she or it has read this release and the Merger Agreement and other Transaction Documents and understands their terms and has been given sufficient opportunity to review this release and the Transaction Documents and to ask questions of the Company’s Representatives. Each Selling Investor Releasing Party further represents that, in signing this release, he, she or it does not rely, and has not relied, on any representation or statement made by any Representative of the Company or any other Person with respect to the subject matter, basis or effect of this release or otherwise, except such express representations and warranties set forth in the Merger Agreement or this Agreement.</w:t>
      </w:r>
    </w:p>
    <w:p>
      <w:pPr>
        <w:spacing w:after="0" w:line="164" w:lineRule="exact"/>
        <w:rPr>
          <w:rFonts w:ascii="Times New Roman" w:cs="Times New Roman" w:eastAsia="Times New Roman" w:hAnsi="Times New Roman"/>
          <w:sz w:val="16"/>
          <w:szCs w:val="16"/>
          <w:color w:val="auto"/>
        </w:rPr>
      </w:pPr>
    </w:p>
    <w:p>
      <w:pPr>
        <w:jc w:val="both"/>
        <w:ind w:right="200" w:firstLine="1271"/>
        <w:spacing w:after="0" w:line="258" w:lineRule="auto"/>
        <w:tabs>
          <w:tab w:leader="none" w:pos="1594"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generality of Section 22(a), with respect to the Selling Investor Released Claims, each Selling Investor Releasing Party acknowledges that he, she or it is familiar with Section 1542 of the Civil Code of the State of California (“</w:t>
      </w:r>
      <w:r>
        <w:rPr>
          <w:rFonts w:ascii="Times New Roman" w:cs="Times New Roman" w:eastAsia="Times New Roman" w:hAnsi="Times New Roman"/>
          <w:sz w:val="16"/>
          <w:szCs w:val="16"/>
          <w:u w:val="single" w:color="auto"/>
          <w:color w:val="auto"/>
        </w:rPr>
        <w:t>Section 1542</w:t>
      </w:r>
      <w:r>
        <w:rPr>
          <w:rFonts w:ascii="Times New Roman" w:cs="Times New Roman" w:eastAsia="Times New Roman" w:hAnsi="Times New Roman"/>
          <w:sz w:val="16"/>
          <w:szCs w:val="16"/>
          <w:color w:val="auto"/>
        </w:rPr>
        <w:t>”) and hereby expressly waives all rights under Section 1542 and any similar applicable Law or common law principle in any applicable jurisdiction prohibiting or restricting the waiver of unknown claims. Section 1542 reads as follows:</w:t>
      </w:r>
    </w:p>
    <w:p>
      <w:pPr>
        <w:spacing w:after="0" w:line="66"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6"/>
          <w:szCs w:val="16"/>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00"/>
          </w:cols>
          <w:pgMar w:left="1080" w:top="254" w:right="1119" w:bottom="1440" w:gutter="0" w:footer="0" w:header="0"/>
        </w:sectPr>
      </w:pPr>
    </w:p>
    <w:bookmarkStart w:id="134" w:name="page135"/>
    <w:bookmarkEnd w:id="134"/>
    <w:p>
      <w:pPr>
        <w:ind w:left="-40" w:firstLine="1271"/>
        <w:spacing w:after="0" w:line="255" w:lineRule="auto"/>
        <w:tabs>
          <w:tab w:leader="none" w:pos="1566" w:val="left"/>
        </w:tabs>
        <w:numPr>
          <w:ilvl w:val="2"/>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Notwithstanding the provisions of Section 1542 or any similar applicable Law or common law principle in any applicable jurisdiction, each Selling Investor Releasing Party expressly acknowledges that the foregoing release is intended to include in its effect all Claims within the scope of such release which any Selling Investor Releasing Party does not know or suspect to exist in his, her or its favor against any of the Selling Investor Released Parties (including, without limitation, unknown and contingent Claims), and that the foregoing release expressly contemplates the extinguishment of all such Claims (except to the extent expressly set forth in this Section 22).</w:t>
      </w:r>
    </w:p>
    <w:p>
      <w:pPr>
        <w:spacing w:after="0" w:line="164" w:lineRule="exact"/>
        <w:rPr>
          <w:rFonts w:ascii="Times New Roman" w:cs="Times New Roman" w:eastAsia="Times New Roman" w:hAnsi="Times New Roman"/>
          <w:sz w:val="16"/>
          <w:szCs w:val="16"/>
          <w:color w:val="auto"/>
        </w:rPr>
      </w:pPr>
    </w:p>
    <w:p>
      <w:pPr>
        <w:ind w:left="720" w:hanging="363"/>
        <w:spacing w:after="0"/>
        <w:tabs>
          <w:tab w:leader="none" w:pos="7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and General</w:t>
      </w:r>
      <w:r>
        <w:rPr>
          <w:rFonts w:ascii="Times New Roman" w:cs="Times New Roman" w:eastAsia="Times New Roman" w:hAnsi="Times New Roman"/>
          <w:sz w:val="16"/>
          <w:szCs w:val="16"/>
          <w:color w:val="auto"/>
        </w:rPr>
        <w:t>.</w:t>
      </w:r>
    </w:p>
    <w:p>
      <w:pPr>
        <w:spacing w:after="0" w:line="196" w:lineRule="exact"/>
        <w:rPr>
          <w:rFonts w:ascii="Times New Roman" w:cs="Times New Roman" w:eastAsia="Times New Roman" w:hAnsi="Times New Roman"/>
          <w:sz w:val="16"/>
          <w:szCs w:val="16"/>
          <w:color w:val="auto"/>
        </w:rPr>
      </w:pPr>
    </w:p>
    <w:p>
      <w:pPr>
        <w:ind w:left="-40" w:firstLine="883"/>
        <w:spacing w:after="0" w:line="253" w:lineRule="auto"/>
        <w:tabs>
          <w:tab w:leader="none" w:pos="1168"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Waivers, Etc</w:t>
      </w:r>
      <w:r>
        <w:rPr>
          <w:rFonts w:ascii="Times New Roman" w:cs="Times New Roman" w:eastAsia="Times New Roman" w:hAnsi="Times New Roman"/>
          <w:sz w:val="16"/>
          <w:szCs w:val="16"/>
          <w:color w:val="auto"/>
        </w:rPr>
        <w:t>. This Agreement may not be amended, changed, supplemented or otherwise modified with respect to any Selling Investor, except upon the execution and delivery of a written agreement executed by each of Parent and such Selling Investor.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spacing w:after="0" w:line="163" w:lineRule="exact"/>
        <w:rPr>
          <w:rFonts w:ascii="Times New Roman" w:cs="Times New Roman" w:eastAsia="Times New Roman" w:hAnsi="Times New Roman"/>
          <w:sz w:val="16"/>
          <w:szCs w:val="16"/>
          <w:color w:val="auto"/>
        </w:rPr>
      </w:pPr>
    </w:p>
    <w:p>
      <w:pPr>
        <w:ind w:left="-40" w:right="200" w:firstLine="883"/>
        <w:spacing w:after="0" w:line="259" w:lineRule="auto"/>
        <w:tabs>
          <w:tab w:leader="none" w:pos="1177"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Effectiveness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may be executed in any number of counterparts (including by facsimile or by attachment to electronic mail in portable document format (PDF)), each such counterpart being deemed to be an original instrument, and all such counterparts shall together constitute the same agreement, and shall become effective when one or more counterparts have been signed by each of the parties hereto and delivered to the other parties hereto.</w:t>
      </w:r>
    </w:p>
    <w:p>
      <w:pPr>
        <w:spacing w:after="0" w:line="157" w:lineRule="exact"/>
        <w:rPr>
          <w:rFonts w:ascii="Times New Roman" w:cs="Times New Roman" w:eastAsia="Times New Roman" w:hAnsi="Times New Roman"/>
          <w:sz w:val="16"/>
          <w:szCs w:val="16"/>
          <w:color w:val="auto"/>
        </w:rPr>
      </w:pPr>
    </w:p>
    <w:p>
      <w:pPr>
        <w:ind w:left="1180" w:hanging="337"/>
        <w:spacing w:after="0"/>
        <w:tabs>
          <w:tab w:leader="none" w:pos="118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WAIVER OF JURY TRIAL</w:t>
      </w:r>
      <w:r>
        <w:rPr>
          <w:rFonts w:ascii="Times New Roman" w:cs="Times New Roman" w:eastAsia="Times New Roman" w:hAnsi="Times New Roman"/>
          <w:sz w:val="16"/>
          <w:szCs w:val="16"/>
          <w:i w:val="1"/>
          <w:iCs w:val="1"/>
          <w:color w:val="auto"/>
        </w:rPr>
        <w:t>.</w:t>
      </w:r>
    </w:p>
    <w:p>
      <w:pPr>
        <w:spacing w:after="0" w:line="198" w:lineRule="exact"/>
        <w:rPr>
          <w:rFonts w:ascii="Times New Roman" w:cs="Times New Roman" w:eastAsia="Times New Roman" w:hAnsi="Times New Roman"/>
          <w:sz w:val="16"/>
          <w:szCs w:val="16"/>
          <w:color w:val="auto"/>
        </w:rPr>
      </w:pPr>
    </w:p>
    <w:p>
      <w:pPr>
        <w:ind w:left="-40" w:right="100" w:firstLine="1271"/>
        <w:spacing w:after="0" w:line="268" w:lineRule="auto"/>
        <w:tabs>
          <w:tab w:leader="none" w:pos="1528" w:val="left"/>
        </w:tabs>
        <w:numPr>
          <w:ilvl w:val="2"/>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shall be governed by, and construed in accordance with, the laws of the State of Delaware, without giving effect to any choice or conflict of law provisions or rule (whether of the State of Delaware or any other jurisdiction) that would cause the application of the laws of any jurisdiction other than the State of Delaware. All Actions arising out of or relating to this Agreement or the transactions contemplated hereby shall be heard and determined exclusively in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The parties hereto hereby (A) irrevocably submit to the exclusive jurisdiction of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60"/>
          </w:cols>
          <w:pgMar w:left="1120" w:top="254" w:right="1119" w:bottom="1440" w:gutter="0" w:footer="0" w:header="0"/>
        </w:sectPr>
      </w:pPr>
    </w:p>
    <w:bookmarkStart w:id="135" w:name="page136"/>
    <w:bookmarkEnd w:id="135"/>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Court of Chancery of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Service of process, summons, notice or document to any party’s address and in the manner set forth in </w:t>
      </w:r>
      <w:r>
        <w:rPr>
          <w:rFonts w:ascii="Times New Roman" w:cs="Times New Roman" w:eastAsia="Times New Roman" w:hAnsi="Times New Roman"/>
          <w:sz w:val="16"/>
          <w:szCs w:val="16"/>
          <w:u w:val="single" w:color="auto"/>
          <w:color w:val="auto"/>
        </w:rPr>
        <w:t>Section 23(d)</w:t>
      </w:r>
      <w:r>
        <w:rPr>
          <w:rFonts w:ascii="Times New Roman" w:cs="Times New Roman" w:eastAsia="Times New Roman" w:hAnsi="Times New Roman"/>
          <w:sz w:val="16"/>
          <w:szCs w:val="16"/>
          <w:color w:val="auto"/>
        </w:rPr>
        <w:t xml:space="preserve"> shall be effective service of process for any such action.</w:t>
      </w:r>
    </w:p>
    <w:p>
      <w:pPr>
        <w:spacing w:after="0" w:line="166" w:lineRule="exact"/>
        <w:rPr>
          <w:sz w:val="20"/>
          <w:szCs w:val="20"/>
          <w:color w:val="auto"/>
        </w:rPr>
      </w:pPr>
    </w:p>
    <w:p>
      <w:pPr>
        <w:ind w:right="200" w:firstLine="1271"/>
        <w:spacing w:after="0" w:line="267" w:lineRule="auto"/>
        <w:tabs>
          <w:tab w:leader="none" w:pos="1615" w:val="left"/>
        </w:tabs>
        <w:numPr>
          <w:ilvl w:val="2"/>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w:t>
      </w:r>
    </w:p>
    <w:p>
      <w:pPr>
        <w:spacing w:after="0" w:line="4" w:lineRule="exact"/>
        <w:rPr>
          <w:rFonts w:ascii="Times New Roman" w:cs="Times New Roman" w:eastAsia="Times New Roman" w:hAnsi="Times New Roman"/>
          <w:sz w:val="15"/>
          <w:szCs w:val="15"/>
          <w:color w:val="auto"/>
        </w:rPr>
      </w:pPr>
    </w:p>
    <w:p>
      <w:pPr>
        <w:ind w:right="280" w:firstLine="9"/>
        <w:spacing w:after="0" w:line="252" w:lineRule="auto"/>
        <w:tabs>
          <w:tab w:leader="none" w:pos="251"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SUCH PARTY MAKES THIS WAIVER VOLUNTARILY, AND (D) EACH SUCH PARTY HAS BEEN INDUCED TO ENTER INTO THIS AGREEMENT AND THE TRANSACTIONS, AS APPLICABLE, BY, AMONG OTHER THINGS, THE MUTUAL WAIVERS IN THIS SECTION 23(C)(II).</w:t>
      </w:r>
    </w:p>
    <w:p>
      <w:pPr>
        <w:spacing w:after="0" w:line="163" w:lineRule="exact"/>
        <w:rPr>
          <w:rFonts w:ascii="Times New Roman" w:cs="Times New Roman" w:eastAsia="Times New Roman" w:hAnsi="Times New Roman"/>
          <w:sz w:val="16"/>
          <w:szCs w:val="16"/>
          <w:color w:val="auto"/>
        </w:rPr>
      </w:pPr>
    </w:p>
    <w:p>
      <w:pPr>
        <w:ind w:right="40" w:firstLine="883"/>
        <w:spacing w:after="0" w:line="256" w:lineRule="auto"/>
        <w:tabs>
          <w:tab w:leader="none" w:pos="1217"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Notices, requests, instructions or other documents to be given under this Agreement shall be in writing and shall be deemed given, (i) on the date sent by e-mail of a PDF document if sent during normal business hours of the recipient, and on the next business day if sent after normal business hours of the recipient, (ii) when delivered, if delivered personally to the intended recipient, and (iii) one Business Day later, if sent by overnight delivery via a national courier service (providing proof of delivery), and in each case, addressed to a party at the following address for such party:</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if to Parent:</w:t>
      </w:r>
    </w:p>
    <w:p>
      <w:pPr>
        <w:spacing w:after="0" w:line="1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San Diego, California 92122</w:t>
      </w:r>
    </w:p>
    <w:p>
      <w:pPr>
        <w:spacing w:after="0" w:line="6" w:lineRule="exact"/>
        <w:rPr>
          <w:sz w:val="20"/>
          <w:szCs w:val="20"/>
          <w:color w:val="auto"/>
        </w:rPr>
      </w:pPr>
    </w:p>
    <w:p>
      <w:pPr>
        <w:ind w:left="1520"/>
        <w:spacing w:after="0"/>
        <w:tabs>
          <w:tab w:leader="none" w:pos="272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Charles E. Dadswell, Senior Vice President and General Counsel</w:t>
      </w:r>
    </w:p>
    <w:p>
      <w:pPr>
        <w:spacing w:after="0" w:line="6" w:lineRule="exact"/>
        <w:rPr>
          <w:sz w:val="20"/>
          <w:szCs w:val="20"/>
          <w:color w:val="auto"/>
        </w:rPr>
      </w:pPr>
    </w:p>
    <w:p>
      <w:pPr>
        <w:ind w:left="1520"/>
        <w:spacing w:after="0"/>
        <w:tabs>
          <w:tab w:leader="none" w:pos="2720" w:val="left"/>
        </w:tabs>
        <w:rPr>
          <w:sz w:val="20"/>
          <w:szCs w:val="20"/>
          <w:color w:val="auto"/>
        </w:rPr>
      </w:pPr>
      <w:r>
        <w:rPr>
          <w:rFonts w:ascii="Times New Roman" w:cs="Times New Roman" w:eastAsia="Times New Roman" w:hAnsi="Times New Roman"/>
          <w:sz w:val="16"/>
          <w:szCs w:val="16"/>
          <w:color w:val="auto"/>
        </w:rPr>
        <w:t>Telephone:</w:t>
      </w:r>
      <w:r>
        <w:rPr>
          <w:sz w:val="20"/>
          <w:szCs w:val="20"/>
          <w:color w:val="auto"/>
        </w:rPr>
        <w:tab/>
      </w:r>
      <w:r>
        <w:rPr>
          <w:rFonts w:ascii="Times New Roman" w:cs="Times New Roman" w:eastAsia="Times New Roman" w:hAnsi="Times New Roman"/>
          <w:sz w:val="16"/>
          <w:szCs w:val="16"/>
          <w:color w:val="auto"/>
        </w:rPr>
        <w:t>858-202-4500</w:t>
      </w:r>
    </w:p>
    <w:p>
      <w:pPr>
        <w:spacing w:after="0" w:line="6" w:lineRule="exact"/>
        <w:rPr>
          <w:sz w:val="20"/>
          <w:szCs w:val="20"/>
          <w:color w:val="auto"/>
        </w:rPr>
      </w:pPr>
    </w:p>
    <w:p>
      <w:pPr>
        <w:ind w:left="1520"/>
        <w:spacing w:after="0"/>
        <w:tabs>
          <w:tab w:leader="none" w:pos="2720" w:val="left"/>
        </w:tabs>
        <w:rPr>
          <w:sz w:val="20"/>
          <w:szCs w:val="20"/>
          <w:color w:val="auto"/>
        </w:rPr>
      </w:pPr>
      <w:r>
        <w:rPr>
          <w:rFonts w:ascii="Times New Roman" w:cs="Times New Roman" w:eastAsia="Times New Roman" w:hAnsi="Times New Roman"/>
          <w:sz w:val="16"/>
          <w:szCs w:val="16"/>
          <w:color w:val="auto"/>
        </w:rPr>
        <w:t>Facsimile:</w:t>
      </w:r>
      <w:r>
        <w:rPr>
          <w:sz w:val="20"/>
          <w:szCs w:val="20"/>
          <w:color w:val="auto"/>
        </w:rPr>
        <w:tab/>
      </w:r>
      <w:r>
        <w:rPr>
          <w:rFonts w:ascii="Times New Roman" w:cs="Times New Roman" w:eastAsia="Times New Roman" w:hAnsi="Times New Roman"/>
          <w:sz w:val="16"/>
          <w:szCs w:val="16"/>
          <w:color w:val="auto"/>
        </w:rPr>
        <w:t>858-202-4545</w:t>
      </w:r>
    </w:p>
    <w:p>
      <w:pPr>
        <w:spacing w:after="0" w:line="6" w:lineRule="exact"/>
        <w:rPr>
          <w:sz w:val="20"/>
          <w:szCs w:val="20"/>
          <w:color w:val="auto"/>
        </w:rPr>
      </w:pPr>
    </w:p>
    <w:p>
      <w:pPr>
        <w:ind w:left="1520"/>
        <w:spacing w:after="0"/>
        <w:tabs>
          <w:tab w:leader="none" w:pos="27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CDadswell@illumina.com</w:t>
      </w:r>
    </w:p>
    <w:p>
      <w:pPr>
        <w:spacing w:after="0" w:line="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legalnotices@illumina.com</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80"/>
          </w:cols>
          <w:pgMar w:left="1080" w:top="254" w:right="1139" w:bottom="1440" w:gutter="0" w:footer="0" w:header="0"/>
        </w:sectPr>
      </w:pPr>
    </w:p>
    <w:bookmarkStart w:id="136" w:name="page137"/>
    <w:bookmarkEnd w:id="136"/>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with copies to (which shall not constitute notice):</w:t>
      </w:r>
    </w:p>
    <w:p>
      <w:pPr>
        <w:spacing w:after="0" w:line="10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Worldwide Plaza</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825 Eighth Avenue</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New York, NY 10019</w:t>
      </w:r>
    </w:p>
    <w:p>
      <w:pPr>
        <w:spacing w:after="0" w:line="6" w:lineRule="exact"/>
        <w:rPr>
          <w:sz w:val="20"/>
          <w:szCs w:val="20"/>
          <w:color w:val="auto"/>
        </w:rPr>
      </w:pPr>
    </w:p>
    <w:p>
      <w:pPr>
        <w:ind w:left="1520"/>
        <w:spacing w:after="0"/>
        <w:tabs>
          <w:tab w:leader="none" w:pos="272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Faiza J. Saeed, Esq.</w:t>
      </w:r>
    </w:p>
    <w:p>
      <w:pPr>
        <w:spacing w:after="0" w:line="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Ting S. Chen, Esq.</w:t>
      </w:r>
    </w:p>
    <w:p>
      <w:pPr>
        <w:spacing w:after="0" w:line="6" w:lineRule="exact"/>
        <w:rPr>
          <w:sz w:val="20"/>
          <w:szCs w:val="20"/>
          <w:color w:val="auto"/>
        </w:rPr>
      </w:pPr>
    </w:p>
    <w:p>
      <w:pPr>
        <w:ind w:left="1520"/>
        <w:spacing w:after="0"/>
        <w:tabs>
          <w:tab w:leader="none" w:pos="27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fsaeed@cravath.com</w:t>
      </w:r>
    </w:p>
    <w:p>
      <w:pPr>
        <w:spacing w:after="0" w:line="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tchen@cravath.com</w:t>
      </w:r>
    </w:p>
    <w:p>
      <w:pPr>
        <w:spacing w:after="0" w:line="180" w:lineRule="exact"/>
        <w:rPr>
          <w:sz w:val="20"/>
          <w:szCs w:val="20"/>
          <w:color w:val="auto"/>
        </w:rPr>
      </w:pPr>
    </w:p>
    <w:p>
      <w:pPr>
        <w:ind w:left="880" w:right="60"/>
        <w:spacing w:after="0" w:line="313" w:lineRule="auto"/>
        <w:rPr>
          <w:sz w:val="20"/>
          <w:szCs w:val="20"/>
          <w:color w:val="auto"/>
        </w:rPr>
      </w:pPr>
      <w:r>
        <w:rPr>
          <w:rFonts w:ascii="Times New Roman" w:cs="Times New Roman" w:eastAsia="Times New Roman" w:hAnsi="Times New Roman"/>
          <w:sz w:val="15"/>
          <w:szCs w:val="15"/>
          <w:color w:val="auto"/>
        </w:rPr>
        <w:t xml:space="preserve">if to a Selling Investor, to such Selling Investor at the address corresponding to such Selling Investor’s name on Schedule 1(b) with copies (which shall not constitute notice) to the Company (in accordance with </w:t>
      </w:r>
      <w:r>
        <w:rPr>
          <w:rFonts w:ascii="Times New Roman" w:cs="Times New Roman" w:eastAsia="Times New Roman" w:hAnsi="Times New Roman"/>
          <w:sz w:val="15"/>
          <w:szCs w:val="15"/>
          <w:u w:val="single" w:color="auto"/>
          <w:color w:val="auto"/>
        </w:rPr>
        <w:t>Section 11.02</w:t>
      </w:r>
      <w:r>
        <w:rPr>
          <w:rFonts w:ascii="Times New Roman" w:cs="Times New Roman" w:eastAsia="Times New Roman" w:hAnsi="Times New Roman"/>
          <w:sz w:val="15"/>
          <w:szCs w:val="15"/>
          <w:color w:val="auto"/>
        </w:rPr>
        <w:t xml:space="preserve"> of the Merger Agreement) and to its counsel:</w:t>
      </w:r>
    </w:p>
    <w:p>
      <w:pPr>
        <w:spacing w:after="0" w:line="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355 South Grand Avenue, Suite 100</w:t>
      </w:r>
    </w:p>
    <w:p>
      <w:pPr>
        <w:spacing w:after="0" w:line="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Los Angeles, California 90071-1560</w:t>
      </w:r>
    </w:p>
    <w:p>
      <w:pPr>
        <w:spacing w:after="0" w:line="6" w:lineRule="exact"/>
        <w:rPr>
          <w:sz w:val="20"/>
          <w:szCs w:val="20"/>
          <w:color w:val="auto"/>
        </w:rPr>
      </w:pPr>
    </w:p>
    <w:p>
      <w:pPr>
        <w:ind w:left="1520"/>
        <w:spacing w:after="0"/>
        <w:tabs>
          <w:tab w:leader="none" w:pos="272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Alex W. Voxman, Esq.</w:t>
      </w:r>
    </w:p>
    <w:p>
      <w:pPr>
        <w:spacing w:after="0" w:line="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Andrew Clark, Esq.</w:t>
      </w:r>
    </w:p>
    <w:p>
      <w:pPr>
        <w:spacing w:after="0" w:line="6" w:lineRule="exact"/>
        <w:rPr>
          <w:sz w:val="20"/>
          <w:szCs w:val="20"/>
          <w:color w:val="auto"/>
        </w:rPr>
      </w:pPr>
    </w:p>
    <w:p>
      <w:pPr>
        <w:jc w:val="both"/>
        <w:ind w:left="1520"/>
        <w:spacing w:after="0"/>
        <w:tabs>
          <w:tab w:leader="none" w:pos="27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alex.voxman@lw.com</w:t>
      </w:r>
    </w:p>
    <w:p>
      <w:pPr>
        <w:spacing w:after="0" w:line="6"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16"/>
          <w:szCs w:val="16"/>
          <w:color w:val="auto"/>
        </w:rPr>
        <w:t>andrew.clark@lw.com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may be given to such other persons or addresses as may be designated in writing by the party to receive such notice as provided above.</w:t>
      </w:r>
    </w:p>
    <w:p>
      <w:pPr>
        <w:spacing w:after="0" w:line="195" w:lineRule="exact"/>
        <w:rPr>
          <w:sz w:val="20"/>
          <w:szCs w:val="20"/>
          <w:color w:val="auto"/>
        </w:rPr>
      </w:pPr>
    </w:p>
    <w:p>
      <w:pPr>
        <w:jc w:val="both"/>
        <w:ind w:right="40" w:firstLine="883"/>
        <w:spacing w:after="0" w:line="264" w:lineRule="auto"/>
        <w:tabs>
          <w:tab w:leader="none" w:pos="120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(including any Schedules hereto) and the Merger Agreement constitute the entire agreement, and supersedes all other prior agreements, understandings, representations and warranties both written and oral, among the parties hereto, with respect to the subject matter hereof.</w:t>
      </w:r>
    </w:p>
    <w:p>
      <w:pPr>
        <w:spacing w:after="0" w:line="154" w:lineRule="exact"/>
        <w:rPr>
          <w:rFonts w:ascii="Times New Roman" w:cs="Times New Roman" w:eastAsia="Times New Roman" w:hAnsi="Times New Roman"/>
          <w:sz w:val="16"/>
          <w:szCs w:val="16"/>
          <w:color w:val="auto"/>
        </w:rPr>
      </w:pPr>
    </w:p>
    <w:p>
      <w:pPr>
        <w:ind w:firstLine="883"/>
        <w:spacing w:after="0" w:line="264" w:lineRule="auto"/>
        <w:tabs>
          <w:tab w:leader="none" w:pos="1191"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Parties in Interest; No Third Party Beneficiaries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Subject to Section 23(i), and without relieving any party of any obligation hereunder, this Agreement shall be binding upon and inure solely to the benefit of each party hereto and their respective successors and permitted assigns. This Agreement is not intended to, and does not, confer upon any Person other than the parties hereto any rights or remedies hereunder.</w:t>
      </w:r>
    </w:p>
    <w:p>
      <w:pPr>
        <w:spacing w:after="0" w:line="154" w:lineRule="exact"/>
        <w:rPr>
          <w:rFonts w:ascii="Times New Roman" w:cs="Times New Roman" w:eastAsia="Times New Roman" w:hAnsi="Times New Roman"/>
          <w:sz w:val="16"/>
          <w:szCs w:val="16"/>
          <w:color w:val="auto"/>
        </w:rPr>
      </w:pPr>
    </w:p>
    <w:p>
      <w:pPr>
        <w:ind w:right="40" w:firstLine="883"/>
        <w:spacing w:after="0" w:line="253" w:lineRule="auto"/>
        <w:tabs>
          <w:tab w:leader="none" w:pos="1217"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(i) a suitable and equitable provision negotiated in good faith by the parties hereto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clause (i) above, be affected by such invalidity or unenforceability, except as a result of such substitution, nor shall such invalidity or unenforceability affect the validity or enforceability of such provision, or the application thereof, in any other jurisdiction.</w:t>
      </w:r>
    </w:p>
    <w:p>
      <w:pPr>
        <w:spacing w:after="0" w:line="165" w:lineRule="exact"/>
        <w:rPr>
          <w:rFonts w:ascii="Times New Roman" w:cs="Times New Roman" w:eastAsia="Times New Roman" w:hAnsi="Times New Roman"/>
          <w:sz w:val="16"/>
          <w:szCs w:val="16"/>
          <w:color w:val="auto"/>
        </w:rPr>
      </w:pPr>
    </w:p>
    <w:p>
      <w:pPr>
        <w:ind w:left="1220" w:hanging="337"/>
        <w:spacing w:after="0"/>
        <w:tabs>
          <w:tab w:leader="none" w:pos="122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i w:val="1"/>
          <w:iCs w:val="1"/>
          <w:color w:val="auto"/>
        </w:rPr>
        <w:t>.</w:t>
      </w:r>
    </w:p>
    <w:p>
      <w:pPr>
        <w:spacing w:after="0" w:line="199" w:lineRule="exact"/>
        <w:rPr>
          <w:sz w:val="20"/>
          <w:szCs w:val="20"/>
          <w:color w:val="auto"/>
        </w:rPr>
      </w:pPr>
    </w:p>
    <w:p>
      <w:pPr>
        <w:ind w:right="340" w:firstLine="1271"/>
        <w:spacing w:after="0" w:line="278" w:lineRule="auto"/>
        <w:tabs>
          <w:tab w:leader="none" w:pos="156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 headings or captions herein are for convenience of reference only, do not constitute part of this Agreement and shall not be deemed to limit or otherwise affect any of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20"/>
          </w:cols>
          <w:pgMar w:left="1080" w:top="444" w:right="1099" w:bottom="1440" w:gutter="0" w:footer="0" w:header="0"/>
        </w:sectPr>
      </w:pPr>
    </w:p>
    <w:bookmarkStart w:id="137" w:name="page138"/>
    <w:bookmarkEnd w:id="137"/>
    <w:p>
      <w:pPr>
        <w:ind w:right="4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provisions hereof. Where a reference in this Agreement is made to a Section or Schedule, such reference shall be to a Section of or Schedule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when used in this Agreement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means such statute as from time to time amended, modified or supplemented, including by succession of comparable successor statutes. Any agreement or instrument defined or referred to herein includes all attachments thereto and instruments incorporated therein.</w:t>
      </w:r>
    </w:p>
    <w:p>
      <w:pPr>
        <w:spacing w:after="0" w:line="170" w:lineRule="exact"/>
        <w:rPr>
          <w:sz w:val="20"/>
          <w:szCs w:val="20"/>
          <w:color w:val="auto"/>
        </w:rPr>
      </w:pPr>
    </w:p>
    <w:p>
      <w:pPr>
        <w:ind w:right="60" w:firstLine="1271"/>
        <w:spacing w:after="0" w:line="263" w:lineRule="auto"/>
        <w:tabs>
          <w:tab w:leader="none" w:pos="1612"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54" w:lineRule="exact"/>
        <w:rPr>
          <w:rFonts w:ascii="Times New Roman" w:cs="Times New Roman" w:eastAsia="Times New Roman" w:hAnsi="Times New Roman"/>
          <w:sz w:val="16"/>
          <w:szCs w:val="16"/>
          <w:color w:val="auto"/>
        </w:rPr>
      </w:pPr>
    </w:p>
    <w:p>
      <w:pPr>
        <w:ind w:right="60" w:firstLine="883"/>
        <w:spacing w:after="0" w:line="281" w:lineRule="auto"/>
        <w:tabs>
          <w:tab w:leader="none" w:pos="118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shall not be assignable by operation of law or otherwise without the prior written consent of each of the parties. Any purported assignment in contravention of the preceding sentence shall be null and void.</w:t>
      </w:r>
    </w:p>
    <w:p>
      <w:pPr>
        <w:spacing w:after="0" w:line="142" w:lineRule="exact"/>
        <w:rPr>
          <w:rFonts w:ascii="Times New Roman" w:cs="Times New Roman" w:eastAsia="Times New Roman" w:hAnsi="Times New Roman"/>
          <w:sz w:val="16"/>
          <w:szCs w:val="16"/>
          <w:color w:val="auto"/>
        </w:rPr>
      </w:pPr>
    </w:p>
    <w:p>
      <w:pPr>
        <w:ind w:right="560" w:firstLine="883"/>
        <w:spacing w:after="0" w:line="278" w:lineRule="auto"/>
        <w:tabs>
          <w:tab w:leader="none" w:pos="118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All costs and expenses incurred in connection with this Agreement shall be paid by the party incurring such cost or expense, whether or not the transactions contemplated by this Agreement or the Merger Agreement are consummated.</w:t>
      </w:r>
    </w:p>
    <w:p>
      <w:pPr>
        <w:spacing w:after="0" w:line="142" w:lineRule="exact"/>
        <w:rPr>
          <w:rFonts w:ascii="Times New Roman" w:cs="Times New Roman" w:eastAsia="Times New Roman" w:hAnsi="Times New Roman"/>
          <w:sz w:val="16"/>
          <w:szCs w:val="16"/>
          <w:color w:val="auto"/>
        </w:rPr>
      </w:pPr>
    </w:p>
    <w:p>
      <w:pPr>
        <w:ind w:firstLine="883"/>
        <w:spacing w:after="0" w:line="252" w:lineRule="auto"/>
        <w:tabs>
          <w:tab w:leader="none" w:pos="1217"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Parent shall be entitled to an injunction or injunctions to prevent breaches of this Agreement and to enforce specifically the performance of the terms and provisions hereof in any court referred to in Section 23(c),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Parent otherwise has an adequate remedy at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20"/>
          </w:cols>
          <w:pgMar w:left="1080" w:top="254" w:right="1099"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ILLUMINA, INC.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F</w:t>
      </w:r>
      <w:r>
        <w:rPr>
          <w:rFonts w:ascii="Times New Roman" w:cs="Times New Roman" w:eastAsia="Times New Roman" w:hAnsi="Times New Roman"/>
          <w:sz w:val="13"/>
          <w:szCs w:val="13"/>
          <w:color w:val="auto"/>
        </w:rPr>
        <w:t>RANCIS DE</w:t>
      </w: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OUZA</w:t>
      </w:r>
    </w:p>
    <w:p>
      <w:pPr>
        <w:spacing w:after="0" w:line="23" w:lineRule="exact"/>
        <w:rPr>
          <w:sz w:val="20"/>
          <w:szCs w:val="20"/>
          <w:color w:val="auto"/>
        </w:rPr>
      </w:pPr>
    </w:p>
    <w:tbl>
      <w:tblPr>
        <w:tblLayout w:type="fixed"/>
        <w:tblInd w:w="5760" w:type="dxa"/>
        <w:tblCellMar>
          <w:top w:w="0" w:type="dxa"/>
          <w:left w:w="0" w:type="dxa"/>
          <w:bottom w:w="0" w:type="dxa"/>
          <w:right w:w="0" w:type="dxa"/>
        </w:tblCellMar>
      </w:tblPr>
      <w:tr>
        <w:trPr>
          <w:trHeight w:val="178"/>
        </w:trPr>
        <w:tc>
          <w:tcPr>
            <w:tcW w:w="5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80" w:type="dxa"/>
            <w:vAlign w:val="bottom"/>
            <w:tcBorders>
              <w:top w:val="single" w:sz="8" w:color="auto"/>
            </w:tcBorders>
          </w:tcPr>
          <w:p>
            <w:pPr>
              <w:ind w:left="100"/>
              <w:spacing w:after="0" w:line="178" w:lineRule="exact"/>
              <w:rPr>
                <w:sz w:val="20"/>
                <w:szCs w:val="20"/>
                <w:color w:val="auto"/>
              </w:rPr>
            </w:pPr>
            <w:r>
              <w:rPr>
                <w:rFonts w:ascii="Times New Roman" w:cs="Times New Roman" w:eastAsia="Times New Roman" w:hAnsi="Times New Roman"/>
                <w:sz w:val="16"/>
                <w:szCs w:val="16"/>
                <w:color w:val="auto"/>
              </w:rPr>
              <w:t>Francis deSouza</w:t>
            </w:r>
          </w:p>
        </w:tc>
      </w:tr>
      <w:tr>
        <w:trPr>
          <w:trHeight w:val="207"/>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[Parent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360"/>
          </w:cols>
          <w:pgMar w:left="1440" w:top="254" w:right="1099"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6 Dimensions Capital, L.P.</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6 Dimensions Capital GP, LLC</w:t>
      </w:r>
    </w:p>
    <w:p>
      <w:pPr>
        <w:spacing w:after="0" w:line="23" w:lineRule="exact"/>
        <w:rPr>
          <w:sz w:val="20"/>
          <w:szCs w:val="20"/>
          <w:color w:val="auto"/>
        </w:rPr>
      </w:pPr>
    </w:p>
    <w:p>
      <w:pPr>
        <w:ind w:left="5480"/>
        <w:spacing w:after="0"/>
        <w:tabs>
          <w:tab w:leader="none" w:pos="5800" w:val="left"/>
        </w:tabs>
        <w:rPr>
          <w:sz w:val="20"/>
          <w:szCs w:val="20"/>
          <w:color w:val="auto"/>
        </w:rPr>
      </w:pPr>
      <w:r>
        <w:rPr>
          <w:rFonts w:ascii="Times New Roman" w:cs="Times New Roman" w:eastAsia="Times New Roman" w:hAnsi="Times New Roman"/>
          <w:sz w:val="16"/>
          <w:szCs w:val="16"/>
          <w:color w:val="auto"/>
        </w:rPr>
        <w:t>Its:</w:t>
      </w:r>
      <w:r>
        <w:rPr>
          <w:sz w:val="20"/>
          <w:szCs w:val="20"/>
          <w:color w:val="auto"/>
        </w:rPr>
        <w:tab/>
      </w:r>
      <w:r>
        <w:rPr>
          <w:rFonts w:ascii="Times New Roman" w:cs="Times New Roman" w:eastAsia="Times New Roman" w:hAnsi="Times New Roman"/>
          <w:sz w:val="15"/>
          <w:szCs w:val="15"/>
          <w:color w:val="auto"/>
        </w:rPr>
        <w:t>General Partner</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L</w:t>
      </w:r>
      <w:r>
        <w:rPr>
          <w:rFonts w:ascii="Times New Roman" w:cs="Times New Roman" w:eastAsia="Times New Roman" w:hAnsi="Times New Roman"/>
          <w:sz w:val="13"/>
          <w:szCs w:val="13"/>
          <w:color w:val="auto"/>
        </w:rPr>
        <w:t>EON</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Leon Chen</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3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6 Dimensions Affiliates Fund, L.P.</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6 Dimensions Capital GP, LLC</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L</w:t>
      </w:r>
      <w:r>
        <w:rPr>
          <w:rFonts w:ascii="Times New Roman" w:cs="Times New Roman" w:eastAsia="Times New Roman" w:hAnsi="Times New Roman"/>
          <w:sz w:val="13"/>
          <w:szCs w:val="13"/>
          <w:color w:val="auto"/>
        </w:rPr>
        <w:t>EON</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Leon Chen</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019"/>
          </w:cols>
          <w:pgMar w:left="1440" w:top="254"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Absolute Partners Master Fund Limited</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H</w:t>
      </w:r>
      <w:r>
        <w:rPr>
          <w:rFonts w:ascii="Times New Roman" w:cs="Times New Roman" w:eastAsia="Times New Roman" w:hAnsi="Times New Roman"/>
          <w:sz w:val="13"/>
          <w:szCs w:val="13"/>
          <w:color w:val="auto"/>
        </w:rPr>
        <w:t>ENRY</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Henry Li</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019"/>
          </w:cols>
          <w:pgMar w:left="1440" w:top="254"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Arch Venture Fund IX Overage, L.P.</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ARCH Venture Partners IX Overage, L.P.</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ARCH Venture Partners IX, LLC</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3"/>
          <w:szCs w:val="13"/>
          <w:color w:val="auto"/>
        </w:rPr>
        <w:t>C</w:t>
      </w: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Mark McDonnell</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2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Arch Venture Fund VIII, L.P.</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ARCH Venture Partners VIII, L.P.</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ARCH Venture Partners VIII, LLC</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3"/>
          <w:szCs w:val="13"/>
          <w:color w:val="auto"/>
        </w:rPr>
        <w:t>C</w:t>
      </w: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Mark McDonnell</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019"/>
          </w:cols>
          <w:pgMar w:left="1440" w:top="254"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H</w:t>
      </w:r>
      <w:r>
        <w:rPr>
          <w:rFonts w:ascii="Times New Roman" w:cs="Times New Roman" w:eastAsia="Times New Roman" w:hAnsi="Times New Roman"/>
          <w:sz w:val="13"/>
          <w:szCs w:val="13"/>
          <w:color w:val="auto"/>
        </w:rPr>
        <w:t>AL</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Hal Barron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019"/>
          </w:cols>
          <w:pgMar w:left="1440" w:top="254"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Biomatics Capital Partners, L.P.</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B</w:t>
      </w:r>
      <w:r>
        <w:rPr>
          <w:rFonts w:ascii="Times New Roman" w:cs="Times New Roman" w:eastAsia="Times New Roman" w:hAnsi="Times New Roman"/>
          <w:sz w:val="13"/>
          <w:szCs w:val="13"/>
          <w:color w:val="auto"/>
        </w:rPr>
        <w:t>ORIS</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3"/>
          <w:szCs w:val="13"/>
          <w:color w:val="auto"/>
        </w:rPr>
        <w:t>IKOLIC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Boris Nikolic</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019"/>
          </w:cols>
          <w:pgMar w:left="1440" w:top="254"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H</w:t>
      </w:r>
      <w:r>
        <w:rPr>
          <w:rFonts w:ascii="Times New Roman" w:cs="Times New Roman" w:eastAsia="Times New Roman" w:hAnsi="Times New Roman"/>
          <w:sz w:val="13"/>
          <w:szCs w:val="13"/>
          <w:color w:val="auto"/>
        </w:rPr>
        <w:t>ANS</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Hans Bishop</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019"/>
          </w:cols>
          <w:pgMar w:left="1440" w:top="254"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Bristol-Myers Squibb Company</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D</w:t>
      </w:r>
      <w:r>
        <w:rPr>
          <w:rFonts w:ascii="Times New Roman" w:cs="Times New Roman" w:eastAsia="Times New Roman" w:hAnsi="Times New Roman"/>
          <w:sz w:val="13"/>
          <w:szCs w:val="13"/>
          <w:color w:val="auto"/>
        </w:rPr>
        <w:t>AVID</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3"/>
          <w:szCs w:val="13"/>
          <w:color w:val="auto"/>
        </w:rPr>
        <w:t>LKINS</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David Elkins</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 &amp; CFO</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360"/>
          </w:cols>
          <w:pgMar w:left="1440" w:top="254" w:right="1099" w:bottom="1440" w:gutter="0" w:footer="0" w:header="0"/>
        </w:sectPr>
      </w:pPr>
    </w:p>
    <w:bookmarkStart w:id="146" w:name="page147"/>
    <w:bookmarkEnd w:id="146"/>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B</w:t>
      </w:r>
      <w:r>
        <w:rPr>
          <w:rFonts w:ascii="Times New Roman" w:cs="Times New Roman" w:eastAsia="Times New Roman" w:hAnsi="Times New Roman"/>
          <w:sz w:val="13"/>
          <w:szCs w:val="13"/>
          <w:color w:val="auto"/>
        </w:rPr>
        <w:t>ROOK</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Brook Byers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019"/>
          </w:cols>
          <w:pgMar w:left="1440" w:top="254"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Celgene Switzerland LLC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D</w:t>
      </w:r>
      <w:r>
        <w:rPr>
          <w:rFonts w:ascii="Times New Roman" w:cs="Times New Roman" w:eastAsia="Times New Roman" w:hAnsi="Times New Roman"/>
          <w:sz w:val="13"/>
          <w:szCs w:val="13"/>
          <w:color w:val="auto"/>
        </w:rPr>
        <w:t>AVID</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3"/>
          <w:szCs w:val="13"/>
          <w:color w:val="auto"/>
        </w:rPr>
        <w:t>LKINS</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David Elkins</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 &amp; CFO</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360"/>
          </w:cols>
          <w:pgMar w:left="1440" w:top="254" w:right="1099"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Creekstone Investment, LLC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P</w:t>
      </w:r>
      <w:r>
        <w:rPr>
          <w:rFonts w:ascii="Times New Roman" w:cs="Times New Roman" w:eastAsia="Times New Roman" w:hAnsi="Times New Roman"/>
          <w:sz w:val="13"/>
          <w:szCs w:val="13"/>
          <w:color w:val="auto"/>
        </w:rPr>
        <w:t>AUL DAUBER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Paul Dauber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019"/>
          </w:cols>
          <w:pgMar w:left="1440" w:top="254"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Decheng Capital China Life Sciences</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USD Fund I, L.P.</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its General Partner, Decheng Capital China</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Management I (Cayman)</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X</w:t>
      </w:r>
      <w:r>
        <w:rPr>
          <w:rFonts w:ascii="Times New Roman" w:cs="Times New Roman" w:eastAsia="Times New Roman" w:hAnsi="Times New Roman"/>
          <w:sz w:val="13"/>
          <w:szCs w:val="13"/>
          <w:color w:val="auto"/>
        </w:rPr>
        <w:t>IANGMIN</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UI</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Xiangmin Cui</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Managing Director</w:t>
            </w:r>
          </w:p>
        </w:tc>
      </w:tr>
    </w:tbl>
    <w:p>
      <w:pPr>
        <w:spacing w:after="0" w:line="19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Decheng Capital China Life Sciences USD Fund II, L.P.</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(as stockholder, and as Proxyholder for Denlux Diagnostics</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Invest Inc. and Denlux Capital Inc.)</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its General Partner,</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Decheng Capital China Management II</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(Cayman)</w:t>
      </w:r>
    </w:p>
    <w:p>
      <w:pPr>
        <w:spacing w:after="0" w:line="2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X</w:t>
      </w:r>
      <w:r>
        <w:rPr>
          <w:rFonts w:ascii="Times New Roman" w:cs="Times New Roman" w:eastAsia="Times New Roman" w:hAnsi="Times New Roman"/>
          <w:sz w:val="13"/>
          <w:szCs w:val="13"/>
          <w:color w:val="auto"/>
        </w:rPr>
        <w:t>IANGMIN</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UI</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Xiangmin Cui</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Managing Director</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360"/>
          </w:cols>
          <w:pgMar w:left="1440" w:top="254" w:right="1099"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Deepbay Holdings Ltd.</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A</w:t>
      </w:r>
      <w:r>
        <w:rPr>
          <w:rFonts w:ascii="Times New Roman" w:cs="Times New Roman" w:eastAsia="Times New Roman" w:hAnsi="Times New Roman"/>
          <w:sz w:val="13"/>
          <w:szCs w:val="13"/>
          <w:color w:val="auto"/>
        </w:rPr>
        <w:t>LEXANDER</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3"/>
          <w:szCs w:val="13"/>
          <w:color w:val="auto"/>
        </w:rPr>
        <w: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Alexander West</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019"/>
          </w:cols>
          <w:pgMar w:left="1440" w:top="254"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Denlux Capital Inc.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X</w:t>
      </w:r>
      <w:r>
        <w:rPr>
          <w:rFonts w:ascii="Times New Roman" w:cs="Times New Roman" w:eastAsia="Times New Roman" w:hAnsi="Times New Roman"/>
          <w:sz w:val="13"/>
          <w:szCs w:val="13"/>
          <w:color w:val="auto"/>
        </w:rPr>
        <w:t>IANGMIN</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UI</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Xiangmin Cui</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Managing Director</w:t>
            </w:r>
          </w:p>
        </w:tc>
      </w:tr>
    </w:tbl>
    <w:p>
      <w:pPr>
        <w:spacing w:after="0" w:line="19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Denlux Diagnostics Invest Inc.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X</w:t>
      </w:r>
      <w:r>
        <w:rPr>
          <w:rFonts w:ascii="Times New Roman" w:cs="Times New Roman" w:eastAsia="Times New Roman" w:hAnsi="Times New Roman"/>
          <w:sz w:val="13"/>
          <w:szCs w:val="13"/>
          <w:color w:val="auto"/>
        </w:rPr>
        <w:t>IANGMIN</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UI</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Xiangmin Cui</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Managing Director</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360"/>
          </w:cols>
          <w:pgMar w:left="1440" w:top="254" w:right="1099"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The Duane Family Trust</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C</w:t>
      </w:r>
      <w:r>
        <w:rPr>
          <w:rFonts w:ascii="Times New Roman" w:cs="Times New Roman" w:eastAsia="Times New Roman" w:hAnsi="Times New Roman"/>
          <w:sz w:val="13"/>
          <w:szCs w:val="13"/>
          <w:color w:val="auto"/>
        </w:rPr>
        <w:t>ATHY</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3"/>
          <w:szCs w:val="13"/>
          <w:color w:val="auto"/>
        </w:rPr>
        <w:t>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Cathy Friedman</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Trustee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019"/>
          </w:cols>
          <w:pgMar w:left="1440" w:top="254"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Explore Investments LLC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P</w:t>
      </w:r>
      <w:r>
        <w:rPr>
          <w:rFonts w:ascii="Times New Roman" w:cs="Times New Roman" w:eastAsia="Times New Roman" w:hAnsi="Times New Roman"/>
          <w:sz w:val="13"/>
          <w:szCs w:val="13"/>
          <w:color w:val="auto"/>
        </w:rPr>
        <w:t>AUL</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3"/>
          <w:szCs w:val="13"/>
          <w:color w:val="auto"/>
        </w:rPr>
        <w: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Paul Dauber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019"/>
          </w:cols>
          <w:pgMar w:left="1440" w:top="254" w:right="1440" w:bottom="1440" w:gutter="0" w:footer="0" w:header="0"/>
        </w:sectPr>
      </w:pPr>
    </w:p>
    <w:bookmarkStart w:id="154" w:name="page155"/>
    <w:bookmarkEnd w:id="154"/>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K</w:t>
      </w:r>
      <w:r>
        <w:rPr>
          <w:rFonts w:ascii="Times New Roman" w:cs="Times New Roman" w:eastAsia="Times New Roman" w:hAnsi="Times New Roman"/>
          <w:sz w:val="13"/>
          <w:szCs w:val="13"/>
          <w:color w:val="auto"/>
        </w:rPr>
        <w:t>AYE</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3"/>
          <w:szCs w:val="13"/>
          <w:color w:val="auto"/>
        </w:rPr>
        <w:t>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Kaye Foster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019"/>
          </w:cols>
          <w:pgMar w:left="1440" w:top="254" w:right="1440"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C</w:t>
      </w:r>
      <w:r>
        <w:rPr>
          <w:rFonts w:ascii="Times New Roman" w:cs="Times New Roman" w:eastAsia="Times New Roman" w:hAnsi="Times New Roman"/>
          <w:sz w:val="13"/>
          <w:szCs w:val="13"/>
          <w:color w:val="auto"/>
        </w:rPr>
        <w:t>ATHY</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3"/>
          <w:szCs w:val="13"/>
          <w:color w:val="auto"/>
        </w:rPr>
        <w:t>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Cathy Friedman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019"/>
          </w:cols>
          <w:pgMar w:left="1440" w:top="254"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M</w:t>
      </w:r>
      <w:r>
        <w:rPr>
          <w:rFonts w:ascii="Times New Roman" w:cs="Times New Roman" w:eastAsia="Times New Roman" w:hAnsi="Times New Roman"/>
          <w:sz w:val="13"/>
          <w:szCs w:val="13"/>
          <w:color w:val="auto"/>
        </w:rPr>
        <w:t>AYKIN</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3"/>
          <w:szCs w:val="13"/>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Maykin Ho</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019"/>
          </w:cols>
          <w:pgMar w:left="1440" w:top="254"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Huber Family QTIP Trust U/A/D 09/19/2012</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3"/>
          <w:szCs w:val="13"/>
          <w:color w:val="auto"/>
        </w:rPr>
        <w:t>EFF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3"/>
          <w:szCs w:val="13"/>
          <w:color w:val="auto"/>
        </w:rPr>
        <w:t>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Jeff Huber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2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Huber Vossough 2020 GRAT U/A/D</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08/18//2020</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3"/>
          <w:szCs w:val="13"/>
          <w:color w:val="auto"/>
        </w:rPr>
        <w:t>EFF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3"/>
          <w:szCs w:val="13"/>
          <w:color w:val="auto"/>
        </w:rPr>
        <w:t>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Jeff Huber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2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Maywood Trust U/A/D 09/19/2012</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3"/>
          <w:szCs w:val="13"/>
          <w:color w:val="auto"/>
        </w:rPr>
        <w:t>EFF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3"/>
          <w:szCs w:val="13"/>
          <w:color w:val="auto"/>
        </w:rPr>
        <w:t>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Jeff Huber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2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The Jeffrey T. Huber 2018 Grantor Retained</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Annuity Trust U/A/D 3/12/2018</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6"/>
          <w:szCs w:val="16"/>
          <w:color w:val="auto"/>
        </w:rPr>
        <w:t>/ J</w:t>
      </w:r>
      <w:r>
        <w:rPr>
          <w:rFonts w:ascii="Times New Roman" w:cs="Times New Roman" w:eastAsia="Times New Roman" w:hAnsi="Times New Roman"/>
          <w:sz w:val="13"/>
          <w:szCs w:val="13"/>
          <w:color w:val="auto"/>
        </w:rPr>
        <w:t>EFF</w:t>
      </w:r>
      <w:r>
        <w:rPr>
          <w:rFonts w:ascii="Times New Roman" w:cs="Times New Roman" w:eastAsia="Times New Roman" w:hAnsi="Times New Roman"/>
          <w:sz w:val="16"/>
          <w:szCs w:val="16"/>
          <w:color w:val="auto"/>
        </w:rPr>
        <w:t xml:space="preserve"> H</w:t>
      </w:r>
      <w:r>
        <w:rPr>
          <w:rFonts w:ascii="Times New Roman" w:cs="Times New Roman" w:eastAsia="Times New Roman" w:hAnsi="Times New Roman"/>
          <w:sz w:val="13"/>
          <w:szCs w:val="13"/>
          <w:color w:val="auto"/>
        </w:rPr>
        <w:t>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Jeff Huber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019"/>
          </w:cols>
          <w:pgMar w:left="1440" w:top="254" w:right="1440"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Illumina, Inc.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F</w:t>
      </w:r>
      <w:r>
        <w:rPr>
          <w:rFonts w:ascii="Times New Roman" w:cs="Times New Roman" w:eastAsia="Times New Roman" w:hAnsi="Times New Roman"/>
          <w:sz w:val="13"/>
          <w:szCs w:val="13"/>
          <w:color w:val="auto"/>
        </w:rPr>
        <w:t>RANCIS DE</w:t>
      </w: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OUZA</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Francis deSouza</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&amp; CEO</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360"/>
          </w:cols>
          <w:pgMar w:left="1440" w:top="254" w:right="1099"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Johnson &amp; Johnson UK Treasury Company</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Limited</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L</w:t>
      </w:r>
      <w:r>
        <w:rPr>
          <w:rFonts w:ascii="Times New Roman" w:cs="Times New Roman" w:eastAsia="Times New Roman" w:hAnsi="Times New Roman"/>
          <w:sz w:val="13"/>
          <w:szCs w:val="13"/>
          <w:color w:val="auto"/>
        </w:rPr>
        <w:t>UC</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3"/>
          <w:szCs w:val="13"/>
          <w:color w:val="auto"/>
        </w:rPr>
        <w:t>REYNE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Luc Freyne</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Director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019"/>
          </w:cols>
          <w:pgMar w:left="1440" w:top="254"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K</w:t>
      </w:r>
      <w:r>
        <w:rPr>
          <w:rFonts w:ascii="Times New Roman" w:cs="Times New Roman" w:eastAsia="Times New Roman" w:hAnsi="Times New Roman"/>
          <w:sz w:val="13"/>
          <w:szCs w:val="13"/>
          <w:color w:val="auto"/>
        </w:rPr>
        <w:t>WAN</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HEE</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Kwan Chee Chan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019"/>
          </w:cols>
          <w:pgMar w:left="1440" w:top="254" w:right="1440" w:bottom="1440" w:gutter="0" w:footer="0" w:header="0"/>
        </w:sectPr>
      </w:pPr>
    </w:p>
    <w:bookmarkStart w:id="161" w:name="page162"/>
    <w:bookmarkEnd w:id="161"/>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Madrone Opportunity Fund, L.P.</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Madrone Capital Partners, LLC</w:t>
      </w:r>
    </w:p>
    <w:p>
      <w:pPr>
        <w:spacing w:after="0" w:line="23" w:lineRule="exact"/>
        <w:rPr>
          <w:sz w:val="20"/>
          <w:szCs w:val="20"/>
          <w:color w:val="auto"/>
        </w:rPr>
      </w:pPr>
    </w:p>
    <w:p>
      <w:pPr>
        <w:ind w:left="5480"/>
        <w:spacing w:after="0"/>
        <w:tabs>
          <w:tab w:leader="none" w:pos="5800" w:val="left"/>
        </w:tabs>
        <w:rPr>
          <w:sz w:val="20"/>
          <w:szCs w:val="20"/>
          <w:color w:val="auto"/>
        </w:rPr>
      </w:pPr>
      <w:r>
        <w:rPr>
          <w:rFonts w:ascii="Times New Roman" w:cs="Times New Roman" w:eastAsia="Times New Roman" w:hAnsi="Times New Roman"/>
          <w:sz w:val="16"/>
          <w:szCs w:val="16"/>
          <w:color w:val="auto"/>
        </w:rPr>
        <w:t>Its:</w:t>
      </w:r>
      <w:r>
        <w:rPr>
          <w:sz w:val="20"/>
          <w:szCs w:val="20"/>
          <w:color w:val="auto"/>
        </w:rPr>
        <w:tab/>
      </w:r>
      <w:r>
        <w:rPr>
          <w:rFonts w:ascii="Times New Roman" w:cs="Times New Roman" w:eastAsia="Times New Roman" w:hAnsi="Times New Roman"/>
          <w:sz w:val="15"/>
          <w:szCs w:val="15"/>
          <w:color w:val="auto"/>
        </w:rPr>
        <w:t>General Partner</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G</w:t>
      </w:r>
      <w:r>
        <w:rPr>
          <w:rFonts w:ascii="Times New Roman" w:cs="Times New Roman" w:eastAsia="Times New Roman" w:hAnsi="Times New Roman"/>
          <w:sz w:val="13"/>
          <w:szCs w:val="13"/>
          <w:color w:val="auto"/>
        </w:rPr>
        <w:t>REG</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Greg Penner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Manager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019"/>
          </w:cols>
          <w:pgMar w:left="1440" w:top="254" w:right="1440" w:bottom="1440" w:gutter="0" w:footer="0" w:header="0"/>
        </w:sectPr>
      </w:pPr>
    </w:p>
    <w:bookmarkStart w:id="162" w:name="page163"/>
    <w:bookmarkEnd w:id="162"/>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Merck Sharp &amp; Dohme Corp.</w:t>
      </w:r>
    </w:p>
    <w:p>
      <w:pPr>
        <w:spacing w:after="0" w:line="1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B</w:t>
      </w:r>
      <w:r>
        <w:rPr>
          <w:rFonts w:ascii="Times New Roman" w:cs="Times New Roman" w:eastAsia="Times New Roman" w:hAnsi="Times New Roman"/>
          <w:sz w:val="13"/>
          <w:szCs w:val="13"/>
          <w:color w:val="auto"/>
        </w:rPr>
        <w:t>ENJAMIN</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3"/>
          <w:szCs w:val="13"/>
          <w:color w:val="auto"/>
        </w:rPr>
        <w:t>HORNER</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Benjamin Thorner</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SVP &amp; Head of BD&amp;L, MRL</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360"/>
          </w:cols>
          <w:pgMar w:left="1440" w:top="254" w:right="1099" w:bottom="1440" w:gutter="0" w:footer="0" w:header="0"/>
        </w:sectPr>
      </w:pPr>
    </w:p>
    <w:bookmarkStart w:id="163" w:name="page164"/>
    <w:bookmarkEnd w:id="163"/>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Milky Way Investments Group Limited</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D</w:t>
      </w:r>
      <w:r>
        <w:rPr>
          <w:rFonts w:ascii="Times New Roman" w:cs="Times New Roman" w:eastAsia="Times New Roman" w:hAnsi="Times New Roman"/>
          <w:sz w:val="13"/>
          <w:szCs w:val="13"/>
          <w:color w:val="auto"/>
        </w:rPr>
        <w:t>ESPOINA</w:t>
      </w:r>
      <w:r>
        <w:rPr>
          <w:rFonts w:ascii="Times New Roman" w:cs="Times New Roman" w:eastAsia="Times New Roman" w:hAnsi="Times New Roman"/>
          <w:sz w:val="16"/>
          <w:szCs w:val="16"/>
          <w:color w:val="auto"/>
        </w:rPr>
        <w:t xml:space="preserve"> Z</w:t>
      </w:r>
      <w:r>
        <w:rPr>
          <w:rFonts w:ascii="Times New Roman" w:cs="Times New Roman" w:eastAsia="Times New Roman" w:hAnsi="Times New Roman"/>
          <w:sz w:val="13"/>
          <w:szCs w:val="13"/>
          <w:color w:val="auto"/>
        </w:rPr>
        <w:t>INONOS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Despoina Zinonos</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President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019"/>
          </w:cols>
          <w:pgMar w:left="1440" w:top="254" w:right="1440" w:bottom="1440" w:gutter="0" w:footer="0" w:header="0"/>
        </w:sectPr>
      </w:pPr>
    </w:p>
    <w:bookmarkStart w:id="164" w:name="page165"/>
    <w:bookmarkEnd w:id="164"/>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Rainbow Horizon Limited</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Jackson Law</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Jackson Law</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Managing Partner</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360"/>
          </w:cols>
          <w:pgMar w:left="1440" w:top="254" w:right="1099" w:bottom="1440" w:gutter="0" w:footer="0" w:header="0"/>
        </w:sectPr>
      </w:pPr>
    </w:p>
    <w:bookmarkStart w:id="165" w:name="page166"/>
    <w:bookmarkEnd w:id="165"/>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W</w:t>
      </w:r>
      <w:r>
        <w:rPr>
          <w:rFonts w:ascii="Times New Roman" w:cs="Times New Roman" w:eastAsia="Times New Roman" w:hAnsi="Times New Roman"/>
          <w:sz w:val="13"/>
          <w:szCs w:val="13"/>
          <w:color w:val="auto"/>
        </w:rPr>
        <w:t>ILLIAM</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3"/>
          <w:szCs w:val="13"/>
          <w:color w:val="auto"/>
        </w:rPr>
        <w:t>ASTETTER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William Rastetter</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The Rastetter Family Trust DTD Sept. 2, 2010,</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William and Marisa Rastetter, Trustees</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W</w:t>
      </w:r>
      <w:r>
        <w:rPr>
          <w:rFonts w:ascii="Times New Roman" w:cs="Times New Roman" w:eastAsia="Times New Roman" w:hAnsi="Times New Roman"/>
          <w:sz w:val="13"/>
          <w:szCs w:val="13"/>
          <w:color w:val="auto"/>
        </w:rPr>
        <w:t>ILLIAM</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3"/>
          <w:szCs w:val="13"/>
          <w:color w:val="auto"/>
        </w:rPr>
        <w:t>ASTETTER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William Rastetter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Trustee</w:t>
      </w:r>
    </w:p>
    <w:p>
      <w:pPr>
        <w:spacing w:after="0" w:line="2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M</w:t>
      </w:r>
      <w:r>
        <w:rPr>
          <w:rFonts w:ascii="Times New Roman" w:cs="Times New Roman" w:eastAsia="Times New Roman" w:hAnsi="Times New Roman"/>
          <w:sz w:val="13"/>
          <w:szCs w:val="13"/>
          <w:color w:val="auto"/>
        </w:rPr>
        <w:t>ARISA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3"/>
          <w:szCs w:val="13"/>
          <w:color w:val="auto"/>
        </w:rPr>
        <w:t>ASTETTER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226695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10"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Marisa Rastetter</w:t>
      </w:r>
    </w:p>
    <w:p>
      <w:pPr>
        <w:spacing w:after="0" w:line="23" w:lineRule="exact"/>
        <w:rPr>
          <w:sz w:val="20"/>
          <w:szCs w:val="20"/>
          <w:color w:val="auto"/>
        </w:rPr>
      </w:pPr>
    </w:p>
    <w:p>
      <w:pPr>
        <w:ind w:left="5780"/>
        <w:spacing w:after="0"/>
        <w:tabs>
          <w:tab w:leader="none" w:pos="648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Trsutee</w:t>
      </w:r>
    </w:p>
    <w:p>
      <w:pPr>
        <w:spacing w:after="0" w:line="2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The Investment 2002 Trust dated</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November 11, 2002</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W</w:t>
      </w:r>
      <w:r>
        <w:rPr>
          <w:rFonts w:ascii="Times New Roman" w:cs="Times New Roman" w:eastAsia="Times New Roman" w:hAnsi="Times New Roman"/>
          <w:sz w:val="13"/>
          <w:szCs w:val="13"/>
          <w:color w:val="auto"/>
        </w:rPr>
        <w:t>ILLIAM</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3"/>
          <w:szCs w:val="13"/>
          <w:color w:val="auto"/>
        </w:rPr>
        <w:t>ASTETTER</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William Rastetter</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Neurocrine</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360"/>
          </w:cols>
          <w:pgMar w:left="1440" w:top="254" w:right="1099" w:bottom="1440" w:gutter="0" w:footer="0" w:header="0"/>
        </w:sectPr>
      </w:pPr>
    </w:p>
    <w:bookmarkStart w:id="166" w:name="page167"/>
    <w:bookmarkEnd w:id="166"/>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Sutter Hill Associates, LLC, a California</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limited liability company</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J</w:t>
      </w:r>
      <w:r>
        <w:rPr>
          <w:rFonts w:ascii="Times New Roman" w:cs="Times New Roman" w:eastAsia="Times New Roman" w:hAnsi="Times New Roman"/>
          <w:sz w:val="13"/>
          <w:szCs w:val="13"/>
          <w:color w:val="auto"/>
        </w:rPr>
        <w:t>EFF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IRD</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Jeff Bird</w:t>
            </w:r>
          </w:p>
        </w:tc>
      </w:tr>
      <w:tr>
        <w:trPr>
          <w:trHeight w:val="19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Managing Director, Sutter Hill</w:t>
            </w:r>
          </w:p>
        </w:tc>
      </w:tr>
      <w:tr>
        <w:trPr>
          <w:trHeight w:val="207"/>
        </w:trPr>
        <w:tc>
          <w:tcPr>
            <w:tcW w:w="58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Ventures</w:t>
            </w:r>
          </w:p>
        </w:tc>
      </w:tr>
    </w:tbl>
    <w:p>
      <w:pPr>
        <w:spacing w:after="0" w:line="2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Sutter Hill Ventures, a California Limited</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Partnership</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J</w:t>
      </w:r>
      <w:r>
        <w:rPr>
          <w:rFonts w:ascii="Times New Roman" w:cs="Times New Roman" w:eastAsia="Times New Roman" w:hAnsi="Times New Roman"/>
          <w:sz w:val="13"/>
          <w:szCs w:val="13"/>
          <w:color w:val="auto"/>
        </w:rPr>
        <w:t>EFF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IRD</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Jeff Bird</w:t>
            </w:r>
          </w:p>
        </w:tc>
      </w:tr>
      <w:tr>
        <w:trPr>
          <w:trHeight w:val="190"/>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Managing Director, Sutter Hill</w:t>
            </w:r>
          </w:p>
        </w:tc>
      </w:tr>
      <w:tr>
        <w:trPr>
          <w:trHeight w:val="207"/>
        </w:trPr>
        <w:tc>
          <w:tcPr>
            <w:tcW w:w="580" w:type="dxa"/>
            <w:vAlign w:val="bottom"/>
          </w:tcPr>
          <w:p>
            <w:pPr>
              <w:spacing w:after="0"/>
              <w:rPr>
                <w:sz w:val="18"/>
                <w:szCs w:val="18"/>
                <w:color w:val="auto"/>
              </w:rPr>
            </w:pP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Ventures</w:t>
            </w:r>
          </w:p>
        </w:tc>
      </w:tr>
    </w:tbl>
    <w:p>
      <w:pPr>
        <w:spacing w:after="0" w:line="37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360"/>
          </w:cols>
          <w:pgMar w:left="1440" w:top="254" w:right="1099" w:bottom="1440" w:gutter="0" w:footer="0" w:header="0"/>
        </w:sectPr>
      </w:pPr>
    </w:p>
    <w:bookmarkStart w:id="167" w:name="page168"/>
    <w:bookmarkEnd w:id="167"/>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 W</w:t>
      </w:r>
      <w:r>
        <w:rPr>
          <w:rFonts w:ascii="Times New Roman" w:cs="Times New Roman" w:eastAsia="Times New Roman" w:hAnsi="Times New Roman"/>
          <w:sz w:val="13"/>
          <w:szCs w:val="13"/>
          <w:color w:val="auto"/>
        </w:rPr>
        <w:t>AI</w:t>
      </w:r>
      <w:r>
        <w:rPr>
          <w:rFonts w:ascii="Times New Roman" w:cs="Times New Roman" w:eastAsia="Times New Roman" w:hAnsi="Times New Roman"/>
          <w:sz w:val="16"/>
          <w:szCs w:val="16"/>
          <w:color w:val="auto"/>
        </w:rPr>
        <w:t xml:space="preserve"> K</w:t>
      </w:r>
      <w:r>
        <w:rPr>
          <w:rFonts w:ascii="Times New Roman" w:cs="Times New Roman" w:eastAsia="Times New Roman" w:hAnsi="Times New Roman"/>
          <w:sz w:val="13"/>
          <w:szCs w:val="13"/>
          <w:color w:val="auto"/>
        </w:rPr>
        <w:t>WUN</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3"/>
          <w:szCs w:val="13"/>
          <w:color w:val="auto"/>
        </w:rPr>
        <w:t>OSSA</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14605</wp:posOffset>
            </wp:positionV>
            <wp:extent cx="246316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Wai Kwun Rossa Chiu</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019"/>
          </w:cols>
          <w:pgMar w:left="1440" w:top="254" w:right="1440" w:bottom="1440" w:gutter="0" w:footer="0" w:header="0"/>
        </w:sectPr>
      </w:pPr>
    </w:p>
    <w:bookmarkStart w:id="168" w:name="page169"/>
    <w:bookmarkEnd w:id="168"/>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Waycross Ventures, LLC</w:t>
      </w:r>
    </w:p>
    <w:p>
      <w:pPr>
        <w:spacing w:after="0" w:line="1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B</w:t>
      </w:r>
      <w:r>
        <w:rPr>
          <w:rFonts w:ascii="Times New Roman" w:cs="Times New Roman" w:eastAsia="Times New Roman" w:hAnsi="Times New Roman"/>
          <w:sz w:val="13"/>
          <w:szCs w:val="13"/>
          <w:color w:val="auto"/>
        </w:rPr>
        <w:t>ROOK</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YERS</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178"/>
        </w:trPr>
        <w:tc>
          <w:tcPr>
            <w:tcW w:w="58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c>
          <w:tcPr>
            <w:tcW w:w="30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color w:val="auto"/>
              </w:rPr>
              <w:t>Brook Byers</w:t>
            </w: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Managing Partner</w:t>
            </w:r>
          </w:p>
        </w:tc>
      </w:tr>
    </w:tbl>
    <w:p>
      <w:pPr>
        <w:spacing w:after="0" w:line="36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[Selling Investor Signature Page to Selling Investor Support Agreement]</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360"/>
          </w:cols>
          <w:pgMar w:left="1440" w:top="254" w:right="109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1(b)</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Series C</w:t>
            </w: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Series D</w:t>
            </w: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0" w:type="dxa"/>
            <w:vAlign w:val="bottom"/>
          </w:tcPr>
          <w:p>
            <w:pPr>
              <w:spacing w:after="0"/>
              <w:rPr>
                <w:sz w:val="1"/>
                <w:szCs w:val="1"/>
                <w:color w:val="auto"/>
              </w:rPr>
            </w:pPr>
          </w:p>
        </w:tc>
      </w:tr>
      <w:tr>
        <w:trPr>
          <w:trHeight w:val="131"/>
        </w:trPr>
        <w:tc>
          <w:tcPr>
            <w:tcW w:w="840" w:type="dxa"/>
            <w:vAlign w:val="bottom"/>
          </w:tcPr>
          <w:p>
            <w:pPr>
              <w:spacing w:after="0"/>
              <w:rPr>
                <w:sz w:val="11"/>
                <w:szCs w:val="11"/>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Selling Investor</w:t>
            </w:r>
          </w:p>
        </w:tc>
        <w:tc>
          <w:tcPr>
            <w:tcW w:w="1160" w:type="dxa"/>
            <w:vAlign w:val="bottom"/>
          </w:tcPr>
          <w:p>
            <w:pPr>
              <w:spacing w:after="0"/>
              <w:rPr>
                <w:sz w:val="11"/>
                <w:szCs w:val="11"/>
                <w:color w:val="auto"/>
              </w:rPr>
            </w:pPr>
          </w:p>
        </w:tc>
        <w:tc>
          <w:tcPr>
            <w:tcW w:w="86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8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90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000" w:type="dxa"/>
            <w:vAlign w:val="bottom"/>
            <w:gridSpan w:val="2"/>
            <w:vMerge w:val="continue"/>
          </w:tcPr>
          <w:p>
            <w:pPr>
              <w:spacing w:after="0"/>
              <w:rPr>
                <w:sz w:val="11"/>
                <w:szCs w:val="11"/>
                <w:color w:val="auto"/>
              </w:rPr>
            </w:pPr>
          </w:p>
        </w:tc>
        <w:tc>
          <w:tcPr>
            <w:tcW w:w="58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45"/>
        </w:trPr>
        <w:tc>
          <w:tcPr>
            <w:tcW w:w="8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0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3"/>
                <w:szCs w:val="13"/>
                <w:b w:val="1"/>
                <w:bCs w:val="1"/>
                <w:color w:val="auto"/>
                <w:w w:val="96"/>
              </w:rPr>
              <w:t>Stock Units</w:t>
            </w:r>
          </w:p>
        </w:tc>
        <w:tc>
          <w:tcPr>
            <w:tcW w:w="580" w:type="dxa"/>
            <w:vAlign w:val="bottom"/>
            <w:gridSpan w:val="2"/>
          </w:tcPr>
          <w:p>
            <w:pPr>
              <w:jc w:val="center"/>
              <w:ind w:right="20"/>
              <w:spacing w:after="0" w:line="141"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0" w:type="dxa"/>
            <w:vAlign w:val="bottom"/>
          </w:tcPr>
          <w:p>
            <w:pPr>
              <w:spacing w:after="0"/>
              <w:rPr>
                <w:sz w:val="1"/>
                <w:szCs w:val="1"/>
                <w:color w:val="auto"/>
              </w:rPr>
            </w:pPr>
          </w:p>
        </w:tc>
      </w:tr>
      <w:tr>
        <w:trPr>
          <w:trHeight w:val="179"/>
        </w:trPr>
        <w:tc>
          <w:tcPr>
            <w:tcW w:w="8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1080" w:top="252" w:right="109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Written Consent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019"/>
          </w:cols>
          <w:pgMar w:left="1440" w:top="254" w:right="144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B</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PREFERRED STOCKHOLDERS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CLASS A COMMON STOCKHOLDERS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GRAIL, INC.</w:t>
      </w:r>
    </w:p>
    <w:p>
      <w:pPr>
        <w:spacing w:after="0" w:line="180" w:lineRule="exact"/>
        <w:rPr>
          <w:sz w:val="20"/>
          <w:szCs w:val="20"/>
          <w:color w:val="auto"/>
        </w:rPr>
      </w:pPr>
    </w:p>
    <w:p>
      <w:pPr>
        <w:ind w:right="20" w:firstLine="388"/>
        <w:spacing w:after="0" w:line="255" w:lineRule="auto"/>
        <w:rPr>
          <w:sz w:val="20"/>
          <w:szCs w:val="20"/>
          <w:color w:val="auto"/>
        </w:rPr>
      </w:pPr>
      <w:r>
        <w:rPr>
          <w:rFonts w:ascii="Times New Roman" w:cs="Times New Roman" w:eastAsia="Times New Roman" w:hAnsi="Times New Roman"/>
          <w:sz w:val="16"/>
          <w:szCs w:val="16"/>
          <w:color w:val="auto"/>
        </w:rPr>
        <w:t>The undersigned (the “</w:t>
      </w:r>
      <w:r>
        <w:rPr>
          <w:rFonts w:ascii="Times New Roman" w:cs="Times New Roman" w:eastAsia="Times New Roman" w:hAnsi="Times New Roman"/>
          <w:sz w:val="16"/>
          <w:szCs w:val="16"/>
          <w:u w:val="single" w:color="auto"/>
          <w:color w:val="auto"/>
        </w:rPr>
        <w:t>Selling Investors</w:t>
      </w:r>
      <w:r>
        <w:rPr>
          <w:rFonts w:ascii="Times New Roman" w:cs="Times New Roman" w:eastAsia="Times New Roman" w:hAnsi="Times New Roman"/>
          <w:sz w:val="16"/>
          <w:szCs w:val="16"/>
          <w:color w:val="auto"/>
        </w:rPr>
        <w:t>”), being the holders of a majority of the shares of Class A Common Stock, par value $0.001 per share (the “</w:t>
      </w:r>
      <w:r>
        <w:rPr>
          <w:rFonts w:ascii="Times New Roman" w:cs="Times New Roman" w:eastAsia="Times New Roman" w:hAnsi="Times New Roman"/>
          <w:sz w:val="16"/>
          <w:szCs w:val="16"/>
          <w:u w:val="single" w:color="auto"/>
          <w:color w:val="auto"/>
        </w:rPr>
        <w:t>Company Class A Common Stock</w:t>
      </w:r>
      <w:r>
        <w:rPr>
          <w:rFonts w:ascii="Times New Roman" w:cs="Times New Roman" w:eastAsia="Times New Roman" w:hAnsi="Times New Roman"/>
          <w:sz w:val="16"/>
          <w:szCs w:val="16"/>
          <w:color w:val="auto"/>
        </w:rPr>
        <w:t>”), of GRAIL,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issuable or previously issued upon conversion of the shares of the Company’s Series A Preferred Stock, par value $0.001 per share, Series B Preferred Stock, par value $0.001 per share, Series C Preferred Stock, par value $0.001 per share, and Series D Preferred Stock, par value $0.001 per share (collectively, the “</w:t>
      </w:r>
      <w:r>
        <w:rPr>
          <w:rFonts w:ascii="Times New Roman" w:cs="Times New Roman" w:eastAsia="Times New Roman" w:hAnsi="Times New Roman"/>
          <w:sz w:val="16"/>
          <w:szCs w:val="16"/>
          <w:u w:val="single" w:color="auto"/>
          <w:color w:val="auto"/>
        </w:rPr>
        <w:t>Company Preferred Stock</w:t>
      </w:r>
      <w:r>
        <w:rPr>
          <w:rFonts w:ascii="Times New Roman" w:cs="Times New Roman" w:eastAsia="Times New Roman" w:hAnsi="Times New Roman"/>
          <w:sz w:val="16"/>
          <w:szCs w:val="16"/>
          <w:color w:val="auto"/>
        </w:rPr>
        <w:t>”), hereby consent to, adopt and approve the following resolutions and each and every action effected thereby:</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Illumina,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SDG Ops, Inc., a Delaware corporation and wholly owned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subsidiary of Parent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SDG Ops, LLC, a Delaware limited liability company and wholly owned subsidiary of Parent (“</w:t>
      </w:r>
      <w:r>
        <w:rPr>
          <w:rFonts w:ascii="Times New Roman" w:cs="Times New Roman" w:eastAsia="Times New Roman" w:hAnsi="Times New Roman"/>
          <w:sz w:val="16"/>
          <w:szCs w:val="16"/>
          <w:u w:val="single" w:color="auto"/>
          <w:color w:val="auto"/>
        </w:rPr>
        <w:t>Second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dated as of September 20, 2020 (as it may be amended from time to time,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respective meanings ascribed to them in the Merger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provides for, among other things, the merger of First Merger Sub with and into the Company, with the Company continuing as the surviving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corporation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and immediately following the First Merger and as part of the same overall transaction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First Merger, the Surviving Corporation will merge with and into Second Merger Sub, with Second Merger Sub being the surviving company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Second Merger (the “</w:t>
      </w:r>
      <w:r>
        <w:rPr>
          <w:rFonts w:ascii="Times New Roman" w:cs="Times New Roman" w:eastAsia="Times New Roman" w:hAnsi="Times New Roman"/>
          <w:sz w:val="15"/>
          <w:szCs w:val="15"/>
          <w:u w:val="single" w:color="auto"/>
          <w:color w:val="auto"/>
        </w:rPr>
        <w:t>Second Merger</w:t>
      </w:r>
      <w:r>
        <w:rPr>
          <w:rFonts w:ascii="Times New Roman" w:cs="Times New Roman" w:eastAsia="Times New Roman" w:hAnsi="Times New Roman"/>
          <w:sz w:val="15"/>
          <w:szCs w:val="15"/>
          <w:color w:val="auto"/>
        </w:rPr>
        <w:t>” and, together with the First Merger, the “</w:t>
      </w:r>
      <w:r>
        <w:rPr>
          <w:rFonts w:ascii="Times New Roman" w:cs="Times New Roman" w:eastAsia="Times New Roman" w:hAnsi="Times New Roman"/>
          <w:sz w:val="15"/>
          <w:szCs w:val="15"/>
          <w:u w:val="single" w:color="auto"/>
          <w:color w:val="auto"/>
        </w:rPr>
        <w:t>Mergers</w:t>
      </w:r>
      <w:r>
        <w:rPr>
          <w:rFonts w:ascii="Times New Roman" w:cs="Times New Roman" w:eastAsia="Times New Roman" w:hAnsi="Times New Roman"/>
          <w:sz w:val="15"/>
          <w:szCs w:val="15"/>
          <w:color w:val="auto"/>
        </w:rPr>
        <w:t>”), and pursuant to which all shares of Company Stock issued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outstanding immediately prior to the Effective Time (other than as provided in Section 2.04(c) of the Merger Agreement and Appraisal Shares) will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converted into the right to receive the Merger Consideration;</w:t>
      </w:r>
    </w:p>
    <w:p>
      <w:pPr>
        <w:spacing w:after="0" w:line="178" w:lineRule="exact"/>
        <w:rPr>
          <w:sz w:val="20"/>
          <w:szCs w:val="20"/>
          <w:color w:val="auto"/>
        </w:rPr>
      </w:pPr>
    </w:p>
    <w:p>
      <w:pPr>
        <w:ind w:right="60" w:firstLine="874"/>
        <w:spacing w:after="0" w:line="26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Selling Investor holds and is entitled to vote (or direct the voting of) the number of shares of Company Preferred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set forth opposite such Selling Investor’s name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attached hereto, collectively constituting a majority of the shares of Company Class A Common Stock issuable or previously issued upon conversion of the shares of Company Preferred Stock;</w:t>
      </w:r>
    </w:p>
    <w:p>
      <w:pPr>
        <w:spacing w:after="0" w:line="154" w:lineRule="exact"/>
        <w:rPr>
          <w:sz w:val="20"/>
          <w:szCs w:val="20"/>
          <w:color w:val="auto"/>
        </w:rPr>
      </w:pPr>
    </w:p>
    <w:p>
      <w:pPr>
        <w:ind w:right="20" w:firstLine="874"/>
        <w:spacing w:after="0" w:line="259"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Selling Investor is a party to the Amended and Restated Voting Agreement dated as of November 27, 2019 (the “</w:t>
      </w:r>
      <w:r>
        <w:rPr>
          <w:rFonts w:ascii="Times New Roman" w:cs="Times New Roman" w:eastAsia="Times New Roman" w:hAnsi="Times New Roman"/>
          <w:sz w:val="16"/>
          <w:szCs w:val="16"/>
          <w:u w:val="single" w:color="auto"/>
          <w:color w:val="auto"/>
        </w:rPr>
        <w:t>Voting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the Company and the Voting Agreement Parties thereto, as amended by Amendment No. 1 to the Voting Agreement dated as of April 17, 2020, by and among the Company and the Voting Agreement Parties thereto, and Amendment No. 2 to the Voting Agreement dated as of May 11, 2020, by and among the Company and the Voting Agreement Parties thereto;</w:t>
      </w:r>
    </w:p>
    <w:p>
      <w:pPr>
        <w:spacing w:after="0" w:line="158" w:lineRule="exact"/>
        <w:rPr>
          <w:sz w:val="20"/>
          <w:szCs w:val="20"/>
          <w:color w:val="auto"/>
        </w:rPr>
      </w:pPr>
    </w:p>
    <w:p>
      <w:pPr>
        <w:ind w:right="60" w:firstLine="874"/>
        <w:spacing w:after="0" w:line="25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Section 2.2 of the Voting Agreement provides that, in the event that each of (a) the Company Board and (b) the holders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majority of the shares of Company Class A Common Stock then issuable or previously issued upon conversion of the shares of Company Preferred Stock approves a Sale of the Company (as defined therein) in writing, specifying that Section 2 of the Voting Agreement shall apply to such transaction, then each Voting Agreement Party shall be obligated to vote all shares of Company Stock held by such Voting Agreement Party in favor of, and adopt, such Sale of the Company and take such other actions as set forth in Section 2 of the Voting Agreement;</w:t>
      </w:r>
    </w:p>
    <w:p>
      <w:pPr>
        <w:sectPr>
          <w:pgSz w:w="11900" w:h="16838" w:orient="portrait"/>
          <w:cols w:equalWidth="0" w:num="1">
            <w:col w:w="9720"/>
          </w:cols>
          <w:pgMar w:left="1080" w:top="254" w:right="1099" w:bottom="1440" w:gutter="0" w:footer="0" w:header="0"/>
        </w:sectPr>
      </w:pPr>
    </w:p>
    <w:bookmarkStart w:id="172" w:name="page173"/>
    <w:bookmarkEnd w:id="172"/>
    <w:p>
      <w:pPr>
        <w:ind w:right="20" w:firstLine="874"/>
        <w:spacing w:after="0" w:line="28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WHEREAS</w:t>
      </w:r>
      <w:r>
        <w:rPr>
          <w:rFonts w:ascii="Times New Roman" w:cs="Times New Roman" w:eastAsia="Times New Roman" w:hAnsi="Times New Roman"/>
          <w:sz w:val="16"/>
          <w:szCs w:val="16"/>
          <w:color w:val="auto"/>
        </w:rPr>
        <w:t>, the Company Board has approved the Transactions in writing as a Sale of the Company pursuant to Section 2.2 of the Voting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has specified that Section 2 of the Voting Agreement shall apply to the Transactions;</w:t>
      </w:r>
    </w:p>
    <w:p>
      <w:pPr>
        <w:spacing w:after="0" w:line="140" w:lineRule="exact"/>
        <w:rPr>
          <w:sz w:val="20"/>
          <w:szCs w:val="20"/>
          <w:color w:val="auto"/>
        </w:rPr>
      </w:pPr>
    </w:p>
    <w:p>
      <w:pPr>
        <w:ind w:right="40" w:firstLine="874"/>
        <w:spacing w:after="0" w:line="259"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the Transactions, each Selling Investor has entered into the Selling Investor Support Agreement, dated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 by and among Parent and certain other stockholders of the Company party thereto (the “</w:t>
      </w:r>
      <w:r>
        <w:rPr>
          <w:rFonts w:ascii="Times New Roman" w:cs="Times New Roman" w:eastAsia="Times New Roman" w:hAnsi="Times New Roman"/>
          <w:sz w:val="16"/>
          <w:szCs w:val="16"/>
          <w:u w:val="single" w:color="auto"/>
          <w:color w:val="auto"/>
        </w:rPr>
        <w:t>Selling Investor Support Agreement</w:t>
      </w:r>
      <w:r>
        <w:rPr>
          <w:rFonts w:ascii="Times New Roman" w:cs="Times New Roman" w:eastAsia="Times New Roman" w:hAnsi="Times New Roman"/>
          <w:sz w:val="16"/>
          <w:szCs w:val="16"/>
          <w:color w:val="auto"/>
        </w:rPr>
        <w:t>”), pursuant to which, among other things, each Selling Investor has agreed to vote or execute and deliver consents with respect to all shares of Company Stock held by such Selling Investor in accordance with the terms of the Selling Investor Support Agreement; and</w:t>
      </w:r>
    </w:p>
    <w:p>
      <w:pPr>
        <w:spacing w:after="0" w:line="158" w:lineRule="exact"/>
        <w:rPr>
          <w:sz w:val="20"/>
          <w:szCs w:val="20"/>
          <w:color w:val="auto"/>
        </w:rPr>
      </w:pPr>
    </w:p>
    <w:p>
      <w:pPr>
        <w:ind w:right="380" w:firstLine="874"/>
        <w:spacing w:after="0" w:line="281"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Selling Investor desires, pursuant to Section 2.2 of the Voting Agreement, to approve the Transactions as a Sale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and to specify that the Drag-Along apply to the Transactions, including the Mergers.</w:t>
      </w:r>
    </w:p>
    <w:p>
      <w:pPr>
        <w:spacing w:after="0" w:line="2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NOW, THEREFORE, BE IT</w:t>
      </w:r>
    </w:p>
    <w:p>
      <w:pPr>
        <w:spacing w:after="0" w:line="102" w:lineRule="exact"/>
        <w:rPr>
          <w:sz w:val="20"/>
          <w:szCs w:val="20"/>
          <w:color w:val="auto"/>
        </w:rPr>
      </w:pPr>
    </w:p>
    <w:p>
      <w:pPr>
        <w:ind w:right="180" w:firstLine="874"/>
        <w:spacing w:after="0" w:line="281" w:lineRule="auto"/>
        <w:rPr>
          <w:sz w:val="20"/>
          <w:szCs w:val="20"/>
          <w:color w:val="auto"/>
        </w:rPr>
      </w:pPr>
      <w:r>
        <w:rPr>
          <w:rFonts w:ascii="Times New Roman" w:cs="Times New Roman" w:eastAsia="Times New Roman" w:hAnsi="Times New Roman"/>
          <w:sz w:val="16"/>
          <w:szCs w:val="16"/>
          <w:b w:val="1"/>
          <w:bCs w:val="1"/>
          <w:color w:val="auto"/>
        </w:rPr>
        <w:t>RESOLVED</w:t>
      </w:r>
      <w:r>
        <w:rPr>
          <w:rFonts w:ascii="Times New Roman" w:cs="Times New Roman" w:eastAsia="Times New Roman" w:hAnsi="Times New Roman"/>
          <w:sz w:val="16"/>
          <w:szCs w:val="16"/>
          <w:color w:val="auto"/>
        </w:rPr>
        <w:t>, that the Merger Agreement and the Transactions, including the Mergers, are and each hereby is, approved, authorized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confirmed in all respects for purposes of Section 2.2(ii) of the Voting Agreement; and be it further</w:t>
      </w:r>
    </w:p>
    <w:p>
      <w:pPr>
        <w:spacing w:after="0" w:line="140" w:lineRule="exact"/>
        <w:rPr>
          <w:sz w:val="20"/>
          <w:szCs w:val="20"/>
          <w:color w:val="auto"/>
        </w:rPr>
      </w:pPr>
    </w:p>
    <w:p>
      <w:pPr>
        <w:ind w:right="220" w:firstLine="874"/>
        <w:spacing w:after="0" w:line="281" w:lineRule="auto"/>
        <w:rPr>
          <w:sz w:val="20"/>
          <w:szCs w:val="20"/>
          <w:color w:val="auto"/>
        </w:rPr>
      </w:pPr>
      <w:r>
        <w:rPr>
          <w:rFonts w:ascii="Times New Roman" w:cs="Times New Roman" w:eastAsia="Times New Roman" w:hAnsi="Times New Roman"/>
          <w:sz w:val="16"/>
          <w:szCs w:val="16"/>
          <w:b w:val="1"/>
          <w:bCs w:val="1"/>
          <w:color w:val="auto"/>
        </w:rPr>
        <w:t>RESOLVED</w:t>
      </w:r>
      <w:r>
        <w:rPr>
          <w:rFonts w:ascii="Times New Roman" w:cs="Times New Roman" w:eastAsia="Times New Roman" w:hAnsi="Times New Roman"/>
          <w:sz w:val="16"/>
          <w:szCs w:val="16"/>
          <w:color w:val="auto"/>
        </w:rPr>
        <w:t>, that the Transactions constitute, and are hereby approved as, a Sale of the Company pursuant to Section 2.2 of the Voting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that Section 2 of the Voting Agreement applies to the Transactions; and be it further</w:t>
      </w:r>
    </w:p>
    <w:p>
      <w:pPr>
        <w:spacing w:after="0" w:line="140" w:lineRule="exact"/>
        <w:rPr>
          <w:sz w:val="20"/>
          <w:szCs w:val="20"/>
          <w:color w:val="auto"/>
        </w:rPr>
      </w:pPr>
    </w:p>
    <w:p>
      <w:pPr>
        <w:ind w:right="100" w:firstLine="874"/>
        <w:spacing w:after="0" w:line="281" w:lineRule="auto"/>
        <w:rPr>
          <w:sz w:val="20"/>
          <w:szCs w:val="20"/>
          <w:color w:val="auto"/>
        </w:rPr>
      </w:pPr>
      <w:r>
        <w:rPr>
          <w:rFonts w:ascii="Times New Roman" w:cs="Times New Roman" w:eastAsia="Times New Roman" w:hAnsi="Times New Roman"/>
          <w:sz w:val="16"/>
          <w:szCs w:val="16"/>
          <w:b w:val="1"/>
          <w:bCs w:val="1"/>
          <w:color w:val="auto"/>
        </w:rPr>
        <w:t>RESOLVED</w:t>
      </w:r>
      <w:r>
        <w:rPr>
          <w:rFonts w:ascii="Times New Roman" w:cs="Times New Roman" w:eastAsia="Times New Roman" w:hAnsi="Times New Roman"/>
          <w:sz w:val="16"/>
          <w:szCs w:val="16"/>
          <w:color w:val="auto"/>
        </w:rPr>
        <w:t>, that the exercise of the Drag-Along pursuant to Section 2.2 of the Voting Agreement in connection with the Transactions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approved, authorized and confirmed in all respects; and be it further</w:t>
      </w:r>
    </w:p>
    <w:p>
      <w:pPr>
        <w:spacing w:after="0" w:line="140" w:lineRule="exact"/>
        <w:rPr>
          <w:sz w:val="20"/>
          <w:szCs w:val="20"/>
          <w:color w:val="auto"/>
        </w:rPr>
      </w:pPr>
    </w:p>
    <w:p>
      <w:pPr>
        <w:ind w:firstLine="874"/>
        <w:spacing w:after="0" w:line="251" w:lineRule="auto"/>
        <w:rPr>
          <w:sz w:val="20"/>
          <w:szCs w:val="20"/>
          <w:color w:val="auto"/>
        </w:rPr>
      </w:pPr>
      <w:r>
        <w:rPr>
          <w:rFonts w:ascii="Times New Roman" w:cs="Times New Roman" w:eastAsia="Times New Roman" w:hAnsi="Times New Roman"/>
          <w:sz w:val="16"/>
          <w:szCs w:val="16"/>
          <w:b w:val="1"/>
          <w:bCs w:val="1"/>
          <w:color w:val="auto"/>
        </w:rPr>
        <w:t>RESOLVED</w:t>
      </w:r>
      <w:r>
        <w:rPr>
          <w:rFonts w:ascii="Times New Roman" w:cs="Times New Roman" w:eastAsia="Times New Roman" w:hAnsi="Times New Roman"/>
          <w:sz w:val="16"/>
          <w:szCs w:val="16"/>
          <w:color w:val="auto"/>
        </w:rPr>
        <w:t>, that each Voting Agreement Party shall be (x) notified of its obligation to (i) vote all shares of Company Stock held by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Voting Agreement Party in favor of, and adopt, the Merger Agreement and the Transactions, including the Mergers, by executing a written consent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delivering such written consent to the Company after the Registration Statement is declared effective by the SEC as specified in the Consent Solicitation Statement, (ii) vote against any and all proposals that could delay or impair the ability of the Company to consummate the Transactions, including the Mergers, and (iii) refrain from exercising any dissenters’ rights or rights of appraisal under applicable law (including, without limitation, appraisal rights pursuant to Section 262 of the General Corporation Law of the State of Delaware) with respect to the Transactions, including the Mergers, and (y) requested to execute and deliver the Support Agreement as promptly as practicable following the date hereof, pursuant to Section 2.2(c) of the Voting Agreement (provided, however, that the foregoing shall not require or be construed so as to require any Voting Agreement Party to vote the shares of Common Stock held by such Voting Agreement Party in favor of any stockholder vote to approve “parachute payments” (within the meaning of Section 280G of the Internal Revenue Code of 1986, as amended, and the Treasury Regulations thereunder) solicited in connection with the Transaction); and be it further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20"/>
          </w:cols>
          <w:pgMar w:left="1080" w:top="252" w:right="1099" w:bottom="1440" w:gutter="0" w:footer="0" w:header="0"/>
        </w:sectPr>
      </w:pPr>
    </w:p>
    <w:bookmarkStart w:id="173" w:name="page174"/>
    <w:bookmarkEnd w:id="173"/>
    <w:p>
      <w:pPr>
        <w:jc w:val="both"/>
        <w:ind w:right="20" w:firstLine="874"/>
        <w:spacing w:after="0" w:line="26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RESOLVED</w:t>
      </w:r>
      <w:r>
        <w:rPr>
          <w:rFonts w:ascii="Times New Roman" w:cs="Times New Roman" w:eastAsia="Times New Roman" w:hAnsi="Times New Roman"/>
          <w:sz w:val="16"/>
          <w:szCs w:val="16"/>
          <w:color w:val="auto"/>
        </w:rPr>
        <w:t>, that promptly after the Registration Statement (which shall include the Consent Solicitation Statement) is declared 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by the SEC, each Selling Investor will execute and deliver, or cause to be delivered, a written consent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pursuant to and in accordance with the Selling Investor Support Agreement; and be it further</w:t>
      </w:r>
    </w:p>
    <w:p>
      <w:pPr>
        <w:spacing w:after="0" w:line="154" w:lineRule="exact"/>
        <w:rPr>
          <w:sz w:val="20"/>
          <w:szCs w:val="20"/>
          <w:color w:val="auto"/>
        </w:rPr>
      </w:pPr>
    </w:p>
    <w:p>
      <w:pPr>
        <w:ind w:firstLine="874"/>
        <w:spacing w:after="0" w:line="259" w:lineRule="auto"/>
        <w:rPr>
          <w:sz w:val="20"/>
          <w:szCs w:val="20"/>
          <w:color w:val="auto"/>
        </w:rPr>
      </w:pPr>
      <w:r>
        <w:rPr>
          <w:rFonts w:ascii="Times New Roman" w:cs="Times New Roman" w:eastAsia="Times New Roman" w:hAnsi="Times New Roman"/>
          <w:sz w:val="16"/>
          <w:szCs w:val="16"/>
          <w:b w:val="1"/>
          <w:bCs w:val="1"/>
          <w:color w:val="auto"/>
        </w:rPr>
        <w:t>RESOLVED</w:t>
      </w:r>
      <w:r>
        <w:rPr>
          <w:rFonts w:ascii="Times New Roman" w:cs="Times New Roman" w:eastAsia="Times New Roman" w:hAnsi="Times New Roman"/>
          <w:sz w:val="16"/>
          <w:szCs w:val="16"/>
          <w:color w:val="auto"/>
        </w:rPr>
        <w:t>, that, pursuant to Section 3.2 of the Voting Agreement, Parent be, and hereby is, appointed as the Selling Investors’ designee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hold and have the sole power to exercise the proxy and power of attorney contemplated by Section 3.2 of the Voting Agreement in connection with the Transactions, which designation shall not be revoked or rescinded prior to the earlier of the Effective Time or the termination of the Merger Agreement in accordance with its terms.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80"/>
          </w:cols>
          <w:pgMar w:left="1080" w:top="252" w:right="1139" w:bottom="1440" w:gutter="0" w:footer="0" w:header="0"/>
        </w:sectPr>
      </w:pPr>
    </w:p>
    <w:bookmarkStart w:id="174" w:name="page175"/>
    <w:bookmarkEnd w:id="174"/>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[Selling Investor]</w:t>
      </w:r>
    </w:p>
    <w:p>
      <w:pPr>
        <w:spacing w:after="0" w:line="1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to Drag-Along Consent]</w:t>
      </w:r>
    </w:p>
    <w:p>
      <w:pPr>
        <w:sectPr>
          <w:pgSz w:w="11900" w:h="16838" w:orient="portrait"/>
          <w:cols w:equalWidth="0" w:num="1">
            <w:col w:w="9019"/>
          </w:cols>
          <w:pgMar w:left="1440" w:top="254" w:right="1440"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1</w:t>
      </w:r>
    </w:p>
    <w:p>
      <w:pPr>
        <w:sectPr>
          <w:pgSz w:w="11900" w:h="16838" w:orient="portrait"/>
          <w:cols w:equalWidth="0" w:num="1">
            <w:col w:w="9019"/>
          </w:cols>
          <w:pgMar w:left="1440" w:top="254" w:right="144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Written Consent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019"/>
          </w:cols>
          <w:pgMar w:left="1440" w:top="254" w:right="1440"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r>
        <w:rPr>
          <w:rFonts w:ascii="Times New Roman" w:cs="Times New Roman" w:eastAsia="Times New Roman" w:hAnsi="Times New Roman"/>
          <w:sz w:val="23"/>
          <w:szCs w:val="23"/>
          <w:b w:val="1"/>
          <w:bCs w:val="1"/>
          <w:color w:val="auto"/>
          <w:vertAlign w:val="superscript"/>
        </w:rPr>
        <w:t>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by and among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ILLUMINA,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[TRUSTEE]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[HOLDER REPRESENTATIVE]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8008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86" w:lineRule="exact"/>
        <w:rPr>
          <w:sz w:val="20"/>
          <w:szCs w:val="20"/>
          <w:color w:val="auto"/>
        </w:rPr>
      </w:pPr>
    </w:p>
    <w:p>
      <w:pPr>
        <w:ind w:left="380" w:hanging="371"/>
        <w:spacing w:after="0"/>
        <w:tabs>
          <w:tab w:leader="none" w:pos="380" w:val="left"/>
        </w:tabs>
        <w:numPr>
          <w:ilvl w:val="0"/>
          <w:numId w:val="1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Subject to review by trustee and Holder Representative.</w:t>
      </w:r>
    </w:p>
    <w:p>
      <w:pPr>
        <w:sectPr>
          <w:pgSz w:w="11900" w:h="16838" w:orient="portrait"/>
          <w:cols w:equalWidth="0" w:num="1">
            <w:col w:w="9720"/>
          </w:cols>
          <w:pgMar w:left="1080" w:top="254" w:right="109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9"/>
        </w:trPr>
        <w:tc>
          <w:tcPr>
            <w:tcW w:w="1100" w:type="dxa"/>
            <w:vAlign w:val="bottom"/>
          </w:tcPr>
          <w:p>
            <w:pPr>
              <w:spacing w:after="0"/>
              <w:rPr>
                <w:sz w:val="18"/>
                <w:szCs w:val="18"/>
                <w:color w:val="auto"/>
              </w:rPr>
            </w:pPr>
          </w:p>
        </w:tc>
        <w:tc>
          <w:tcPr>
            <w:tcW w:w="7580" w:type="dxa"/>
            <w:vAlign w:val="bottom"/>
          </w:tcPr>
          <w:p>
            <w:pPr>
              <w:ind w:left="29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000" w:type="dxa"/>
            <w:vAlign w:val="bottom"/>
          </w:tcPr>
          <w:p>
            <w:pPr>
              <w:spacing w:after="0"/>
              <w:rPr>
                <w:sz w:val="18"/>
                <w:szCs w:val="18"/>
                <w:color w:val="auto"/>
              </w:rPr>
            </w:pPr>
          </w:p>
        </w:tc>
      </w:tr>
      <w:tr>
        <w:trPr>
          <w:trHeight w:val="388"/>
        </w:trPr>
        <w:tc>
          <w:tcPr>
            <w:tcW w:w="1100" w:type="dxa"/>
            <w:vAlign w:val="bottom"/>
          </w:tcPr>
          <w:p>
            <w:pPr>
              <w:spacing w:after="0"/>
              <w:rPr>
                <w:sz w:val="24"/>
                <w:szCs w:val="24"/>
                <w:color w:val="auto"/>
              </w:rPr>
            </w:pPr>
          </w:p>
        </w:tc>
        <w:tc>
          <w:tcPr>
            <w:tcW w:w="7580" w:type="dxa"/>
            <w:vAlign w:val="bottom"/>
          </w:tcPr>
          <w:p>
            <w:pPr>
              <w:jc w:val="center"/>
              <w:ind w:left="841"/>
              <w:spacing w:after="0"/>
              <w:rPr>
                <w:sz w:val="20"/>
                <w:szCs w:val="20"/>
                <w:color w:val="auto"/>
              </w:rPr>
            </w:pPr>
            <w:r>
              <w:rPr>
                <w:rFonts w:ascii="Times New Roman" w:cs="Times New Roman" w:eastAsia="Times New Roman" w:hAnsi="Times New Roman"/>
                <w:sz w:val="16"/>
                <w:szCs w:val="16"/>
                <w:color w:val="auto"/>
                <w:w w:val="97"/>
              </w:rPr>
              <w:t>ARTICLE 1</w:t>
            </w:r>
          </w:p>
        </w:tc>
        <w:tc>
          <w:tcPr>
            <w:tcW w:w="100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61"/>
              <w:spacing w:after="0"/>
              <w:rPr>
                <w:sz w:val="20"/>
                <w:szCs w:val="20"/>
                <w:color w:val="auto"/>
              </w:rPr>
            </w:pPr>
            <w:r>
              <w:rPr>
                <w:rFonts w:ascii="Times New Roman" w:cs="Times New Roman" w:eastAsia="Times New Roman" w:hAnsi="Times New Roman"/>
                <w:sz w:val="16"/>
                <w:szCs w:val="16"/>
                <w:color w:val="auto"/>
                <w:w w:val="98"/>
              </w:rPr>
              <w:t>DEFINITIONS AND OTHER PROVISIONS OF GENERAL APPLICATION</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Definitions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Compliance and Opinions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1.3.</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Form of Documents Delivered to Trustee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Acts of Holders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1.5.</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Notices, etc., to Trustee and Parent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1.6.</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Notice to Holders; Waiver</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1.7.</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Conflict with Trust Indenture Act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1.8.</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Effect of Headings and Table of Contents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1.9.</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Benefits of Agreement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1.10.</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Governing Law</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1.11.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Legal Holidays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1.12.</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Separability Clause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1.13.</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 Recourse Against 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1.14.</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Counterparts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1.15.</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Acceptance of Trust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1.16.</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Termination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41"/>
              <w:spacing w:after="0"/>
              <w:rPr>
                <w:sz w:val="20"/>
                <w:szCs w:val="20"/>
                <w:color w:val="auto"/>
              </w:rPr>
            </w:pPr>
            <w:r>
              <w:rPr>
                <w:rFonts w:ascii="Times New Roman" w:cs="Times New Roman" w:eastAsia="Times New Roman" w:hAnsi="Times New Roman"/>
                <w:sz w:val="16"/>
                <w:szCs w:val="16"/>
                <w:color w:val="auto"/>
                <w:w w:val="97"/>
              </w:rPr>
              <w:t>ARTICLE 2</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61"/>
              <w:spacing w:after="0"/>
              <w:rPr>
                <w:sz w:val="20"/>
                <w:szCs w:val="20"/>
                <w:color w:val="auto"/>
              </w:rPr>
            </w:pPr>
            <w:r>
              <w:rPr>
                <w:rFonts w:ascii="Times New Roman" w:cs="Times New Roman" w:eastAsia="Times New Roman" w:hAnsi="Times New Roman"/>
                <w:sz w:val="16"/>
                <w:szCs w:val="16"/>
                <w:color w:val="auto"/>
                <w:w w:val="98"/>
              </w:rPr>
              <w:t>CONTINGENT VALUE RIGHTS</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Forms Generally</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Title and Terms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Registrable Form</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2.4.</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Execution, Authentication, Delivery and Dating</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2.5.</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Temporary CVRs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2.6.</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Registration, Registration of Transfer and Exchange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2.7.</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Mutilated, Destroyed, Lost and Stolen CVRs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2.8.</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Payments with Respect to CVRs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2.9.</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Persons Deemed Owners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2.10.</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Cancellation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2.11.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Ability to Abandon CVR; Certain Acquisitions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2.12.</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CUSIP Numbers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9680"/>
          </w:cols>
          <w:pgMar w:left="1080" w:top="252" w:right="11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7520" w:type="dxa"/>
            <w:vAlign w:val="bottom"/>
          </w:tcPr>
          <w:p>
            <w:pPr>
              <w:jc w:val="center"/>
              <w:ind w:left="901"/>
              <w:spacing w:after="0"/>
              <w:rPr>
                <w:sz w:val="20"/>
                <w:szCs w:val="20"/>
                <w:color w:val="auto"/>
              </w:rPr>
            </w:pPr>
            <w:r>
              <w:rPr>
                <w:rFonts w:ascii="Times New Roman" w:cs="Times New Roman" w:eastAsia="Times New Roman" w:hAnsi="Times New Roman"/>
                <w:sz w:val="16"/>
                <w:szCs w:val="16"/>
                <w:color w:val="auto"/>
                <w:w w:val="97"/>
              </w:rPr>
              <w:t>ARTICLE 3</w:t>
            </w:r>
          </w:p>
        </w:tc>
        <w:tc>
          <w:tcPr>
            <w:tcW w:w="106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2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8"/>
              </w:rPr>
              <w:t>THE TRUSTEE</w:t>
            </w:r>
          </w:p>
        </w:tc>
        <w:tc>
          <w:tcPr>
            <w:tcW w:w="106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3.1.</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Certain Duties and Responsibilities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3.2.</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Certain Rights of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3.3.</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Notice of Default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Not Responsible for Recitals or Issuance of CVRs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3.5.</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Money Held in Trust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3.6.</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Compensation and Reimbursement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3.7.</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Disqualification; Conflicting Interests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3.8.</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Corporate Trustee Required; Eligibility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3.9.</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Resignation and Removal; Appointment of Successor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3.10.</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Acceptance of Appointment of Successor</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3.11.</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Merger, Conversion, Consolidation or Succession to Business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3.12.</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Preferential Collection of Claims Against Parent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0"/>
        </w:trPr>
        <w:tc>
          <w:tcPr>
            <w:tcW w:w="1100" w:type="dxa"/>
            <w:vAlign w:val="bottom"/>
          </w:tcPr>
          <w:p>
            <w:pPr>
              <w:spacing w:after="0"/>
              <w:rPr>
                <w:sz w:val="16"/>
                <w:szCs w:val="16"/>
                <w:color w:val="auto"/>
              </w:rPr>
            </w:pPr>
          </w:p>
        </w:tc>
        <w:tc>
          <w:tcPr>
            <w:tcW w:w="7520" w:type="dxa"/>
            <w:vAlign w:val="bottom"/>
          </w:tcPr>
          <w:p>
            <w:pPr>
              <w:jc w:val="center"/>
              <w:ind w:left="901"/>
              <w:spacing w:after="0"/>
              <w:rPr>
                <w:sz w:val="20"/>
                <w:szCs w:val="20"/>
                <w:color w:val="auto"/>
              </w:rPr>
            </w:pPr>
            <w:r>
              <w:rPr>
                <w:rFonts w:ascii="Times New Roman" w:cs="Times New Roman" w:eastAsia="Times New Roman" w:hAnsi="Times New Roman"/>
                <w:sz w:val="16"/>
                <w:szCs w:val="16"/>
                <w:color w:val="auto"/>
                <w:w w:val="97"/>
              </w:rPr>
              <w:t>ARTICLE 4</w:t>
            </w:r>
          </w:p>
        </w:tc>
        <w:tc>
          <w:tcPr>
            <w:tcW w:w="106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2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8"/>
              </w:rPr>
              <w:t>HOLDERS’ LISTS AND REPORTS BY THE TRUSTEE AND PARENT</w:t>
            </w:r>
          </w:p>
        </w:tc>
        <w:tc>
          <w:tcPr>
            <w:tcW w:w="106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4.1.</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Parent to Furnish Trustee with Names and Addresses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Preservation of Information; Communications to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4.3.</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Reports by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4.4.</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Reports by Parent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0"/>
        </w:trPr>
        <w:tc>
          <w:tcPr>
            <w:tcW w:w="1100" w:type="dxa"/>
            <w:vAlign w:val="bottom"/>
          </w:tcPr>
          <w:p>
            <w:pPr>
              <w:spacing w:after="0"/>
              <w:rPr>
                <w:sz w:val="16"/>
                <w:szCs w:val="16"/>
                <w:color w:val="auto"/>
              </w:rPr>
            </w:pPr>
          </w:p>
        </w:tc>
        <w:tc>
          <w:tcPr>
            <w:tcW w:w="7520" w:type="dxa"/>
            <w:vAlign w:val="bottom"/>
          </w:tcPr>
          <w:p>
            <w:pPr>
              <w:jc w:val="center"/>
              <w:ind w:left="901"/>
              <w:spacing w:after="0"/>
              <w:rPr>
                <w:sz w:val="20"/>
                <w:szCs w:val="20"/>
                <w:color w:val="auto"/>
              </w:rPr>
            </w:pPr>
            <w:r>
              <w:rPr>
                <w:rFonts w:ascii="Times New Roman" w:cs="Times New Roman" w:eastAsia="Times New Roman" w:hAnsi="Times New Roman"/>
                <w:sz w:val="16"/>
                <w:szCs w:val="16"/>
                <w:color w:val="auto"/>
                <w:w w:val="97"/>
              </w:rPr>
              <w:t>ARTICLE 5</w:t>
            </w:r>
          </w:p>
        </w:tc>
        <w:tc>
          <w:tcPr>
            <w:tcW w:w="106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2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9"/>
              </w:rPr>
              <w:t>AMENDMENTS</w:t>
            </w:r>
          </w:p>
        </w:tc>
        <w:tc>
          <w:tcPr>
            <w:tcW w:w="106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5.1.</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Amendments Without Consent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5.2.</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Amendments with Consent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5.3.</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Execution of Amendments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5.4.</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Effect of Amendments; Notice to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5.5.</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Conformity with Trust Indenture Act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5.6.</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Reference in CVRs to Amendments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0"/>
        </w:trPr>
        <w:tc>
          <w:tcPr>
            <w:tcW w:w="1100" w:type="dxa"/>
            <w:vAlign w:val="bottom"/>
          </w:tcPr>
          <w:p>
            <w:pPr>
              <w:spacing w:after="0"/>
              <w:rPr>
                <w:sz w:val="16"/>
                <w:szCs w:val="16"/>
                <w:color w:val="auto"/>
              </w:rPr>
            </w:pPr>
          </w:p>
        </w:tc>
        <w:tc>
          <w:tcPr>
            <w:tcW w:w="7520" w:type="dxa"/>
            <w:vAlign w:val="bottom"/>
          </w:tcPr>
          <w:p>
            <w:pPr>
              <w:jc w:val="center"/>
              <w:ind w:left="901"/>
              <w:spacing w:after="0"/>
              <w:rPr>
                <w:sz w:val="20"/>
                <w:szCs w:val="20"/>
                <w:color w:val="auto"/>
              </w:rPr>
            </w:pPr>
            <w:r>
              <w:rPr>
                <w:rFonts w:ascii="Times New Roman" w:cs="Times New Roman" w:eastAsia="Times New Roman" w:hAnsi="Times New Roman"/>
                <w:sz w:val="16"/>
                <w:szCs w:val="16"/>
                <w:color w:val="auto"/>
                <w:w w:val="97"/>
              </w:rPr>
              <w:t>ARTICLE 6</w:t>
            </w:r>
          </w:p>
        </w:tc>
        <w:tc>
          <w:tcPr>
            <w:tcW w:w="106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20" w:type="dxa"/>
            <w:vAlign w:val="bottom"/>
          </w:tcPr>
          <w:p>
            <w:pPr>
              <w:jc w:val="center"/>
              <w:ind w:left="921"/>
              <w:spacing w:after="0"/>
              <w:rPr>
                <w:sz w:val="20"/>
                <w:szCs w:val="20"/>
                <w:color w:val="auto"/>
              </w:rPr>
            </w:pPr>
            <w:r>
              <w:rPr>
                <w:rFonts w:ascii="Times New Roman" w:cs="Times New Roman" w:eastAsia="Times New Roman" w:hAnsi="Times New Roman"/>
                <w:sz w:val="16"/>
                <w:szCs w:val="16"/>
                <w:color w:val="auto"/>
                <w:w w:val="99"/>
              </w:rPr>
              <w:t>COVENANTS</w:t>
            </w:r>
          </w:p>
        </w:tc>
        <w:tc>
          <w:tcPr>
            <w:tcW w:w="106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6.1.</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 of Amounts, if any, to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6.2.</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Maintenance of Office or Agency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6.3.</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Money for Covered Revenues Payments to Be Held in Trust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6.4.</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Books and Records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6.5.</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Audits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6.6.</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Certain Covenants and Acknowledgements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6.7.</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Notice of Default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6.8.</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Confidentiality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6.9.</w:t>
            </w:r>
          </w:p>
        </w:tc>
        <w:tc>
          <w:tcPr>
            <w:tcW w:w="75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Non-Use of Name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9680"/>
          </w:cols>
          <w:pgMar w:left="1080" w:top="254" w:right="11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7580" w:type="dxa"/>
            <w:vAlign w:val="bottom"/>
          </w:tcPr>
          <w:p>
            <w:pPr>
              <w:jc w:val="center"/>
              <w:ind w:left="841"/>
              <w:spacing w:after="0"/>
              <w:rPr>
                <w:sz w:val="20"/>
                <w:szCs w:val="20"/>
                <w:color w:val="auto"/>
              </w:rPr>
            </w:pPr>
            <w:r>
              <w:rPr>
                <w:rFonts w:ascii="Times New Roman" w:cs="Times New Roman" w:eastAsia="Times New Roman" w:hAnsi="Times New Roman"/>
                <w:sz w:val="16"/>
                <w:szCs w:val="16"/>
                <w:color w:val="auto"/>
                <w:w w:val="97"/>
              </w:rPr>
              <w:t>ARTICLE 7</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61"/>
              <w:spacing w:after="0"/>
              <w:rPr>
                <w:sz w:val="20"/>
                <w:szCs w:val="20"/>
                <w:color w:val="auto"/>
              </w:rPr>
            </w:pPr>
            <w:r>
              <w:rPr>
                <w:rFonts w:ascii="Times New Roman" w:cs="Times New Roman" w:eastAsia="Times New Roman" w:hAnsi="Times New Roman"/>
                <w:sz w:val="16"/>
                <w:szCs w:val="16"/>
                <w:color w:val="auto"/>
                <w:w w:val="98"/>
              </w:rPr>
              <w:t>REMEDIES OF THE TRUSTEE AND HOLDER ON EVENT OF DEFAULT</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Event of Default Defined; Waiver of Default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7.2.</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Collection by the Trustee; the Trustee May Prove Payment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7.3.</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Application of Proceeds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7.4.</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Suits for Enforcement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7.5.</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Restoration of Rights on Abandonment of Proceedings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7.6.</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Limitations on Suits by Holders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7.7.</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Unconditional Right of Holders to Institute Certain Suits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7.8.</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Powers and Remedies Cumulative; Delay or Omission Not Waiver of Default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7.9.</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Control by Holders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7.10.</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Waiver of Past Defaults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7.11.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Trustee to Give Notice of Default, But May Withhold in Certain Circumstances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7.12.</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Right of Court to Require Filing of Undertaking to Pay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41"/>
              <w:spacing w:after="0"/>
              <w:rPr>
                <w:sz w:val="20"/>
                <w:szCs w:val="20"/>
                <w:color w:val="auto"/>
              </w:rPr>
            </w:pPr>
            <w:r>
              <w:rPr>
                <w:rFonts w:ascii="Times New Roman" w:cs="Times New Roman" w:eastAsia="Times New Roman" w:hAnsi="Times New Roman"/>
                <w:sz w:val="16"/>
                <w:szCs w:val="16"/>
                <w:color w:val="auto"/>
                <w:w w:val="97"/>
              </w:rPr>
              <w:t>ARTICLE 8</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61"/>
              <w:spacing w:after="0"/>
              <w:rPr>
                <w:sz w:val="20"/>
                <w:szCs w:val="20"/>
                <w:color w:val="auto"/>
              </w:rPr>
            </w:pPr>
            <w:r>
              <w:rPr>
                <w:rFonts w:ascii="Times New Roman" w:cs="Times New Roman" w:eastAsia="Times New Roman" w:hAnsi="Times New Roman"/>
                <w:sz w:val="16"/>
                <w:szCs w:val="16"/>
                <w:color w:val="auto"/>
                <w:w w:val="98"/>
              </w:rPr>
              <w:t>CONSOLIDATION, MERGER, SALE OR CONVEYANCE</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8.1.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Parent May Consolidate, etc., on Certain Terms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8.2.</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Successor Person Substituted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8.3.</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Opinion of Counsel to the Trustee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8.4.</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Successors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41"/>
              <w:spacing w:after="0"/>
              <w:rPr>
                <w:sz w:val="20"/>
                <w:szCs w:val="20"/>
                <w:color w:val="auto"/>
              </w:rPr>
            </w:pPr>
            <w:r>
              <w:rPr>
                <w:rFonts w:ascii="Times New Roman" w:cs="Times New Roman" w:eastAsia="Times New Roman" w:hAnsi="Times New Roman"/>
                <w:sz w:val="16"/>
                <w:szCs w:val="16"/>
                <w:color w:val="auto"/>
                <w:w w:val="97"/>
              </w:rPr>
              <w:t>ARTICLE 9</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61"/>
              <w:spacing w:after="0"/>
              <w:rPr>
                <w:sz w:val="20"/>
                <w:szCs w:val="20"/>
                <w:color w:val="auto"/>
              </w:rPr>
            </w:pPr>
            <w:r>
              <w:rPr>
                <w:rFonts w:ascii="Times New Roman" w:cs="Times New Roman" w:eastAsia="Times New Roman" w:hAnsi="Times New Roman"/>
                <w:sz w:val="16"/>
                <w:szCs w:val="16"/>
                <w:color w:val="auto"/>
                <w:w w:val="98"/>
              </w:rPr>
              <w:t>REDEMPTION OF SECURITIES</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9.1.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Notice to Trustee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9.2.</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Notice of Redemption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9.3.</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Effect of Notice of Redemption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9.4.</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Deposit of Redemption Price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9.5.</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Optional Redemption by Parent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41"/>
              <w:spacing w:after="0"/>
              <w:rPr>
                <w:sz w:val="20"/>
                <w:szCs w:val="20"/>
                <w:color w:val="auto"/>
              </w:rPr>
            </w:pPr>
            <w:r>
              <w:rPr>
                <w:rFonts w:ascii="Times New Roman" w:cs="Times New Roman" w:eastAsia="Times New Roman" w:hAnsi="Times New Roman"/>
                <w:sz w:val="16"/>
                <w:szCs w:val="16"/>
                <w:color w:val="auto"/>
                <w:w w:val="98"/>
              </w:rPr>
              <w:t>ARTICLE 10</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7580" w:type="dxa"/>
            <w:vAlign w:val="bottom"/>
          </w:tcPr>
          <w:p>
            <w:pPr>
              <w:jc w:val="center"/>
              <w:ind w:left="841"/>
              <w:spacing w:after="0"/>
              <w:rPr>
                <w:sz w:val="20"/>
                <w:szCs w:val="20"/>
                <w:color w:val="auto"/>
              </w:rPr>
            </w:pPr>
            <w:r>
              <w:rPr>
                <w:rFonts w:ascii="Times New Roman" w:cs="Times New Roman" w:eastAsia="Times New Roman" w:hAnsi="Times New Roman"/>
                <w:sz w:val="16"/>
                <w:szCs w:val="16"/>
                <w:color w:val="auto"/>
                <w:w w:val="97"/>
              </w:rPr>
              <w:t>HOLDER REPRESENTATIVE</w:t>
            </w:r>
          </w:p>
        </w:tc>
        <w:tc>
          <w:tcPr>
            <w:tcW w:w="100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Authority and Rights of the Holder Representative; Limitations on Liability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Annex A - Form of CVR Certificate</w:t>
            </w:r>
          </w:p>
        </w:tc>
        <w:tc>
          <w:tcPr>
            <w:tcW w:w="1000" w:type="dxa"/>
            <w:vAlign w:val="bottom"/>
          </w:tcPr>
          <w:p>
            <w:pPr>
              <w:spacing w:after="0"/>
              <w:rPr>
                <w:sz w:val="18"/>
                <w:szCs w:val="18"/>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Note: This Table of Contents shall not, for any purpose, be deemed to be a part of this CVR Agreement.</w:t>
      </w:r>
    </w:p>
    <w:p>
      <w:pPr>
        <w:spacing w:after="0" w:line="13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9680"/>
          </w:cols>
          <w:pgMar w:left="1080" w:top="254" w:right="11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Reconciliation and tie between Trust Indenture Act of 1939 and Contingent Value Rights Agreement, dated as of [•].</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Trust Indenture Act Section</w:t>
            </w:r>
          </w:p>
        </w:tc>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Agreement Section</w:t>
            </w:r>
          </w:p>
        </w:tc>
      </w:tr>
      <w:tr>
        <w:trPr>
          <w:trHeight w:val="166"/>
        </w:trPr>
        <w:tc>
          <w:tcPr>
            <w:tcW w:w="1540" w:type="dxa"/>
            <w:vAlign w:val="bottom"/>
            <w:tcBorders>
              <w:top w:val="single" w:sz="8" w:color="auto"/>
            </w:tcBorders>
          </w:tcPr>
          <w:p>
            <w:pPr>
              <w:spacing w:after="0" w:line="166" w:lineRule="exact"/>
              <w:rPr>
                <w:sz w:val="20"/>
                <w:szCs w:val="20"/>
                <w:color w:val="auto"/>
              </w:rPr>
            </w:pPr>
            <w:r>
              <w:rPr>
                <w:rFonts w:ascii="Times New Roman" w:cs="Times New Roman" w:eastAsia="Times New Roman" w:hAnsi="Times New Roman"/>
                <w:sz w:val="16"/>
                <w:szCs w:val="16"/>
                <w:color w:val="auto"/>
              </w:rPr>
              <w:t>Section 310(a)(1)</w:t>
            </w:r>
          </w:p>
        </w:tc>
        <w:tc>
          <w:tcPr>
            <w:tcW w:w="3520" w:type="dxa"/>
            <w:vAlign w:val="bottom"/>
          </w:tcPr>
          <w:p>
            <w:pPr>
              <w:spacing w:after="0"/>
              <w:rPr>
                <w:sz w:val="14"/>
                <w:szCs w:val="14"/>
                <w:color w:val="auto"/>
              </w:rPr>
            </w:pPr>
          </w:p>
        </w:tc>
        <w:tc>
          <w:tcPr>
            <w:tcW w:w="1020" w:type="dxa"/>
            <w:vAlign w:val="bottom"/>
            <w:tcBorders>
              <w:top w:val="single" w:sz="8" w:color="auto"/>
            </w:tcBorders>
          </w:tcPr>
          <w:p>
            <w:pPr>
              <w:spacing w:after="0" w:line="166" w:lineRule="exact"/>
              <w:rPr>
                <w:sz w:val="20"/>
                <w:szCs w:val="20"/>
                <w:color w:val="auto"/>
              </w:rPr>
            </w:pPr>
            <w:r>
              <w:rPr>
                <w:rFonts w:ascii="Times New Roman" w:cs="Times New Roman" w:eastAsia="Times New Roman" w:hAnsi="Times New Roman"/>
                <w:sz w:val="16"/>
                <w:szCs w:val="16"/>
                <w:color w:val="auto"/>
              </w:rPr>
              <w:t>3.8</w:t>
            </w:r>
          </w:p>
        </w:tc>
        <w:tc>
          <w:tcPr>
            <w:tcW w:w="1100" w:type="dxa"/>
            <w:vAlign w:val="bottom"/>
          </w:tcPr>
          <w:p>
            <w:pPr>
              <w:spacing w:after="0"/>
              <w:rPr>
                <w:sz w:val="14"/>
                <w:szCs w:val="14"/>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(a)(2)</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(a)(3)</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(a)(4)</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(a)(5)</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3.7, 3.9</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311(a)</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312(a)</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4.1, 4.2(a)</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4.2(b)</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4.2(c)</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313(a)</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4.3(a)</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4.3(a)</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4.3(a)</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4.3(b)</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314(a)</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(c)(1)</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1.2(a)</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(c)(2)</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1.2(a)</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(c)(3)</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1.2(b)</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315(a)</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3.1(a), 3.1(b)</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7.11</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3.1(a)</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3.1(c)</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(d)(1)</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3.1(a), 3.1(b)</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(d)(2)</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3.1(c)(ii)</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(d)(3)</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3.1(c)(iii)</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7.12</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316(a)(last sentence)</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1.1 (Definition of “Outstanding”)</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(a)(1)(A)</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7.9</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(a)(1)(B)</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7.10</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(a)(2)</w:t>
            </w:r>
          </w:p>
        </w:tc>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7.7</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317(a)(1)</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7.2</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(a)(2)</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7.2</w:t>
            </w:r>
          </w:p>
        </w:tc>
        <w:tc>
          <w:tcPr>
            <w:tcW w:w="1100" w:type="dxa"/>
            <w:vAlign w:val="bottom"/>
          </w:tcPr>
          <w:p>
            <w:pPr>
              <w:spacing w:after="0"/>
              <w:rPr>
                <w:sz w:val="16"/>
                <w:szCs w:val="16"/>
                <w:color w:val="auto"/>
              </w:rPr>
            </w:pPr>
          </w:p>
        </w:tc>
      </w:tr>
      <w:tr>
        <w:trPr>
          <w:trHeight w:val="190"/>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6.3</w:t>
            </w:r>
          </w:p>
        </w:tc>
        <w:tc>
          <w:tcPr>
            <w:tcW w:w="1100" w:type="dxa"/>
            <w:vAlign w:val="bottom"/>
          </w:tcPr>
          <w:p>
            <w:pPr>
              <w:spacing w:after="0"/>
              <w:rPr>
                <w:sz w:val="16"/>
                <w:szCs w:val="16"/>
                <w:color w:val="auto"/>
              </w:rPr>
            </w:pPr>
          </w:p>
        </w:tc>
      </w:tr>
      <w:tr>
        <w:trPr>
          <w:trHeight w:val="207"/>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318(a)</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1.7</w:t>
            </w:r>
          </w:p>
        </w:tc>
        <w:tc>
          <w:tcPr>
            <w:tcW w:w="1100" w:type="dxa"/>
            <w:vAlign w:val="bottom"/>
          </w:tcPr>
          <w:p>
            <w:pPr>
              <w:spacing w:after="0"/>
              <w:rPr>
                <w:sz w:val="18"/>
                <w:szCs w:val="18"/>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This reconciliation and tie shall not, for any purpose, be deemed to be a part of this CVR Agreement.</w:t>
      </w:r>
    </w:p>
    <w:p>
      <w:pPr>
        <w:spacing w:after="0" w:line="13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iv</w:t>
      </w:r>
    </w:p>
    <w:p>
      <w:pPr>
        <w:sectPr>
          <w:pgSz w:w="11900" w:h="16838" w:orient="portrait"/>
          <w:cols w:equalWidth="0" w:num="1">
            <w:col w:w="9379"/>
          </w:cols>
          <w:pgMar w:left="1080" w:top="254" w:right="1440" w:bottom="1440" w:gutter="0" w:footer="0" w:header="0"/>
        </w:sectPr>
      </w:pPr>
    </w:p>
    <w:bookmarkStart w:id="182" w:name="page183"/>
    <w:bookmarkEnd w:id="182"/>
    <w:p>
      <w:pPr>
        <w:ind w:right="420" w:firstLine="388"/>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THIS CONTINGENT VALUE RIGHTS AGREEMENT, dated as of [•] (this “</w:t>
      </w:r>
      <w:r>
        <w:rPr>
          <w:rFonts w:ascii="Times New Roman" w:cs="Times New Roman" w:eastAsia="Times New Roman" w:hAnsi="Times New Roman"/>
          <w:sz w:val="16"/>
          <w:szCs w:val="16"/>
          <w:u w:val="single" w:color="auto"/>
          <w:color w:val="auto"/>
        </w:rPr>
        <w:t>CVR Agreemen</w:t>
      </w:r>
      <w:r>
        <w:rPr>
          <w:rFonts w:ascii="Times New Roman" w:cs="Times New Roman" w:eastAsia="Times New Roman" w:hAnsi="Times New Roman"/>
          <w:sz w:val="16"/>
          <w:szCs w:val="16"/>
          <w:color w:val="auto"/>
        </w:rPr>
        <w:t>t”), by and among Illumina, Inc., a Delaware corporation (the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 a national banking association,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and [•], a [•], as Holder Representative (the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 in favor of each person who from time to time holds one or more Contingent Value Rights (the “</w:t>
      </w:r>
      <w:r>
        <w:rPr>
          <w:rFonts w:ascii="Times New Roman" w:cs="Times New Roman" w:eastAsia="Times New Roman" w:hAnsi="Times New Roman"/>
          <w:sz w:val="16"/>
          <w:szCs w:val="16"/>
          <w:u w:val="single" w:color="auto"/>
          <w:color w:val="auto"/>
        </w:rPr>
        <w:t>CVRs</w:t>
      </w:r>
      <w:r>
        <w:rPr>
          <w:rFonts w:ascii="Times New Roman" w:cs="Times New Roman" w:eastAsia="Times New Roman" w:hAnsi="Times New Roman"/>
          <w:sz w:val="16"/>
          <w:szCs w:val="16"/>
          <w:color w:val="auto"/>
        </w:rPr>
        <w:t>” and, each individually, a “</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to receive cash payments in the amounts and subject to the terms and conditions set forth herein.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W I T N E S S E T H:</w:t>
      </w:r>
    </w:p>
    <w:p>
      <w:pPr>
        <w:spacing w:after="0" w:line="197" w:lineRule="exact"/>
        <w:rPr>
          <w:sz w:val="20"/>
          <w:szCs w:val="20"/>
          <w:color w:val="auto"/>
        </w:rPr>
      </w:pPr>
    </w:p>
    <w:p>
      <w:pPr>
        <w:ind w:right="240" w:firstLine="388"/>
        <w:spacing w:after="0" w:line="258" w:lineRule="auto"/>
        <w:rPr>
          <w:sz w:val="20"/>
          <w:szCs w:val="20"/>
          <w:color w:val="auto"/>
        </w:rPr>
      </w:pPr>
      <w:r>
        <w:rPr>
          <w:rFonts w:ascii="Times New Roman" w:cs="Times New Roman" w:eastAsia="Times New Roman" w:hAnsi="Times New Roman"/>
          <w:sz w:val="16"/>
          <w:szCs w:val="16"/>
          <w:color w:val="auto"/>
        </w:rPr>
        <w:t>WHEREAS, this CVR Agreement is entered into pursuant to the Agreement and Plan of Merger, dated as of September 20, 2020 (as amended prior to the effective time thereof, the “</w:t>
      </w:r>
      <w:r>
        <w:rPr>
          <w:rFonts w:ascii="Times New Roman" w:cs="Times New Roman" w:eastAsia="Times New Roman" w:hAnsi="Times New Roman"/>
          <w:sz w:val="16"/>
          <w:szCs w:val="16"/>
          <w:u w:val="single" w:color="auto"/>
          <w:color w:val="auto"/>
        </w:rPr>
        <w:t>Merger Agreemen</w:t>
      </w:r>
      <w:r>
        <w:rPr>
          <w:rFonts w:ascii="Times New Roman" w:cs="Times New Roman" w:eastAsia="Times New Roman" w:hAnsi="Times New Roman"/>
          <w:sz w:val="16"/>
          <w:szCs w:val="16"/>
          <w:color w:val="auto"/>
        </w:rPr>
        <w:t>t”), by and among Parent, SDG Ops, Inc., a Delaware corporation and direct, wholly owned Subsidiary of Parent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SDG Ops, LLC, a Delaware limited liability company and a direct, wholly owned subsidiary of Parent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and GRAIL,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0" w:firstLine="388"/>
        <w:spacing w:after="0" w:line="253" w:lineRule="auto"/>
        <w:rPr>
          <w:sz w:val="20"/>
          <w:szCs w:val="20"/>
          <w:color w:val="auto"/>
        </w:rPr>
      </w:pPr>
      <w:r>
        <w:rPr>
          <w:rFonts w:ascii="Times New Roman" w:cs="Times New Roman" w:eastAsia="Times New Roman" w:hAnsi="Times New Roman"/>
          <w:sz w:val="16"/>
          <w:szCs w:val="16"/>
          <w:color w:val="auto"/>
        </w:rPr>
        <w:t>WHEREAS, pursuant to the Merger Agreement, Parent, First Merger Sub, Second Merger Sub and the Company have agreed to enter into a business combination transaction pursuant to which (a) First Merger Sub will merge with and into the Company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with the Company being the surviving corporation (the Company, in its capacity as the surviving corporation of the First Merger, is sometimes referred to as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and (b) immediately following the First Merger and as part of the same overall transaction as the First Merger, the Surviving Corporation will merge with and into the Second Merger Sub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with Second Merger Sub being the surviving company of the Second Merger (Second Merger Sub, in its capacity as the surviving company of the Second Merger, is sometimes referred to as the “</w:t>
      </w:r>
      <w:r>
        <w:rPr>
          <w:rFonts w:ascii="Times New Roman" w:cs="Times New Roman" w:eastAsia="Times New Roman" w:hAnsi="Times New Roman"/>
          <w:sz w:val="16"/>
          <w:szCs w:val="16"/>
          <w:u w:val="single" w:color="auto"/>
          <w:color w:val="auto"/>
        </w:rPr>
        <w:t>Surviving Entity</w:t>
      </w:r>
      <w:r>
        <w:rPr>
          <w:rFonts w:ascii="Times New Roman" w:cs="Times New Roman" w:eastAsia="Times New Roman" w:hAnsi="Times New Roman"/>
          <w:sz w:val="16"/>
          <w:szCs w:val="16"/>
          <w:color w:val="auto"/>
        </w:rPr>
        <w:t>” or the Company); and</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WHEREAS, the CVRs shall be issued in accordance with and pursuant to the terms and conditions of the Merger Agreement.</w:t>
      </w:r>
    </w:p>
    <w:p>
      <w:pPr>
        <w:spacing w:after="0" w:line="197" w:lineRule="exact"/>
        <w:rPr>
          <w:sz w:val="20"/>
          <w:szCs w:val="20"/>
          <w:color w:val="auto"/>
        </w:rPr>
      </w:pPr>
    </w:p>
    <w:p>
      <w:pPr>
        <w:ind w:right="700" w:firstLine="388"/>
        <w:spacing w:after="0" w:line="278" w:lineRule="auto"/>
        <w:rPr>
          <w:sz w:val="20"/>
          <w:szCs w:val="20"/>
          <w:color w:val="auto"/>
        </w:rPr>
      </w:pPr>
      <w:r>
        <w:rPr>
          <w:rFonts w:ascii="Times New Roman" w:cs="Times New Roman" w:eastAsia="Times New Roman" w:hAnsi="Times New Roman"/>
          <w:sz w:val="16"/>
          <w:szCs w:val="16"/>
          <w:color w:val="auto"/>
        </w:rPr>
        <w:t>NOW, THEREFORE, in consideration of the foregoing premises and the consummation of the transactions contemplated by the Merger Agreement, it is covenanted and agreed, for the equal and proportionate benefit of all Holders, as follows: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DEFINITIONS AND OTHER PROVISIONS OF GENERAL APPLICATION</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For all purposes of this CVR Agreement, except as otherwise expressly provided or unless the context otherwise requires:</w:t>
      </w:r>
    </w:p>
    <w:p>
      <w:pPr>
        <w:spacing w:after="0" w:line="113" w:lineRule="exact"/>
        <w:rPr>
          <w:sz w:val="20"/>
          <w:szCs w:val="20"/>
          <w:color w:val="auto"/>
        </w:rPr>
      </w:pPr>
    </w:p>
    <w:p>
      <w:pPr>
        <w:ind w:left="620" w:hanging="223"/>
        <w:spacing w:after="0"/>
        <w:tabs>
          <w:tab w:leader="none" w:pos="6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defined in this Article 1 have the meanings assigned to them in this Article 1, and include the plural as well as the singular;</w:t>
      </w:r>
    </w:p>
    <w:p>
      <w:pPr>
        <w:spacing w:after="0" w:line="101" w:lineRule="exact"/>
        <w:rPr>
          <w:rFonts w:ascii="Times New Roman" w:cs="Times New Roman" w:eastAsia="Times New Roman" w:hAnsi="Times New Roman"/>
          <w:sz w:val="16"/>
          <w:szCs w:val="16"/>
          <w:color w:val="auto"/>
        </w:rPr>
      </w:pPr>
    </w:p>
    <w:p>
      <w:pPr>
        <w:ind w:right="160" w:firstLine="397"/>
        <w:spacing w:after="0" w:line="278" w:lineRule="auto"/>
        <w:tabs>
          <w:tab w:leader="none" w:pos="613"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accounting terms used herein and not expressly defined herein shall, except as otherwise noted, have the meanings assigned to such terms in accordance with applicable Accounting Standards, where “</w:t>
      </w:r>
      <w:r>
        <w:rPr>
          <w:rFonts w:ascii="Times New Roman" w:cs="Times New Roman" w:eastAsia="Times New Roman" w:hAnsi="Times New Roman"/>
          <w:sz w:val="16"/>
          <w:szCs w:val="16"/>
          <w:u w:val="single" w:color="auto"/>
          <w:color w:val="auto"/>
        </w:rPr>
        <w:t>Accounting Standards</w:t>
      </w:r>
      <w:r>
        <w:rPr>
          <w:rFonts w:ascii="Times New Roman" w:cs="Times New Roman" w:eastAsia="Times New Roman" w:hAnsi="Times New Roman"/>
          <w:sz w:val="16"/>
          <w:szCs w:val="16"/>
          <w:color w:val="auto"/>
        </w:rPr>
        <w:t>” means GAAP;</w:t>
      </w:r>
    </w:p>
    <w:p>
      <w:pPr>
        <w:spacing w:after="0" w:line="49" w:lineRule="exact"/>
        <w:rPr>
          <w:rFonts w:ascii="Times New Roman" w:cs="Times New Roman" w:eastAsia="Times New Roman" w:hAnsi="Times New Roman"/>
          <w:sz w:val="16"/>
          <w:szCs w:val="16"/>
          <w:color w:val="auto"/>
        </w:rPr>
      </w:pPr>
    </w:p>
    <w:p>
      <w:pPr>
        <w:ind w:right="540" w:firstLine="397"/>
        <w:spacing w:after="0" w:line="278" w:lineRule="auto"/>
        <w:tabs>
          <w:tab w:leader="none" w:pos="604"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capitalized terms used in this CVR Agreement without definition shall have the respective meanings ascribed to them in the Merger Agreement;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20"/>
          </w:cols>
          <w:pgMar w:left="1080" w:top="254" w:right="1099" w:bottom="1440" w:gutter="0" w:footer="0" w:header="0"/>
        </w:sectPr>
      </w:pPr>
    </w:p>
    <w:bookmarkStart w:id="183" w:name="page184"/>
    <w:bookmarkEnd w:id="183"/>
    <w:p>
      <w:pPr>
        <w:ind w:right="260" w:firstLine="397"/>
        <w:spacing w:after="0" w:line="278" w:lineRule="auto"/>
        <w:tabs>
          <w:tab w:leader="none" w:pos="613"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all other terms used herein which are defined in the Trust Indenture Act (as defined herein), either directly or by reference therein, have the respective meanings assigned to them therein;</w:t>
      </w:r>
    </w:p>
    <w:p>
      <w:pPr>
        <w:spacing w:after="0" w:line="49" w:lineRule="exact"/>
        <w:rPr>
          <w:rFonts w:ascii="Times New Roman" w:cs="Times New Roman" w:eastAsia="Times New Roman" w:hAnsi="Times New Roman"/>
          <w:sz w:val="16"/>
          <w:szCs w:val="16"/>
          <w:color w:val="auto"/>
        </w:rPr>
      </w:pPr>
    </w:p>
    <w:p>
      <w:pPr>
        <w:ind w:right="480" w:firstLine="397"/>
        <w:spacing w:after="0" w:line="278" w:lineRule="auto"/>
        <w:tabs>
          <w:tab w:leader="none" w:pos="604"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w:t>
      </w:r>
      <w:r>
        <w:rPr>
          <w:rFonts w:ascii="Times New Roman" w:cs="Times New Roman" w:eastAsia="Times New Roman" w:hAnsi="Times New Roman"/>
          <w:sz w:val="16"/>
          <w:szCs w:val="16"/>
          <w:u w:val="single" w:color="auto"/>
          <w:color w:val="auto"/>
        </w:rPr>
        <w:t>herein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hereof</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hereunder</w:t>
      </w:r>
      <w:r>
        <w:rPr>
          <w:rFonts w:ascii="Times New Roman" w:cs="Times New Roman" w:eastAsia="Times New Roman" w:hAnsi="Times New Roman"/>
          <w:sz w:val="16"/>
          <w:szCs w:val="16"/>
          <w:color w:val="auto"/>
        </w:rPr>
        <w:t>” and other words of similar import refer to this CVR Agreement as a whole and not to any particular Article, Section or other subdivision; and</w:t>
      </w:r>
    </w:p>
    <w:p>
      <w:pPr>
        <w:spacing w:after="0" w:line="49" w:lineRule="exact"/>
        <w:rPr>
          <w:rFonts w:ascii="Times New Roman" w:cs="Times New Roman" w:eastAsia="Times New Roman" w:hAnsi="Times New Roman"/>
          <w:sz w:val="16"/>
          <w:szCs w:val="16"/>
          <w:color w:val="auto"/>
        </w:rPr>
      </w:pPr>
    </w:p>
    <w:p>
      <w:pPr>
        <w:ind w:left="600" w:hanging="203"/>
        <w:spacing w:after="0"/>
        <w:tabs>
          <w:tab w:leader="none" w:pos="6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“include,” “includes” or “including” are deemed to be followed by the words “without limitation”.</w:t>
      </w:r>
    </w:p>
    <w:p>
      <w:pPr>
        <w:spacing w:after="0" w:line="197" w:lineRule="exact"/>
        <w:rPr>
          <w:sz w:val="20"/>
          <w:szCs w:val="20"/>
          <w:color w:val="auto"/>
        </w:rPr>
      </w:pPr>
    </w:p>
    <w:p>
      <w:pPr>
        <w:ind w:right="46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 Person means a Person who, directly or indirectly through one or more intermediaries, controls, is controlled by, or is under common control with, such Person.</w:t>
      </w:r>
    </w:p>
    <w:p>
      <w:pPr>
        <w:spacing w:after="0" w:line="145"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Percentage</w:t>
      </w:r>
      <w:r>
        <w:rPr>
          <w:rFonts w:ascii="Times New Roman" w:cs="Times New Roman" w:eastAsia="Times New Roman" w:hAnsi="Times New Roman"/>
          <w:sz w:val="16"/>
          <w:szCs w:val="16"/>
          <w:color w:val="auto"/>
        </w:rPr>
        <w:t>” means, as of a specified date, (a) a percentage equal to 30% (measured by the projected Covered Revenues of Applicable Products of Parent and its Subsidiaries for the period from such specified date through the End Date) less (b) the percentage of projected Covered Revenues of Applicable Products of Parent and its Subsidiaries that have been sold, transferred, conveyed, leased, exclusively licensed (or licensed pursuant to another licensing arrangement or arrangements involving Intellectual Property that operate to transfer a substantial portion of the value of such Intellectual Property) or otherwise disposed of in connection with prior Minority Transactions (measured in accordance with immediately foregoing clause (a) as of the date of such Disposition).</w:t>
      </w:r>
    </w:p>
    <w:p>
      <w:pPr>
        <w:spacing w:after="0" w:line="165" w:lineRule="exact"/>
        <w:rPr>
          <w:sz w:val="20"/>
          <w:szCs w:val="20"/>
          <w:color w:val="auto"/>
        </w:rPr>
      </w:pPr>
    </w:p>
    <w:p>
      <w:pPr>
        <w:ind w:right="4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Products</w:t>
      </w:r>
      <w:r>
        <w:rPr>
          <w:rFonts w:ascii="Times New Roman" w:cs="Times New Roman" w:eastAsia="Times New Roman" w:hAnsi="Times New Roman"/>
          <w:sz w:val="16"/>
          <w:szCs w:val="16"/>
          <w:color w:val="auto"/>
        </w:rPr>
        <w:t>” means the Products referred to in clauses (a), (b) and (e) of the definition of Covered Revenues. If a Product that was a Bundled Product or Service ceases to be a Bundled Product or Service, then effective as of the date on which such Product ceases to be a Bundled Product or Service, it will not be an Applicable Product for any purpose under this CVR Agreement for so long as it is not a Bundled Product or Service and does not and would not generate Covered Revenues on a standalone basis.</w:t>
      </w:r>
    </w:p>
    <w:p>
      <w:pPr>
        <w:spacing w:after="0" w:line="161" w:lineRule="exact"/>
        <w:rPr>
          <w:sz w:val="20"/>
          <w:szCs w:val="20"/>
          <w:color w:val="auto"/>
        </w:rPr>
      </w:pPr>
    </w:p>
    <w:p>
      <w:pPr>
        <w:ind w:right="10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means the board of directors of Parent or any other body performing similar functions, or any duly authorized committee of that board.</w:t>
      </w:r>
    </w:p>
    <w:p>
      <w:pPr>
        <w:spacing w:after="0" w:line="145" w:lineRule="exact"/>
        <w:rPr>
          <w:sz w:val="20"/>
          <w:szCs w:val="20"/>
          <w:color w:val="auto"/>
        </w:rPr>
      </w:pPr>
    </w:p>
    <w:p>
      <w:pPr>
        <w:ind w:right="14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Resolution</w:t>
      </w:r>
      <w:r>
        <w:rPr>
          <w:rFonts w:ascii="Times New Roman" w:cs="Times New Roman" w:eastAsia="Times New Roman" w:hAnsi="Times New Roman"/>
          <w:sz w:val="16"/>
          <w:szCs w:val="16"/>
          <w:color w:val="auto"/>
        </w:rPr>
        <w:t>” means a copy of a resolution certified by the Secretary or an Assistant Secretary of Parent, to have been duly adopted by the Board of Directors or a written consent signed by the requisite directors serving on the Board of Directors and, in either case, that is in full force and effect on the date of such certification, and delivered to the Trustee.</w:t>
      </w:r>
    </w:p>
    <w:p>
      <w:pPr>
        <w:spacing w:after="0" w:line="157" w:lineRule="exact"/>
        <w:rPr>
          <w:sz w:val="20"/>
          <w:szCs w:val="20"/>
          <w:color w:val="auto"/>
        </w:rPr>
      </w:pPr>
    </w:p>
    <w:p>
      <w:pPr>
        <w:ind w:right="24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Bundled Product or Service</w:t>
      </w:r>
      <w:r>
        <w:rPr>
          <w:rFonts w:ascii="Times New Roman" w:cs="Times New Roman" w:eastAsia="Times New Roman" w:hAnsi="Times New Roman"/>
          <w:sz w:val="16"/>
          <w:szCs w:val="16"/>
          <w:color w:val="auto"/>
        </w:rPr>
        <w:t>” means any Product or Service of Parent and its Subsidiaries included within Covered Revenues as a result of the application of the final sentence of the definition of “Field” and does not generate Covered Revenues on a standalone basis.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on which banks are not required or authorized to close in the City of New York.</w:t>
      </w:r>
    </w:p>
    <w:p>
      <w:pPr>
        <w:spacing w:after="0" w:line="197" w:lineRule="exact"/>
        <w:rPr>
          <w:sz w:val="20"/>
          <w:szCs w:val="20"/>
          <w:color w:val="auto"/>
        </w:rPr>
      </w:pPr>
    </w:p>
    <w:p>
      <w:pPr>
        <w:jc w:val="both"/>
        <w:ind w:right="12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Commencement Date</w:t>
      </w:r>
      <w:r>
        <w:rPr>
          <w:rFonts w:ascii="Times New Roman" w:cs="Times New Roman" w:eastAsia="Times New Roman" w:hAnsi="Times New Roman"/>
          <w:sz w:val="16"/>
          <w:szCs w:val="16"/>
          <w:color w:val="auto"/>
        </w:rPr>
        <w:t xml:space="preserve">” means the later of (a) the Closing Date and (b) (i) the date that the Company’s Galleri early detection test first becomes commercially available in the United States as a laboratory developed test, based on the date of any press release or other public announcement related to such event, or (ii) such earlier date (on or after the Closing Date) that the Holder Representative specifies in writing to Parent upon five days’ prior notice;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any event the Commencement Date shall be no later than December 31, 2022.</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shall have the meaning set forth in Section 6.8 of this CVR Agreement.</w:t>
      </w:r>
    </w:p>
    <w:p>
      <w:pPr>
        <w:spacing w:after="0" w:line="1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00"/>
          </w:cols>
          <w:pgMar w:left="1080" w:top="254" w:right="1119" w:bottom="1440" w:gutter="0" w:footer="0" w:header="0"/>
        </w:sectPr>
      </w:pPr>
    </w:p>
    <w:bookmarkStart w:id="184" w:name="page185"/>
    <w:bookmarkEnd w:id="184"/>
    <w:p>
      <w:pPr>
        <w:ind w:firstLine="388"/>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Consideration</w:t>
      </w:r>
      <w:r>
        <w:rPr>
          <w:rFonts w:ascii="Times New Roman" w:cs="Times New Roman" w:eastAsia="Times New Roman" w:hAnsi="Times New Roman"/>
          <w:sz w:val="15"/>
          <w:szCs w:val="15"/>
          <w:color w:val="auto"/>
        </w:rPr>
        <w:t>” means (a) the total value of all cash, securities and other property paid or payable, directly or indirectly, by a purchaser to Parent or its Subsidiaries in connection with a transaction, plus, without duplication, (b) the aggregate principal amount of all indebtedness for borrowed money (including capitalized leases and preferred equity obligations) of Parent or its Subsidiaries, directly or indirectly, assumed by the transferee or acquiror in such transaction or refinanced (including any premiums paid) or extinguished by the transferee or acquiror in connection with such transaction. If any portion of Consideration is subject to increase by payments related to future events contingent or otherwise (including amounts paid into escrow), then the amount of such Consideration will be calculated based on the present value of such payments as mutually agreed upon in good faith by Parent and the Holder Representative. Non-cash consideration consisting of publicly traded securities shall be valued as set forth in the definitive agreement for the transaction or, if not so specified, at the average of their closing prices for the five trading days immediately prior to the closing of the transaction and any other non-cash consideration shall be valued at the fair market value thereof as determined in good faith by Parent and the Holder Representative.</w:t>
      </w:r>
    </w:p>
    <w:p>
      <w:pPr>
        <w:spacing w:after="0" w:line="158" w:lineRule="exact"/>
        <w:rPr>
          <w:sz w:val="20"/>
          <w:szCs w:val="20"/>
          <w:color w:val="auto"/>
        </w:rPr>
      </w:pPr>
    </w:p>
    <w:p>
      <w:pPr>
        <w:ind w:right="16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(including the terms “</w:t>
      </w:r>
      <w:r>
        <w:rPr>
          <w:rFonts w:ascii="Times New Roman" w:cs="Times New Roman" w:eastAsia="Times New Roman" w:hAnsi="Times New Roman"/>
          <w:sz w:val="16"/>
          <w:szCs w:val="16"/>
          <w:u w:val="single" w:color="auto"/>
          <w:color w:val="auto"/>
        </w:rPr>
        <w:t>controlled by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under common control with</w:t>
      </w:r>
      <w:r>
        <w:rPr>
          <w:rFonts w:ascii="Times New Roman" w:cs="Times New Roman" w:eastAsia="Times New Roman" w:hAnsi="Times New Roman"/>
          <w:sz w:val="16"/>
          <w:szCs w:val="16"/>
          <w:color w:val="auto"/>
        </w:rPr>
        <w:t>”)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p>
    <w:p>
      <w:pPr>
        <w:spacing w:after="0" w:line="157" w:lineRule="exact"/>
        <w:rPr>
          <w:sz w:val="20"/>
          <w:szCs w:val="20"/>
          <w:color w:val="auto"/>
        </w:rPr>
      </w:pPr>
    </w:p>
    <w:p>
      <w:pPr>
        <w:ind w:right="7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Corporate Trust Office</w:t>
      </w:r>
      <w:r>
        <w:rPr>
          <w:rFonts w:ascii="Times New Roman" w:cs="Times New Roman" w:eastAsia="Times New Roman" w:hAnsi="Times New Roman"/>
          <w:sz w:val="16"/>
          <w:szCs w:val="16"/>
          <w:color w:val="auto"/>
        </w:rPr>
        <w:t>” means the office of the Trustee at which at any particular time its corporate trust business shall be principally administered, which office at the date of execution of this CVR Agreement is located at [•].</w:t>
      </w:r>
    </w:p>
    <w:p>
      <w:pPr>
        <w:spacing w:after="0" w:line="145" w:lineRule="exact"/>
        <w:rPr>
          <w:sz w:val="20"/>
          <w:szCs w:val="20"/>
          <w:color w:val="auto"/>
        </w:rPr>
      </w:pPr>
    </w:p>
    <w:p>
      <w:pPr>
        <w:ind w:right="180" w:firstLine="388"/>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Products and Services</w:t>
      </w:r>
      <w:r>
        <w:rPr>
          <w:rFonts w:ascii="Times New Roman" w:cs="Times New Roman" w:eastAsia="Times New Roman" w:hAnsi="Times New Roman"/>
          <w:sz w:val="16"/>
          <w:szCs w:val="16"/>
          <w:color w:val="auto"/>
        </w:rPr>
        <w:t>” means the Products and Services referred to in clauses (a) and (b) of the definition of Covered Revenues, the Samples referred to in clause (d) of the definition of Covered Revenues and the Products, Services and Data referred to in the definition of “Sale of Data” referenced in clause (e) of the definition of “Covered Revenues”. If a Product or Service that was a Bundled Product or Service ceases to be a Bundled Product or Service, then effective as of the date on which such Product or Service ceases to be a Bundled Product or Service, it will not be a Covered Product and Service for any purpose under this CVR Agreement for so long as it is not a Bundled Product or Service and does not and would not generate Covered Revenues on a standalone basis.</w:t>
      </w:r>
    </w:p>
    <w:p>
      <w:pPr>
        <w:spacing w:after="0" w:line="165" w:lineRule="exact"/>
        <w:rPr>
          <w:sz w:val="20"/>
          <w:szCs w:val="20"/>
          <w:color w:val="auto"/>
        </w:rPr>
      </w:pPr>
    </w:p>
    <w:p>
      <w:pPr>
        <w:ind w:right="26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Revenues</w:t>
      </w:r>
      <w:r>
        <w:rPr>
          <w:rFonts w:ascii="Times New Roman" w:cs="Times New Roman" w:eastAsia="Times New Roman" w:hAnsi="Times New Roman"/>
          <w:sz w:val="16"/>
          <w:szCs w:val="16"/>
          <w:color w:val="auto"/>
        </w:rPr>
        <w:t>” means, for any Covered Revenues Measuring Period or any Threshold Measuring Period (including, for the avoidance of doubt, the First Threshold Measuring Period and the Final Threshold Measuring Period), without duplication:</w:t>
      </w:r>
    </w:p>
    <w:p>
      <w:pPr>
        <w:spacing w:after="0" w:line="50" w:lineRule="exact"/>
        <w:rPr>
          <w:sz w:val="20"/>
          <w:szCs w:val="20"/>
          <w:color w:val="auto"/>
        </w:rPr>
      </w:pPr>
    </w:p>
    <w:p>
      <w:pPr>
        <w:ind w:firstLine="397"/>
        <w:spacing w:after="0" w:line="278" w:lineRule="auto"/>
        <w:tabs>
          <w:tab w:leader="none" w:pos="604"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Sales of any Products or Services designed and Sold for use in the Field, in each case utilizing any Methylation-based Technology, whether in whole or in part; </w:t>
      </w:r>
      <w:r>
        <w:rPr>
          <w:rFonts w:ascii="Times New Roman" w:cs="Times New Roman" w:eastAsia="Times New Roman" w:hAnsi="Times New Roman"/>
          <w:sz w:val="16"/>
          <w:szCs w:val="16"/>
          <w:u w:val="single" w:color="auto"/>
          <w:color w:val="auto"/>
        </w:rPr>
        <w:t>plus</w:t>
      </w:r>
    </w:p>
    <w:p>
      <w:pPr>
        <w:spacing w:after="0" w:line="49"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Sales of the Minimal Residual Disease Test for Therapy Selection; </w:t>
      </w:r>
      <w:r>
        <w:rPr>
          <w:rFonts w:ascii="Times New Roman" w:cs="Times New Roman" w:eastAsia="Times New Roman" w:hAnsi="Times New Roman"/>
          <w:sz w:val="16"/>
          <w:szCs w:val="16"/>
          <w:u w:val="single" w:color="auto"/>
          <w:color w:val="auto"/>
        </w:rPr>
        <w:t>plus</w:t>
      </w:r>
    </w:p>
    <w:p>
      <w:pPr>
        <w:spacing w:after="0" w:line="10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Covered Revenue of Parent and its Subsidiaries on a consolidated basis; </w:t>
      </w:r>
      <w:r>
        <w:rPr>
          <w:rFonts w:ascii="Times New Roman" w:cs="Times New Roman" w:eastAsia="Times New Roman" w:hAnsi="Times New Roman"/>
          <w:sz w:val="16"/>
          <w:szCs w:val="16"/>
          <w:u w:val="single" w:color="auto"/>
          <w:color w:val="auto"/>
        </w:rPr>
        <w:t>plus</w:t>
      </w:r>
    </w:p>
    <w:p>
      <w:pPr>
        <w:spacing w:after="0" w:line="101" w:lineRule="exact"/>
        <w:rPr>
          <w:rFonts w:ascii="Times New Roman" w:cs="Times New Roman" w:eastAsia="Times New Roman" w:hAnsi="Times New Roman"/>
          <w:sz w:val="16"/>
          <w:szCs w:val="16"/>
          <w:color w:val="auto"/>
        </w:rPr>
      </w:pPr>
    </w:p>
    <w:p>
      <w:pPr>
        <w:ind w:right="540" w:firstLine="397"/>
        <w:spacing w:after="0" w:line="263" w:lineRule="auto"/>
        <w:tabs>
          <w:tab w:leader="none" w:pos="613"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revenue of Parent and its Subsidiaries on a consolidated basis in connection with the use or license of Samples, and Net Sales of Samples, in each case for any purpose so long as such Samples were generated or collected by the Company or its Subsidiaries or (following the Closing) Parent or its Subsidiaries from activities within the Field; </w:t>
      </w:r>
      <w:r>
        <w:rPr>
          <w:rFonts w:ascii="Times New Roman" w:cs="Times New Roman" w:eastAsia="Times New Roman" w:hAnsi="Times New Roman"/>
          <w:sz w:val="16"/>
          <w:szCs w:val="16"/>
          <w:u w:val="single" w:color="auto"/>
          <w:color w:val="auto"/>
        </w:rPr>
        <w:t>plus</w:t>
      </w:r>
    </w:p>
    <w:p>
      <w:pPr>
        <w:spacing w:after="0" w:line="6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Sales from the Sale of Data; </w:t>
      </w:r>
      <w:r>
        <w:rPr>
          <w:rFonts w:ascii="Times New Roman" w:cs="Times New Roman" w:eastAsia="Times New Roman" w:hAnsi="Times New Roman"/>
          <w:sz w:val="16"/>
          <w:szCs w:val="16"/>
          <w:u w:val="single" w:color="auto"/>
          <w:color w:val="auto"/>
        </w:rPr>
        <w:t>plus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20"/>
          </w:cols>
          <w:pgMar w:left="1080" w:top="254" w:right="1099" w:bottom="1440" w:gutter="0" w:footer="0" w:header="0"/>
        </w:sectPr>
      </w:pPr>
    </w:p>
    <w:bookmarkStart w:id="185" w:name="page186"/>
    <w:bookmarkEnd w:id="185"/>
    <w:p>
      <w:pPr>
        <w:ind w:right="100" w:firstLine="397"/>
        <w:spacing w:after="0" w:line="263" w:lineRule="auto"/>
        <w:tabs>
          <w:tab w:leader="none" w:pos="586"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the portion of the Consideration attributable to the Applicable Products or any other assets or rights, including Intellectual Property, Data, and Samples, in each case that generate Covered Revenues (other than in connection with a Specified Asset Sale), in each case Disposed of in a Minority Transaction; </w:t>
      </w:r>
      <w:r>
        <w:rPr>
          <w:rFonts w:ascii="Times New Roman" w:cs="Times New Roman" w:eastAsia="Times New Roman" w:hAnsi="Times New Roman"/>
          <w:sz w:val="16"/>
          <w:szCs w:val="16"/>
          <w:u w:val="single" w:color="auto"/>
          <w:color w:val="auto"/>
        </w:rPr>
        <w:t>less</w:t>
      </w:r>
    </w:p>
    <w:p>
      <w:pPr>
        <w:spacing w:after="0" w:line="6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Permitted Deductions to the extent not already deducted in calculating any of the foregoing clauses (a) through (f);</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Covered Revenues shall exclude payments received in the form of grants for research from governmental entities or non-profit organizations. Notwithstanding anything to the contrary set forth herein, Covered Revenues shall exclude in all cases any revenue of Parent and its Subsidiaries to the extent generated from (A) Parent’s and its Subsidiaries’ general purpose instruments and reagents used for nucleic acid clustering and sequencing-by-synthesis or (B) Parent’s and its Subsidiaries’ general purpose analysis software for DNA base calling and sequence alignment.</w:t>
      </w:r>
    </w:p>
    <w:p>
      <w:pPr>
        <w:spacing w:after="0" w:line="161" w:lineRule="exact"/>
        <w:rPr>
          <w:sz w:val="20"/>
          <w:szCs w:val="20"/>
          <w:color w:val="auto"/>
        </w:rPr>
      </w:pPr>
    </w:p>
    <w:p>
      <w:pPr>
        <w:ind w:right="200" w:firstLine="388"/>
        <w:spacing w:after="0" w:line="255" w:lineRule="auto"/>
        <w:rPr>
          <w:sz w:val="20"/>
          <w:szCs w:val="20"/>
          <w:color w:val="auto"/>
        </w:rPr>
      </w:pPr>
      <w:r>
        <w:rPr>
          <w:rFonts w:ascii="Times New Roman" w:cs="Times New Roman" w:eastAsia="Times New Roman" w:hAnsi="Times New Roman"/>
          <w:sz w:val="16"/>
          <w:szCs w:val="16"/>
          <w:color w:val="auto"/>
        </w:rPr>
        <w:t>For the avoidance of doubt, any dollar of revenue that is included within the calculation of Covered Revenues shall only be counted once for purposes of calculating Covered Revenues under this CVR Agreement. For example, if a Product is Sold to a non-wholly owned Subsidiary and included in the calculation of Net Sales, including subject to clauses 2 and 3 of the definition of Net Sales, a Sale of such Product by such non-wholly owned Subsidiary to a third party shall only be included in the calculation of Net Sales for the purpose of the calculation of Covered Revenues to the extent the Net Sales in such second transaction exceeds the Net Sales included in Covered Revenues in the first transaction.</w:t>
      </w:r>
    </w:p>
    <w:p>
      <w:pPr>
        <w:spacing w:after="0" w:line="165" w:lineRule="exact"/>
        <w:rPr>
          <w:sz w:val="20"/>
          <w:szCs w:val="20"/>
          <w:color w:val="auto"/>
        </w:rPr>
      </w:pPr>
    </w:p>
    <w:p>
      <w:pPr>
        <w:ind w:right="20" w:firstLine="388"/>
        <w:spacing w:after="0" w:line="254" w:lineRule="auto"/>
        <w:rPr>
          <w:sz w:val="20"/>
          <w:szCs w:val="20"/>
          <w:color w:val="auto"/>
        </w:rPr>
      </w:pPr>
      <w:r>
        <w:rPr>
          <w:rFonts w:ascii="Times New Roman" w:cs="Times New Roman" w:eastAsia="Times New Roman" w:hAnsi="Times New Roman"/>
          <w:sz w:val="16"/>
          <w:szCs w:val="16"/>
          <w:color w:val="auto"/>
        </w:rPr>
        <w:t>Notwithstanding the foregoing, in the event that Parent or any Subsidiary of Parent directly or indirectly, by a sale or swap of assets or other rights, merger, reorganization, joint venture, lease, license or any other transaction or arrangement, sells, transfers, conveys, licenses or otherwise disposes of their respective rights in and to the business of Parent and its Subsidiaries that would generate Covered Revenues after the Closing Date and prior to the Commencement Date, the Consideration received in connection with such sale or swap of assets or other rights, merger, reorganization, joint venture, lease, license or any other transaction or arrangement attributable to the business of Parent and its Subsidiaries that would generate Covered Revenues shall be included in Covered Revenues in the First Threshold Measuring Period.</w:t>
      </w:r>
    </w:p>
    <w:p>
      <w:pPr>
        <w:spacing w:after="0" w:line="165" w:lineRule="exact"/>
        <w:rPr>
          <w:sz w:val="20"/>
          <w:szCs w:val="20"/>
          <w:color w:val="auto"/>
        </w:rPr>
      </w:pPr>
    </w:p>
    <w:p>
      <w:pPr>
        <w:ind w:right="8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Revenues Measuring Period</w:t>
      </w:r>
      <w:r>
        <w:rPr>
          <w:rFonts w:ascii="Times New Roman" w:cs="Times New Roman" w:eastAsia="Times New Roman" w:hAnsi="Times New Roman"/>
          <w:sz w:val="16"/>
          <w:szCs w:val="16"/>
          <w:color w:val="auto"/>
        </w:rPr>
        <w:t xml:space="preserve">” means each fiscal quarter of Parent during the Covered Revenues Term;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if the Commencement Date does not fall on the first day of Parent’s fiscal quarter, the first Covered Revenues Measuring Period shall commence on the Commencement Date and end on the last day of Parent’s fiscal quarter during which the Commencement Date falls and (b) the final Covered Revenues Measuring Period shall end on the End Date.</w:t>
      </w:r>
    </w:p>
    <w:p>
      <w:pPr>
        <w:spacing w:after="0" w:line="161" w:lineRule="exact"/>
        <w:rPr>
          <w:sz w:val="20"/>
          <w:szCs w:val="20"/>
          <w:color w:val="auto"/>
        </w:rPr>
      </w:pPr>
    </w:p>
    <w:p>
      <w:pPr>
        <w:ind w:firstLine="388"/>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Covered Revenues Payment</w:t>
      </w:r>
      <w:r>
        <w:rPr>
          <w:rFonts w:ascii="Times New Roman" w:cs="Times New Roman" w:eastAsia="Times New Roman" w:hAnsi="Times New Roman"/>
          <w:sz w:val="15"/>
          <w:szCs w:val="15"/>
          <w:color w:val="auto"/>
        </w:rPr>
        <w:t xml:space="preserve">” means, subject to any reductions pursuant to Sections 6.5(a) or 6.5(b), (I) (x) with respect to any Covered Revenues Measuring Period within a Threshold Measuring Period (other than the First Threshold Measuring Period and the Final Threshold Measuring Period), an amount equal to (i) for any Covered Revenues recognized in the applicable Threshold Measuring Period up to and including $1,000,000,000, 2.5% of such Covered Revenues for such Covered Revenues Measuring Period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for any Covered Revenues recognized in the applicable Threshold Measuring Period in excess of $1,000,000,000, 9.0% of such Covered Revenues recognized in such Covered Revenues Measuring Period and (y) with respect to any Covered Revenues Measuring Period within the First Threshold Measuring Period or the Final Threshold Measuring Period, an amount equal to (i) for any Covered Revenues recognized in the applicable Threshold Measuring Period up to and including amount equal to $2,737,850.79 </w:t>
      </w:r>
      <w:r>
        <w:rPr>
          <w:rFonts w:ascii="Times New Roman" w:cs="Times New Roman" w:eastAsia="Times New Roman" w:hAnsi="Times New Roman"/>
          <w:sz w:val="15"/>
          <w:szCs w:val="15"/>
          <w:u w:val="single" w:color="auto"/>
          <w:color w:val="auto"/>
        </w:rPr>
        <w:t>multiplied by</w:t>
      </w:r>
      <w:r>
        <w:rPr>
          <w:rFonts w:ascii="Times New Roman" w:cs="Times New Roman" w:eastAsia="Times New Roman" w:hAnsi="Times New Roman"/>
          <w:sz w:val="15"/>
          <w:szCs w:val="15"/>
          <w:color w:val="auto"/>
        </w:rPr>
        <w:t xml:space="preserve"> the total number of days in such Threshold Measuring Period, 2.5% of such Covered Revenues recognized in such Covered Revenues Measuring Period </w:t>
      </w:r>
      <w:r>
        <w:rPr>
          <w:rFonts w:ascii="Times New Roman" w:cs="Times New Roman" w:eastAsia="Times New Roman" w:hAnsi="Times New Roman"/>
          <w:sz w:val="15"/>
          <w:szCs w:val="15"/>
          <w:u w:val="single" w:color="auto"/>
          <w:color w:val="auto"/>
        </w:rPr>
        <w:t>plus</w:t>
      </w:r>
      <w:r>
        <w:rPr>
          <w:rFonts w:ascii="Times New Roman" w:cs="Times New Roman" w:eastAsia="Times New Roman" w:hAnsi="Times New Roman"/>
          <w:sz w:val="15"/>
          <w:szCs w:val="15"/>
          <w:color w:val="auto"/>
        </w:rPr>
        <w:t xml:space="preserve"> (ii) for any Covered Revenues recognized in the applicable Threshold Measuring Period in excess of an amount equal</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00"/>
          </w:cols>
          <w:pgMar w:left="1080" w:top="254" w:right="1119" w:bottom="1440" w:gutter="0" w:footer="0" w:header="0"/>
        </w:sectPr>
      </w:pPr>
    </w:p>
    <w:bookmarkStart w:id="186" w:name="page187"/>
    <w:bookmarkEnd w:id="186"/>
    <w:p>
      <w:pPr>
        <w:ind w:right="4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to $2,737,850.79 </w:t>
      </w:r>
      <w:r>
        <w:rPr>
          <w:rFonts w:ascii="Times New Roman" w:cs="Times New Roman" w:eastAsia="Times New Roman" w:hAnsi="Times New Roman"/>
          <w:sz w:val="16"/>
          <w:szCs w:val="16"/>
          <w:u w:val="single" w:color="auto"/>
          <w:color w:val="auto"/>
        </w:rPr>
        <w:t>multiplied by</w:t>
      </w:r>
      <w:r>
        <w:rPr>
          <w:rFonts w:ascii="Times New Roman" w:cs="Times New Roman" w:eastAsia="Times New Roman" w:hAnsi="Times New Roman"/>
          <w:sz w:val="16"/>
          <w:szCs w:val="16"/>
          <w:color w:val="auto"/>
        </w:rPr>
        <w:t xml:space="preserve"> the number of days in such Threshold Measuring Period, 9.0% of such Covered Revenues recognized in such Covered Revenues Measuring Period, in the case of each of (x) and (y), </w:t>
      </w:r>
      <w:r>
        <w:rPr>
          <w:rFonts w:ascii="Times New Roman" w:cs="Times New Roman" w:eastAsia="Times New Roman" w:hAnsi="Times New Roman"/>
          <w:sz w:val="16"/>
          <w:szCs w:val="16"/>
          <w:u w:val="single" w:color="auto"/>
          <w:color w:val="auto"/>
        </w:rPr>
        <w:t>multiplied by</w:t>
      </w:r>
      <w:r>
        <w:rPr>
          <w:rFonts w:ascii="Times New Roman" w:cs="Times New Roman" w:eastAsia="Times New Roman" w:hAnsi="Times New Roman"/>
          <w:sz w:val="16"/>
          <w:szCs w:val="16"/>
          <w:color w:val="auto"/>
        </w:rPr>
        <w:t xml:space="preserve"> (II) a fraction, the numerator of which is the aggregate number of CVRs Outstanding as of the applicable Covered Revenues Payment Date, and the denominator of which is the Total Equity Count;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will any Covered Revenues Payment become payable on account of Covered Revenues recognized in the period after the End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Parent or any of its Subsidiaries enters into an agreement (including any license, settlement, covenant not to sue or other similar agreement and including any agreement with collaboration, licensing, asset sale, intellectual property enforcement or other similar terms) that requires payment to a third party for any significant know how, trade secrets, patents or other Intellectual Property after the Closing Date that is utilized to generate any Covered Revenue (“</w:t>
      </w:r>
      <w:r>
        <w:rPr>
          <w:rFonts w:ascii="Times New Roman" w:cs="Times New Roman" w:eastAsia="Times New Roman" w:hAnsi="Times New Roman"/>
          <w:sz w:val="16"/>
          <w:szCs w:val="16"/>
          <w:u w:val="single" w:color="auto"/>
          <w:color w:val="auto"/>
        </w:rPr>
        <w:t>Specified Covered Revenue</w:t>
      </w:r>
      <w:r>
        <w:rPr>
          <w:rFonts w:ascii="Times New Roman" w:cs="Times New Roman" w:eastAsia="Times New Roman" w:hAnsi="Times New Roman"/>
          <w:sz w:val="16"/>
          <w:szCs w:val="16"/>
          <w:color w:val="auto"/>
        </w:rPr>
        <w:t>”), 9.0% of the amounts payable under such agreement shall be deducted from the Covered Revenues Payments payable in respect of Specified Covered Revenue under clauses (x)(ii) and (y)(ii) above, provided that the total amount deducted shall not exceed 1.0% of all Covered Revenues for which Covered Revenues Payments are payable under clauses (x)(ii) and (y)(ii) above (i.e., in no event will a Covered Revenues Payment with respect to a Covered Revenues Measuring Period under clauses (x)(ii) and/or (y)(ii) above be less than 8.0% of Covered Revenues recognized in the applicable Threshold Measuring Period).</w:t>
      </w:r>
    </w:p>
    <w:p>
      <w:pPr>
        <w:spacing w:after="0" w:line="166" w:lineRule="exact"/>
        <w:rPr>
          <w:sz w:val="20"/>
          <w:szCs w:val="20"/>
          <w:color w:val="auto"/>
        </w:rPr>
      </w:pPr>
    </w:p>
    <w:p>
      <w:pPr>
        <w:ind w:right="160" w:firstLine="388"/>
        <w:spacing w:after="0" w:line="21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Revenues Payment Date</w:t>
      </w:r>
      <w:r>
        <w:rPr>
          <w:rFonts w:ascii="Times New Roman" w:cs="Times New Roman" w:eastAsia="Times New Roman" w:hAnsi="Times New Roman"/>
          <w:sz w:val="16"/>
          <w:szCs w:val="16"/>
          <w:color w:val="auto"/>
        </w:rPr>
        <w:t>” means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after the date Parent is required to provide the Covered Revenues Statement pursuant to Section 4.4(b) for the Covered Revenues Measuring Period in respect of which a Covered Revenues Payment is due.</w:t>
      </w:r>
    </w:p>
    <w:p>
      <w:pPr>
        <w:spacing w:after="0" w:line="175" w:lineRule="exact"/>
        <w:rPr>
          <w:sz w:val="20"/>
          <w:szCs w:val="20"/>
          <w:color w:val="auto"/>
        </w:rPr>
      </w:pPr>
    </w:p>
    <w:p>
      <w:pPr>
        <w:ind w:firstLine="388"/>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Covered Revenues Statement</w:t>
      </w:r>
      <w:r>
        <w:rPr>
          <w:rFonts w:ascii="Times New Roman" w:cs="Times New Roman" w:eastAsia="Times New Roman" w:hAnsi="Times New Roman"/>
          <w:sz w:val="15"/>
          <w:szCs w:val="15"/>
          <w:color w:val="auto"/>
        </w:rPr>
        <w:t>” means, with respect to each Covered Revenues Measuring Period, the written statement of Parent, certified by the Chief Financial Officer of Parent and setting forth the calculation of the Covered Revenues Payment due, if any, and identifying any Covered Product and Service, if applicable, in respect of the applicable Covered Revenues Measuring Period in accordance with this CVR Agreement, including (a) for any Covered Products and Services for all countries in the aggregate, (x) the aggregate gross amount invoiced or otherwise charged for the sale and distribution of such Covered Products and Services by Parent and its Subsidiaries to third parties (other than Parent or its Affiliates) during the applicable period and (y) an itemized calculation of Net Sales for such Covered Products and Services showing deductions for such Covered Revenues Measuring Period provided for in accordance with the definition of Net Sales and (b) to the extent that any Covered Revenue for an applicable period is recorded in currencies other than United States dollars, the exchange rates used for conversion of such foreign currency into United States dollars.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Revenues Term</w:t>
      </w:r>
      <w:r>
        <w:rPr>
          <w:rFonts w:ascii="Times New Roman" w:cs="Times New Roman" w:eastAsia="Times New Roman" w:hAnsi="Times New Roman"/>
          <w:sz w:val="16"/>
          <w:szCs w:val="16"/>
          <w:color w:val="auto"/>
        </w:rPr>
        <w:t>” means the period beginning on the Commencement Date and ending on the End Date.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CVRs</w:t>
      </w:r>
      <w:r>
        <w:rPr>
          <w:rFonts w:ascii="Times New Roman" w:cs="Times New Roman" w:eastAsia="Times New Roman" w:hAnsi="Times New Roman"/>
          <w:sz w:val="16"/>
          <w:szCs w:val="16"/>
          <w:color w:val="auto"/>
        </w:rPr>
        <w:t>” shall have the meaning set forth in the Preamble of this CVR Agreement.</w:t>
      </w:r>
    </w:p>
    <w:p>
      <w:pPr>
        <w:spacing w:after="0" w:line="197" w:lineRule="exact"/>
        <w:rPr>
          <w:sz w:val="20"/>
          <w:szCs w:val="20"/>
          <w:color w:val="auto"/>
        </w:rPr>
      </w:pPr>
    </w:p>
    <w:p>
      <w:pPr>
        <w:ind w:right="2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Agreement</w:t>
      </w:r>
      <w:r>
        <w:rPr>
          <w:rFonts w:ascii="Times New Roman" w:cs="Times New Roman" w:eastAsia="Times New Roman" w:hAnsi="Times New Roman"/>
          <w:sz w:val="16"/>
          <w:szCs w:val="16"/>
          <w:color w:val="auto"/>
        </w:rPr>
        <w:t>” means this instrument as originally executed and as it may from time to time be supplemented or amended pursuant to the applicable provisions hereof.</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Certificate</w:t>
      </w:r>
      <w:r>
        <w:rPr>
          <w:rFonts w:ascii="Times New Roman" w:cs="Times New Roman" w:eastAsia="Times New Roman" w:hAnsi="Times New Roman"/>
          <w:sz w:val="16"/>
          <w:szCs w:val="16"/>
          <w:color w:val="auto"/>
        </w:rPr>
        <w:t>” means a certificate representing any of the CVRs.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shall have the meaning set forth in Section 2.6(a) of this CVR Agreement.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Shortfall</w:t>
      </w:r>
      <w:r>
        <w:rPr>
          <w:rFonts w:ascii="Times New Roman" w:cs="Times New Roman" w:eastAsia="Times New Roman" w:hAnsi="Times New Roman"/>
          <w:sz w:val="16"/>
          <w:szCs w:val="16"/>
          <w:color w:val="auto"/>
        </w:rPr>
        <w:t>” shall have the meaning set forth in Section 6.5(e) of this CVR Agreement.</w:t>
      </w:r>
    </w:p>
    <w:p>
      <w:pPr>
        <w:spacing w:after="0" w:line="1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60"/>
          </w:cols>
          <w:pgMar w:left="1080" w:top="254" w:right="1159" w:bottom="1440" w:gutter="0" w:footer="0" w:header="0"/>
        </w:sectPr>
      </w:pPr>
    </w:p>
    <w:bookmarkStart w:id="187" w:name="page188"/>
    <w:bookmarkEnd w:id="187"/>
    <w:p>
      <w:pPr>
        <w:ind w:firstLine="388"/>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Data</w:t>
      </w:r>
      <w:r>
        <w:rPr>
          <w:rFonts w:ascii="Times New Roman" w:cs="Times New Roman" w:eastAsia="Times New Roman" w:hAnsi="Times New Roman"/>
          <w:sz w:val="16"/>
          <w:szCs w:val="16"/>
          <w:color w:val="auto"/>
        </w:rPr>
        <w:t>” means any data, metadata or information in any form whatsoever (including computational data, validation data, genomics data, genotype data, phenotype data, sequencing data, assay and related data, epigenomics data (including methylation data), other -omics data (including proteomics, metabolomics and transcriptomics data), data generated or derived from biological samples, in vitro and in vivo data, stability data, other study data, nonclinical and clinical data (including preclinical and clinical broad data sets, and safety databases), business and commercial data, manufacturing data, and regulatory data), whether or not raw, processed, analyzed, compiled, aggregated, organized, preliminary or final, technical, scientific, in hard copy or electronic form or in a database to the extent generated, created, aggregated or collected from or in the course of: (i) any Parent or Company research, development, clinical study, regulatory, manufacturing or commercial activities; or (ii) other activities or sources, including (a) knowledge, know-how, trade secrets, practices, procedures, methods (including any applicable reference standards), processes, expertise, techniques, methods, results, inventions (whether or not patentable), developments, specifications, formulations, formulae, materials or compositions of matter, (b) software, algorithms, blueprints, marketing reports, or engineering reports; or (c) nonclinical and clinical results (including pharmacological, biological, chemical, biochemical, toxicological, pharmaceutical, physical, analytical preclinical and clinical study and investigator reports, statistical analyses, expert opinions and reports).</w:t>
      </w:r>
    </w:p>
    <w:p>
      <w:pPr>
        <w:spacing w:after="0" w:line="164" w:lineRule="exact"/>
        <w:rPr>
          <w:sz w:val="20"/>
          <w:szCs w:val="20"/>
          <w:color w:val="auto"/>
        </w:rPr>
      </w:pPr>
    </w:p>
    <w:p>
      <w:pPr>
        <w:ind w:right="60" w:firstLine="388"/>
        <w:spacing w:after="0" w:line="31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Default Interest Rate</w:t>
      </w:r>
      <w:r>
        <w:rPr>
          <w:rFonts w:ascii="Times New Roman" w:cs="Times New Roman" w:eastAsia="Times New Roman" w:hAnsi="Times New Roman"/>
          <w:sz w:val="15"/>
          <w:szCs w:val="15"/>
          <w:color w:val="auto"/>
        </w:rPr>
        <w:t xml:space="preserve">” means a rate equal to the sum of 3.0% plus the prime rate of interest quoted in the Money Rates section of </w:t>
      </w:r>
      <w:r>
        <w:rPr>
          <w:rFonts w:ascii="Times New Roman" w:cs="Times New Roman" w:eastAsia="Times New Roman" w:hAnsi="Times New Roman"/>
          <w:sz w:val="15"/>
          <w:szCs w:val="15"/>
          <w:i w:val="1"/>
          <w:iCs w:val="1"/>
          <w:color w:val="auto"/>
        </w:rPr>
        <w:t>The Wall Street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Journal</w:t>
      </w:r>
      <w:r>
        <w:rPr>
          <w:rFonts w:ascii="Times New Roman" w:cs="Times New Roman" w:eastAsia="Times New Roman" w:hAnsi="Times New Roman"/>
          <w:sz w:val="15"/>
          <w:szCs w:val="15"/>
          <w:color w:val="auto"/>
        </w:rPr>
        <w:t>, or similar reputable data source, calculated daily on the basis of a 365-day year or, if lower, the highest rate permitted under applicable Law.</w:t>
      </w:r>
    </w:p>
    <w:p>
      <w:pPr>
        <w:spacing w:after="0" w:line="119" w:lineRule="exact"/>
        <w:rPr>
          <w:sz w:val="20"/>
          <w:szCs w:val="20"/>
          <w:color w:val="auto"/>
        </w:rPr>
      </w:pPr>
    </w:p>
    <w:p>
      <w:pPr>
        <w:ind w:right="40" w:firstLine="388"/>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Diligent Efforts</w:t>
      </w:r>
      <w:r>
        <w:rPr>
          <w:rFonts w:ascii="Times New Roman" w:cs="Times New Roman" w:eastAsia="Times New Roman" w:hAnsi="Times New Roman"/>
          <w:sz w:val="16"/>
          <w:szCs w:val="16"/>
          <w:color w:val="auto"/>
        </w:rPr>
        <w:t>” means, with respect to any Product or Service, efforts of a Person to perform diligently its obligations using such effort and employing such resources normally used by such Person in the exercise of its commercially reasonable business discretion relating to the research, development or commercialization of a Product or Service, that is of similar market potential at a similar stage in its development or product life, taking into account issues of market exclusivity (including patent coverage, regulatory and other exclusivity), safety and efficacy, product profile, the competitiveness of alternate Products or Services in the marketplace or under development, the launch or Sales of a similar Product or Service by such Person or third parties, the regulatory structure involved and likelihood of obtaining regulatory approval or clearance, the profitability of the applicable Product or Service (including pricing and reimbursement status achieved) and other relevant factors, including technical, commercial, legal, scientific and/or medical factors. Factors beyond the reasonable control of a Person, including regulatory delays, safety findings, unforeseen technical challenges, the failure of a Product or Service to meet necessary scientific or regulatory endpoints, and force majeure events shall be taken into account when evaluating whether a Person’s efforts hereunder constitute Diligent Efforts.</w:t>
      </w:r>
    </w:p>
    <w:p>
      <w:pPr>
        <w:spacing w:after="0" w:line="170" w:lineRule="exact"/>
        <w:rPr>
          <w:sz w:val="20"/>
          <w:szCs w:val="20"/>
          <w:color w:val="auto"/>
        </w:rPr>
      </w:pPr>
    </w:p>
    <w:p>
      <w:pPr>
        <w:ind w:right="20" w:firstLine="388"/>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means any, direct or indirect, sale or swap of assets or other rights, merger, reorganization, joint venture, lease, exclusive license (or another licensing arrangement or arrangements involving Intellectual Property that operate to transfer a substantial portion of the value of such Intellectual Property) or any other transaction or arrangement or series of related transactions or arrangements entered into by Parent or any of its Subsidiaries to sell, transfer, convey, lease, exclusively license (or license pursuant to another licensing arrangement or arrangements involving Intellectual Property that operate to transfer a substantial portion of the value of such Intellectual Property) or otherwise dispose of its or their respective rights in and to applicable assets.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End Date</w:t>
      </w:r>
      <w:r>
        <w:rPr>
          <w:rFonts w:ascii="Times New Roman" w:cs="Times New Roman" w:eastAsia="Times New Roman" w:hAnsi="Times New Roman"/>
          <w:sz w:val="16"/>
          <w:szCs w:val="16"/>
          <w:color w:val="auto"/>
        </w:rPr>
        <w:t>” means the date that is 12 years after the Commencement Date.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 shall have the meaning set forth in Section 7.1 of this CVR Agreement.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and the rules and regulations promulgated thereunder.</w:t>
      </w:r>
    </w:p>
    <w:p>
      <w:pPr>
        <w:spacing w:after="0" w:line="1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00"/>
          </w:cols>
          <w:pgMar w:left="1080" w:top="254" w:right="1119" w:bottom="1440" w:gutter="0" w:footer="0" w:header="0"/>
        </w:sectPr>
      </w:pPr>
    </w:p>
    <w:bookmarkStart w:id="188" w:name="page189"/>
    <w:bookmarkEnd w:id="188"/>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Exchange Act Documents</w:t>
      </w:r>
      <w:r>
        <w:rPr>
          <w:rFonts w:ascii="Times New Roman" w:cs="Times New Roman" w:eastAsia="Times New Roman" w:hAnsi="Times New Roman"/>
          <w:sz w:val="16"/>
          <w:szCs w:val="16"/>
          <w:color w:val="auto"/>
        </w:rPr>
        <w:t>” shall have the meaning set forth in Section 4.4(a) of this CVR Agreement.</w:t>
      </w:r>
    </w:p>
    <w:p>
      <w:pPr>
        <w:spacing w:after="0" w:line="197" w:lineRule="exact"/>
        <w:rPr>
          <w:sz w:val="20"/>
          <w:szCs w:val="20"/>
          <w:color w:val="auto"/>
        </w:rPr>
      </w:pPr>
    </w:p>
    <w:p>
      <w:pPr>
        <w:ind w:right="1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IP</w:t>
      </w:r>
      <w:r>
        <w:rPr>
          <w:rFonts w:ascii="Times New Roman" w:cs="Times New Roman" w:eastAsia="Times New Roman" w:hAnsi="Times New Roman"/>
          <w:sz w:val="16"/>
          <w:szCs w:val="16"/>
          <w:color w:val="auto"/>
        </w:rPr>
        <w:t>” means the Company’s know-how or other Intellectual Property as in existence as of the Closing Date, including all modifications, derivations, continuations, and improvements thereto following the Closing Date.</w:t>
      </w:r>
    </w:p>
    <w:p>
      <w:pPr>
        <w:spacing w:after="0" w:line="145" w:lineRule="exact"/>
        <w:rPr>
          <w:sz w:val="20"/>
          <w:szCs w:val="20"/>
          <w:color w:val="auto"/>
        </w:rPr>
      </w:pPr>
    </w:p>
    <w:p>
      <w:pPr>
        <w:ind w:right="16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Products</w:t>
      </w:r>
      <w:r>
        <w:rPr>
          <w:rFonts w:ascii="Times New Roman" w:cs="Times New Roman" w:eastAsia="Times New Roman" w:hAnsi="Times New Roman"/>
          <w:sz w:val="16"/>
          <w:szCs w:val="16"/>
          <w:color w:val="auto"/>
        </w:rPr>
        <w:t>” means all Products referred to in clauses (a), (b) and (e) in the definition of Covered Revenues as in existence as of the Closing Date, to the extent regulatory approval and clearance is applicable, including Galleri multi-cancer early detection test, DAC diagnostic aid for cancer test and the Minimal Residual Disease Test.</w:t>
      </w:r>
    </w:p>
    <w:p>
      <w:pPr>
        <w:spacing w:after="0" w:line="157" w:lineRule="exact"/>
        <w:rPr>
          <w:sz w:val="20"/>
          <w:szCs w:val="20"/>
          <w:color w:val="auto"/>
        </w:rPr>
      </w:pPr>
    </w:p>
    <w:p>
      <w:pPr>
        <w:ind w:firstLine="388"/>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Field</w:t>
      </w:r>
      <w:r>
        <w:rPr>
          <w:rFonts w:ascii="Times New Roman" w:cs="Times New Roman" w:eastAsia="Times New Roman" w:hAnsi="Times New Roman"/>
          <w:sz w:val="16"/>
          <w:szCs w:val="16"/>
          <w:color w:val="auto"/>
        </w:rPr>
        <w:t>” means (i) detection, screening or diagnosis of or for cancer or nonalcoholic steatohepatitis (“</w:t>
      </w:r>
      <w:r>
        <w:rPr>
          <w:rFonts w:ascii="Times New Roman" w:cs="Times New Roman" w:eastAsia="Times New Roman" w:hAnsi="Times New Roman"/>
          <w:sz w:val="16"/>
          <w:szCs w:val="16"/>
          <w:u w:val="single" w:color="auto"/>
          <w:color w:val="auto"/>
        </w:rPr>
        <w:t>NASH</w:t>
      </w:r>
      <w:r>
        <w:rPr>
          <w:rFonts w:ascii="Times New Roman" w:cs="Times New Roman" w:eastAsia="Times New Roman" w:hAnsi="Times New Roman"/>
          <w:sz w:val="16"/>
          <w:szCs w:val="16"/>
          <w:color w:val="auto"/>
        </w:rPr>
        <w:t>”) in all populations, including through use of the Company’s Galleri multi-cancer early detection test and/or DAC diagnostic aid for cancer test, and/or (ii) surveillance or monitoring of individuals with or suspected of cancer or NASH in order to determine the probability of whether an individual likely has cancer or NASH, disease prognosis, risk assessment, staging, monitoring of such disease, progression or recurrence, including through use of the Company’s Minimal Residual Disease Test. For the avoidance of doubt, the Field excludes (i) applications, Products and Services to the extent consisting solely of Therapy Selection and (ii) any Products of Parent or its Subsidiaries in existence as of the Closing Date and improvements, future versions, iterations and natural extensions thereof (including the TruSight Oncology 500 Product (“</w:t>
      </w:r>
      <w:r>
        <w:rPr>
          <w:rFonts w:ascii="Times New Roman" w:cs="Times New Roman" w:eastAsia="Times New Roman" w:hAnsi="Times New Roman"/>
          <w:sz w:val="16"/>
          <w:szCs w:val="16"/>
          <w:u w:val="single" w:color="auto"/>
          <w:color w:val="auto"/>
        </w:rPr>
        <w:t>TSO500</w:t>
      </w:r>
      <w:r>
        <w:rPr>
          <w:rFonts w:ascii="Times New Roman" w:cs="Times New Roman" w:eastAsia="Times New Roman" w:hAnsi="Times New Roman"/>
          <w:sz w:val="16"/>
          <w:szCs w:val="16"/>
          <w:color w:val="auto"/>
        </w:rPr>
        <w:t>”)) used for solely Therapy Selection. If a Product or Service utilizing any Methylation-based Technology, whether in whole or in part (including any Product or Service of Parent or its Subsidiaries in existence as of the Closing Date (including TSO500)) is used for an application in the Field alone and/or also Therapy Selection, it shall be included in its entirety in the calculation of Covered Revenues. If a Product or Service utilizing any Methylation-based Technology, whether in whole or in part (including Products or Services of Parent or its Subsidiaries in existence as of the Closing Date (including TSO500)), is bundled, combined or Sold together with another Product or Service, regardless of whether such other Product or Service utilizes any Methylation-based Technology (including Products of Parent or its Subsidiaries in existence as of the Closing Date (including TSO500)) for an application in the Field alone and/or also Therapy Selection, such bundled or combined Product or Service shall be deemed included within the Field and included in its entirety in the calculation of Covered Revenues.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Final Threshold Measuring Period</w:t>
      </w:r>
      <w:r>
        <w:rPr>
          <w:rFonts w:ascii="Times New Roman" w:cs="Times New Roman" w:eastAsia="Times New Roman" w:hAnsi="Times New Roman"/>
          <w:sz w:val="16"/>
          <w:szCs w:val="16"/>
          <w:color w:val="auto"/>
        </w:rPr>
        <w:t>” means the final Threshold Measuring Period of the Covered Revenues Term.</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shall have the meaning set forth in the Recitals of this CVR Agreement.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shall have the meaning set forth in the Recitals of this CVR Agreement.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Threshold Measuring Period</w:t>
      </w:r>
      <w:r>
        <w:rPr>
          <w:rFonts w:ascii="Times New Roman" w:cs="Times New Roman" w:eastAsia="Times New Roman" w:hAnsi="Times New Roman"/>
          <w:sz w:val="16"/>
          <w:szCs w:val="16"/>
          <w:color w:val="auto"/>
        </w:rPr>
        <w:t>” means the first Threshold Measuring Period of the Covered Revenues Term.</w:t>
      </w:r>
    </w:p>
    <w:p>
      <w:pPr>
        <w:spacing w:after="0" w:line="197" w:lineRule="exact"/>
        <w:rPr>
          <w:sz w:val="20"/>
          <w:szCs w:val="20"/>
          <w:color w:val="auto"/>
        </w:rPr>
      </w:pPr>
    </w:p>
    <w:p>
      <w:pPr>
        <w:ind w:right="22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United States generally accepted accounting principles in effect from time to time, applied consistently by the Company in the preparation of its financial statements throughout the periods involved.</w:t>
      </w:r>
    </w:p>
    <w:p>
      <w:pPr>
        <w:spacing w:after="0" w:line="145" w:lineRule="exact"/>
        <w:rPr>
          <w:sz w:val="20"/>
          <w:szCs w:val="20"/>
          <w:color w:val="auto"/>
        </w:rPr>
      </w:pPr>
    </w:p>
    <w:p>
      <w:pPr>
        <w:ind w:right="4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federal, national, foreign, supranational, state, provincial, county, local or other government, governmental, regulatory or administrative authority, agency, instrumentality or commission or any court, tribunal, or judicial or arbitral body of competent jurisdiction.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00"/>
          </w:cols>
          <w:pgMar w:left="1080" w:top="254" w:right="1119" w:bottom="1440" w:gutter="0" w:footer="0" w:header="0"/>
        </w:sectPr>
      </w:pPr>
    </w:p>
    <w:bookmarkStart w:id="189" w:name="page190"/>
    <w:bookmarkEnd w:id="189"/>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 Person in whose name a CVR is registered in the CVR Register.</w:t>
      </w:r>
    </w:p>
    <w:p>
      <w:pPr>
        <w:spacing w:after="0" w:line="197" w:lineRule="exact"/>
        <w:rPr>
          <w:sz w:val="20"/>
          <w:szCs w:val="20"/>
          <w:color w:val="auto"/>
        </w:rPr>
      </w:pPr>
    </w:p>
    <w:p>
      <w:pPr>
        <w:ind w:right="22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 Representative</w:t>
      </w:r>
      <w:r>
        <w:rPr>
          <w:rFonts w:ascii="Times New Roman" w:cs="Times New Roman" w:eastAsia="Times New Roman" w:hAnsi="Times New Roman"/>
          <w:sz w:val="16"/>
          <w:szCs w:val="16"/>
          <w:color w:val="auto"/>
        </w:rPr>
        <w:t>” means the Person identified in the preamble of this CVR Agreement, who shall initially be the representative of the Holders appointed in accordance with Article X of the Merger Agreement, as such representative may be replaced from time to time by the request of the Majority Holders upon such Holders’ written notice to the then current Holder Representative, Parent and Trustee and subject to the prior written consent of Parent (not to be unreasonably withheld, conditioned or delayed).</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Accountant</w:t>
      </w:r>
      <w:r>
        <w:rPr>
          <w:rFonts w:ascii="Times New Roman" w:cs="Times New Roman" w:eastAsia="Times New Roman" w:hAnsi="Times New Roman"/>
          <w:sz w:val="16"/>
          <w:szCs w:val="16"/>
          <w:color w:val="auto"/>
        </w:rPr>
        <w:t>” shall have the meaning set forth in Section 6.5(a) of this CVR Agreement.</w:t>
      </w:r>
    </w:p>
    <w:p>
      <w:pPr>
        <w:spacing w:after="0" w:line="197" w:lineRule="exact"/>
        <w:rPr>
          <w:sz w:val="20"/>
          <w:szCs w:val="20"/>
          <w:color w:val="auto"/>
        </w:rPr>
      </w:pPr>
    </w:p>
    <w:p>
      <w:pPr>
        <w:ind w:right="100" w:firstLine="388"/>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all worldwide rights in or to (a) patents and patent applications, including, in each case, any provisionals, substitutions, divisionals, continuations, continuations-in-part, re-examinations, renewals, extensions, reissues, and equivalents thereof in any jurisdiction, (b) copyrightable works (including copyrights in Software), whether published or unpublished and copyright registrations, applications for registration, and extensions thereof and (c) trade secrets and other proprietary information, whether or not patentable, including inventions, discoveries, prototypes and Data.</w:t>
      </w:r>
    </w:p>
    <w:p>
      <w:pPr>
        <w:spacing w:after="0" w:line="165" w:lineRule="exact"/>
        <w:rPr>
          <w:sz w:val="20"/>
          <w:szCs w:val="20"/>
          <w:color w:val="auto"/>
        </w:rPr>
      </w:pPr>
    </w:p>
    <w:p>
      <w:pPr>
        <w:ind w:right="66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national, supranational, foreign or administrative law (including common law), statute, ordinance, regulation, requirement, rule, code or Order.</w:t>
      </w:r>
    </w:p>
    <w:p>
      <w:pPr>
        <w:spacing w:after="0" w:line="145" w:lineRule="exact"/>
        <w:rPr>
          <w:sz w:val="20"/>
          <w:szCs w:val="20"/>
          <w:color w:val="auto"/>
        </w:rPr>
      </w:pPr>
    </w:p>
    <w:p>
      <w:pPr>
        <w:ind w:right="14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Holders</w:t>
      </w:r>
      <w:r>
        <w:rPr>
          <w:rFonts w:ascii="Times New Roman" w:cs="Times New Roman" w:eastAsia="Times New Roman" w:hAnsi="Times New Roman"/>
          <w:sz w:val="16"/>
          <w:szCs w:val="16"/>
          <w:color w:val="auto"/>
        </w:rPr>
        <w:t>” means, at the time of determination, Holders (other than Parent and its Affiliates and their respective successors) of at least a majority of the Outstanding CVRs held by Holders (other than Parent and its Affiliates and their respective successors).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shall have the meaning set forth in the Recitals of this CVR Agreement.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shall have the meaning set forth in the Recitals of this CVR Agreement.</w:t>
      </w:r>
    </w:p>
    <w:p>
      <w:pPr>
        <w:spacing w:after="0" w:line="197"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Methylation-based Technology</w:t>
      </w:r>
      <w:r>
        <w:rPr>
          <w:rFonts w:ascii="Times New Roman" w:cs="Times New Roman" w:eastAsia="Times New Roman" w:hAnsi="Times New Roman"/>
          <w:sz w:val="16"/>
          <w:szCs w:val="16"/>
          <w:color w:val="auto"/>
        </w:rPr>
        <w:t>” means detection or assessment of methylation status at one or more genomic locations derived from a Sample by methylation-aware methods, including sequencing-based methods for assessment of methylation status of nucleic acid molecules. Methylation-based Technology includes reagents, protocols and methods for extraction, chemical (including bisulfite treatment) or enzymatic conversion, DNA library preparation or reagents for use with any methylation-aware method, enrichment kits, panels and/or methods for the enrichment of nucleic acids derived from one or more differentially methylated genomic regions informative for determining presence of disease or tissue of origin, and analysis software including for example, bioinformatics, pipelines, machine learning, algorithms and classifiers, for determining methylation status at one or more genomic locations, detecting presence of a disease state, type of disease, disease burden, or disease tissue of origin based on methylation status at one or more genomic regions, and any clinical implications thereof.</w:t>
      </w:r>
    </w:p>
    <w:p>
      <w:pPr>
        <w:spacing w:after="0" w:line="168" w:lineRule="exact"/>
        <w:rPr>
          <w:sz w:val="20"/>
          <w:szCs w:val="20"/>
          <w:color w:val="auto"/>
        </w:rPr>
      </w:pPr>
    </w:p>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Minimal Residual Disease Test</w:t>
      </w:r>
      <w:r>
        <w:rPr>
          <w:rFonts w:ascii="Times New Roman" w:cs="Times New Roman" w:eastAsia="Times New Roman" w:hAnsi="Times New Roman"/>
          <w:sz w:val="16"/>
          <w:szCs w:val="16"/>
          <w:color w:val="auto"/>
        </w:rPr>
        <w:t>” means the Company’s or any of its Subsidiaries’ Products utilizing Methylation-based Technology, whether in whole or in part, including wet lab, software analysis and bioinformatics pipeline, classifier and machine learning and components thereof (including all improvements, future versions, iterations and natural extensions thereto and thereof) for detection of residual disease in cancer patients following initial diagnosis.</w:t>
      </w:r>
    </w:p>
    <w:p>
      <w:pPr>
        <w:spacing w:after="0" w:line="161" w:lineRule="exact"/>
        <w:rPr>
          <w:sz w:val="20"/>
          <w:szCs w:val="20"/>
          <w:color w:val="auto"/>
        </w:rPr>
      </w:pPr>
    </w:p>
    <w:p>
      <w:pPr>
        <w:ind w:right="4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Minority Transaction</w:t>
      </w:r>
      <w:r>
        <w:rPr>
          <w:rFonts w:ascii="Times New Roman" w:cs="Times New Roman" w:eastAsia="Times New Roman" w:hAnsi="Times New Roman"/>
          <w:sz w:val="16"/>
          <w:szCs w:val="16"/>
          <w:color w:val="auto"/>
        </w:rPr>
        <w:t>” means any bona fide Disposition of (a) the rights in and to any Applicable Products of Parent and its Subsidiaries that generated less than the Applicable Percentage as of the consummation of such transaction, or (b) any immaterial non-Product assets, in each case, to any third party. Notwithstanding the foregoing, for purposes of the immediately preceding clause (a), no Disposition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20"/>
          </w:cols>
          <w:pgMar w:left="1080" w:top="254" w:right="1099" w:bottom="1440" w:gutter="0" w:footer="0" w:header="0"/>
        </w:sectPr>
      </w:pPr>
    </w:p>
    <w:bookmarkStart w:id="190" w:name="page191"/>
    <w:bookmarkEnd w:id="190"/>
    <w:p>
      <w:pPr>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(or series of related Dispositions) of Applicable Products of Parent or its Subsidiaries that would cause the Applicable Percentage to be less than 10%, or during any period that the Applicable Percentage is less than 10%, shall be a Minority Transaction under such clause (a) if such Disposition would cause the Applicable Percentage to decrease by 5% or more, unless the Holder Representative provides its prior written consent to treat such Disposition as a Minority Transaction. For purposes of clarification, a Minority Transaction shall not include (A) Sales of Products or Services made by Parent or its wholly owned Subsidiaries or (B) ordinary course licensing arrangements between Parent and its Subsidiaries, on the one hand, and third party licensees, on the other hand, in each case of clauses (A) and (B) in the ordinary course of business and which are taken into account in the calculation of Net Sales in accordance with the terms of this CVR Agreement. The Disposition of assets that are ancillary to and are not required for the generation of Covered Revenues (e.g., real property) shall not be a Minority Transaction;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Covered Products and Services, Data described in the definition of “Sale of Data”, Samples described in clause (d) of the definition of “Covered Revenues”, and any assets in the Field utilizing Existing IP (and, in each case, any rights therein) and/or any assets that are integral thereto shall not be deemed or considered ancillary for this purpose.</w:t>
      </w:r>
    </w:p>
    <w:p>
      <w:pPr>
        <w:spacing w:after="0" w:line="154" w:lineRule="exact"/>
        <w:rPr>
          <w:sz w:val="20"/>
          <w:szCs w:val="20"/>
          <w:color w:val="auto"/>
        </w:rPr>
      </w:pPr>
    </w:p>
    <w:p>
      <w:pPr>
        <w:ind w:right="4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Net Sales</w:t>
      </w:r>
      <w:r>
        <w:rPr>
          <w:rFonts w:ascii="Times New Roman" w:cs="Times New Roman" w:eastAsia="Times New Roman" w:hAnsi="Times New Roman"/>
          <w:sz w:val="16"/>
          <w:szCs w:val="16"/>
          <w:color w:val="auto"/>
        </w:rPr>
        <w:t>” means the gross amount invoiced or otherwise charged by Parent and its Subsidiaries for Sales of Covered Products and Services, less Permitted Deductions to the extent actually taken or incurred and separately accounted for in the invoice with respect to such Sale, in each case, in accordance with standard allocation procedures, allowance methodologies, and accounting methods consistently applied in accordance with GAAP at the time in question (except as otherwise expressly provided below):</w:t>
      </w:r>
    </w:p>
    <w:p>
      <w:pPr>
        <w:spacing w:after="0" w:line="161" w:lineRule="exact"/>
        <w:rPr>
          <w:sz w:val="20"/>
          <w:szCs w:val="20"/>
          <w:color w:val="auto"/>
        </w:rPr>
      </w:pPr>
    </w:p>
    <w:p>
      <w:pPr>
        <w:ind w:right="80" w:firstLine="388"/>
        <w:spacing w:after="0" w:line="263" w:lineRule="auto"/>
        <w:rPr>
          <w:sz w:val="20"/>
          <w:szCs w:val="20"/>
          <w:color w:val="auto"/>
        </w:rPr>
      </w:pPr>
      <w:r>
        <w:rPr>
          <w:rFonts w:ascii="Times New Roman" w:cs="Times New Roman" w:eastAsia="Times New Roman" w:hAnsi="Times New Roman"/>
          <w:sz w:val="16"/>
          <w:szCs w:val="16"/>
          <w:color w:val="auto"/>
        </w:rPr>
        <w:t>For clarity, no deductions shall be made for sales commissions. For purposes of calculating Covered Revenue for a Covered Product or Service in question, a Sale will be deemed to occur upon the Company and/or Parent and/or its Subsidiaries invoicing or otherwise charging the customer for the Covered Product or Service in question.</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Notwithstanding the foregoing, Net Sales shall be calculated as follows under the following circumstances:</w:t>
      </w:r>
    </w:p>
    <w:p>
      <w:pPr>
        <w:spacing w:after="0" w:line="102" w:lineRule="exact"/>
        <w:rPr>
          <w:sz w:val="20"/>
          <w:szCs w:val="20"/>
          <w:color w:val="auto"/>
        </w:rPr>
      </w:pPr>
    </w:p>
    <w:p>
      <w:pPr>
        <w:ind w:left="400" w:right="20" w:firstLine="370"/>
        <w:spacing w:after="0" w:line="255" w:lineRule="auto"/>
        <w:tabs>
          <w:tab w:leader="none" w:pos="997"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Products and Services provided to third parties without charge in connection with (x) research and development or clinical trials in the ordinary course of business provided without charge (provided that neither Parent nor any of its Subsidiaries provide such Products or Services for the purpose of receiving revenue related or unrelated to the Products or Services provided (other than Covered Revenues) and Parent and its Subsidiaries act in good faith in connection therewith) (y) compassionate use, humanitarian and charitable donations, or indigent programs or for use as samples (in accordance with applicable Law) shall be excluded from the computation of Net Sales.</w:t>
      </w:r>
    </w:p>
    <w:p>
      <w:pPr>
        <w:spacing w:after="0" w:line="69" w:lineRule="exact"/>
        <w:rPr>
          <w:rFonts w:ascii="Times New Roman" w:cs="Times New Roman" w:eastAsia="Times New Roman" w:hAnsi="Times New Roman"/>
          <w:sz w:val="16"/>
          <w:szCs w:val="16"/>
          <w:color w:val="auto"/>
        </w:rPr>
      </w:pPr>
    </w:p>
    <w:p>
      <w:pPr>
        <w:ind w:left="400" w:right="40" w:firstLine="370"/>
        <w:spacing w:after="0" w:line="258" w:lineRule="auto"/>
        <w:tabs>
          <w:tab w:leader="none" w:pos="997"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Parent’s or its Subsidiary’s Sale of Covered Products or Services to a wholly owned Subsidiary of Parent shall be excluded from the computation of Net Sales unless such Product or Service (i) is thereafter sold to a third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such event, Net Sales will be calculated on the gross amount invoiced or otherwise charged to such third party on an arm’s-length basis, or (ii) is used or distributed to a wholly owned Subsidiary of Parent in connection with any Plan of Parent or any of its Subsidiaries.</w:t>
      </w:r>
    </w:p>
    <w:p>
      <w:pPr>
        <w:spacing w:after="0" w:line="65" w:lineRule="exact"/>
        <w:rPr>
          <w:rFonts w:ascii="Times New Roman" w:cs="Times New Roman" w:eastAsia="Times New Roman" w:hAnsi="Times New Roman"/>
          <w:sz w:val="16"/>
          <w:szCs w:val="16"/>
          <w:color w:val="auto"/>
        </w:rPr>
      </w:pPr>
    </w:p>
    <w:p>
      <w:pPr>
        <w:ind w:left="400" w:right="20" w:firstLine="370"/>
        <w:spacing w:after="0" w:line="281" w:lineRule="auto"/>
        <w:tabs>
          <w:tab w:leader="none" w:pos="997"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 a Covered Product or Service is Sold in a manner that is not an arm’s-length transaction, (ii) a Covered Product or Service is provided to a Subsidiary in connection with any Plan of Parent or any Subsidiary of Parent, or (iii) a Covered Product or Service is Sold in-kind or for non-cash consideration, Net Sales for such Covered Product or Service will equal the average for such Covered Product or Service in the applicable country during the preceding calendar quarter. If there is not sufficient information available to determine such average Net Sales price,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20"/>
          </w:cols>
          <w:pgMar w:left="1080" w:top="254" w:right="1099" w:bottom="1440" w:gutter="0" w:footer="0" w:header="0"/>
        </w:sectPr>
      </w:pPr>
    </w:p>
    <w:bookmarkStart w:id="191" w:name="page192"/>
    <w:bookmarkEnd w:id="191"/>
    <w:p>
      <w:pPr>
        <w:ind w:left="400" w:right="2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the Holder Representative and the Parent will negotiate in good faith and mutually agree upon the Net Sales value, taking into consideration the fair market value of such Covered Product or Service and the Net Sales of similar Covered Products or Services in similar countries (provided that if Parent and the Holder Representative are unable to agree on such Net Sales value after negotiating in good faith for 30 days, the Parties shall engage a Subject Matter Expert to resolve the dispute in accordance with the procedures set forth in Section 6.5(b),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means a certificate signed by a duly authorized executive officer of Parent.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Opinion of Counsel</w:t>
      </w:r>
      <w:r>
        <w:rPr>
          <w:rFonts w:ascii="Times New Roman" w:cs="Times New Roman" w:eastAsia="Times New Roman" w:hAnsi="Times New Roman"/>
          <w:sz w:val="16"/>
          <w:szCs w:val="16"/>
          <w:color w:val="auto"/>
        </w:rPr>
        <w:t>” means a written opinion of counsel, who may be counsel for Parent.</w:t>
      </w:r>
    </w:p>
    <w:p>
      <w:pPr>
        <w:spacing w:after="0" w:line="197" w:lineRule="exact"/>
        <w:rPr>
          <w:sz w:val="20"/>
          <w:szCs w:val="20"/>
          <w:color w:val="auto"/>
        </w:rPr>
      </w:pPr>
    </w:p>
    <w:p>
      <w:pPr>
        <w:ind w:right="6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order, judgment, injunction, award, decision, determination, stipulation, ruling, subpoena, writ, decree or verdict entered by or with any Governmental Authority.</w:t>
      </w:r>
    </w:p>
    <w:p>
      <w:pPr>
        <w:spacing w:after="0" w:line="145" w:lineRule="exact"/>
        <w:rPr>
          <w:sz w:val="20"/>
          <w:szCs w:val="20"/>
          <w:color w:val="auto"/>
        </w:rPr>
      </w:pPr>
    </w:p>
    <w:p>
      <w:pPr>
        <w:ind w:firstLine="388"/>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Covered Revenue</w:t>
      </w:r>
      <w:r>
        <w:rPr>
          <w:rFonts w:ascii="Times New Roman" w:cs="Times New Roman" w:eastAsia="Times New Roman" w:hAnsi="Times New Roman"/>
          <w:sz w:val="16"/>
          <w:szCs w:val="16"/>
          <w:color w:val="auto"/>
        </w:rPr>
        <w:t>” means all revenue of Parent and its Subsidiaries (including the Company) on a consolidated basis recognized in connection with any activities in or directed to the Field, or otherwise to the extent arising from or attributable to the Field, in each case that utilize Existing IP, other than revenue recognized in connection with Net Sales, which activities include licensing (or granting of similar rights, including option, distribution rights and/or enforcing intellectual property rights) under the intellectual property of Parent and its Subsidiaries (including the Company) (other than intercompany licenses), collaboration, asset sale, intellectual property enforcement or other activities (including any settlements, awards, penalties, damages or other recoveries), in each case in or directed to the Field, or otherwise to the extent arising from or attributable to the Field that utilize the Company’s Existing IP. If Parent and its Subsidiaries (including the Company) receive non-cash consideration (including shares of equity or in-kind contribution of goods or services), or consideration in a transaction that is not at arm’s length (including any transfer of technology or intellectual property rights to an Affiliate, other than a wholly owned Subsidiary), from any activities in or directed to the Field, or otherwise arising to the extent from or attributable to the Field (other than from or in connection with Net Sales) that utilize the Company’s Existing IP such consideration will be included in Other Covered Revenue based on the fair market value of such consideration, as determined in good faith by Parent. Notwithstanding the foregoing, Other Covered Revenue shall exclude any consideration received by Parent or its Subsidiaries in connection with any Minority Transaction (to the extent included in clause (f) of the definition of Covered Revenues), any transaction subject to Section 8.1 or any Specified Asset Sale.</w:t>
      </w:r>
    </w:p>
    <w:p>
      <w:pPr>
        <w:spacing w:after="0" w:line="173" w:lineRule="exact"/>
        <w:rPr>
          <w:sz w:val="20"/>
          <w:szCs w:val="20"/>
          <w:color w:val="auto"/>
        </w:rPr>
      </w:pPr>
    </w:p>
    <w:p>
      <w:pPr>
        <w:ind w:right="20" w:firstLine="388"/>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Outstanding</w:t>
      </w:r>
      <w:r>
        <w:rPr>
          <w:rFonts w:ascii="Times New Roman" w:cs="Times New Roman" w:eastAsia="Times New Roman" w:hAnsi="Times New Roman"/>
          <w:sz w:val="16"/>
          <w:szCs w:val="16"/>
          <w:color w:val="auto"/>
        </w:rPr>
        <w:t xml:space="preserve">” when used with respect to CVRs means, as of the date of determination, all CVRs theretofore authenticated, issued and delivered under this CVR Agreement, except (i) CVRs theretofore cancelled by the Trustee or delivered to the Trustee for cancellation and (ii) CVRs in exchange for or in lieu of which other CVRs have been authenticated and delivered pursuant to this CVR Agreement, other than any such CVRs in respect of which there shall have been presented to the Trustee proof satisfactory to it that such CVRs are held by a bona fide purchaser in whose hands the CVRs are valid obligations of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determining whether the Holders of the requisite Outstanding CVRs have given any request, demand, authorization, direction, consent, waiver or other action hereunder, CVRs owned by Parent or any Affiliate of Parent (or any successor thereof), whether held as treasury securities or otherwise, shall be disregarded and deemed not to be Outstanding, except that for the purposes of determining whether the Trustee shall be protected in relying on any such request, demand, authorization, direction, consent, waiver or other action, only CVRs that a Responsible Officer of the Trustee actually knows are so owned shall be so disregarded.</w:t>
      </w:r>
    </w:p>
    <w:p>
      <w:pPr>
        <w:spacing w:after="0" w:line="165" w:lineRule="exact"/>
        <w:rPr>
          <w:sz w:val="20"/>
          <w:szCs w:val="20"/>
          <w:color w:val="auto"/>
        </w:rPr>
      </w:pPr>
    </w:p>
    <w:p>
      <w:pPr>
        <w:ind w:right="120" w:firstLine="388"/>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means the Person (as defined herein) named as Parent in the first paragraph of this CVR Agreement, until a successor Person shall have become such pursuant to the applicable provisions of this CVR Agreement, and thereafter Parent shall mean such successor Person. To the extent necessary to comply with the requirements of the provisions of Trust Indenture Act Sections 310 through 317, inclusive, to the extent that they are applicable to Parent, the term “Parent” shall include any other obligor with respect to the CVRs for the purposes of complying with such provisions.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20"/>
          </w:cols>
          <w:pgMar w:left="1080" w:top="254" w:right="1099" w:bottom="1440" w:gutter="0" w:footer="0" w:header="0"/>
        </w:sectPr>
      </w:pPr>
    </w:p>
    <w:bookmarkStart w:id="192" w:name="page193"/>
    <w:bookmarkEnd w:id="192"/>
    <w:p>
      <w:pPr>
        <w:ind w:right="40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Parent Request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Parent Order</w:t>
      </w:r>
      <w:r>
        <w:rPr>
          <w:rFonts w:ascii="Times New Roman" w:cs="Times New Roman" w:eastAsia="Times New Roman" w:hAnsi="Times New Roman"/>
          <w:sz w:val="16"/>
          <w:szCs w:val="16"/>
          <w:color w:val="auto"/>
        </w:rPr>
        <w:t>” means a written request or order signed in the name of Parent by a duly authorized officer of Parent, and delivered to the Trustee.</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means the Trustee, the Holder Representative and Parent, as applicable.</w:t>
      </w:r>
    </w:p>
    <w:p>
      <w:pPr>
        <w:spacing w:after="0" w:line="197" w:lineRule="exact"/>
        <w:rPr>
          <w:sz w:val="20"/>
          <w:szCs w:val="20"/>
          <w:color w:val="auto"/>
        </w:rPr>
      </w:pPr>
    </w:p>
    <w:p>
      <w:pPr>
        <w:ind w:right="14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Paying Agent</w:t>
      </w:r>
      <w:r>
        <w:rPr>
          <w:rFonts w:ascii="Times New Roman" w:cs="Times New Roman" w:eastAsia="Times New Roman" w:hAnsi="Times New Roman"/>
          <w:sz w:val="16"/>
          <w:szCs w:val="16"/>
          <w:color w:val="auto"/>
        </w:rPr>
        <w:t>” means any Person authorized by Parent to pay the amounts determined pursuant to Section 2.2, if any, with respect to any CVRs on behalf of Parent.</w:t>
      </w:r>
    </w:p>
    <w:p>
      <w:pPr>
        <w:spacing w:after="0" w:line="145" w:lineRule="exact"/>
        <w:rPr>
          <w:sz w:val="20"/>
          <w:szCs w:val="20"/>
          <w:color w:val="auto"/>
        </w:rPr>
      </w:pPr>
    </w:p>
    <w:p>
      <w:pPr>
        <w:ind w:right="1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Payment Date</w:t>
      </w:r>
      <w:r>
        <w:rPr>
          <w:rFonts w:ascii="Times New Roman" w:cs="Times New Roman" w:eastAsia="Times New Roman" w:hAnsi="Times New Roman"/>
          <w:sz w:val="16"/>
          <w:szCs w:val="16"/>
          <w:color w:val="auto"/>
        </w:rPr>
        <w:t>” means any Covered Revenues Payment Date and any such date as shall be required for any CVR Shortfall payment pursuant to the review procedure set forth in Section 6.5.</w:t>
      </w:r>
    </w:p>
    <w:p>
      <w:pPr>
        <w:spacing w:after="0" w:line="145" w:lineRule="exact"/>
        <w:rPr>
          <w:sz w:val="20"/>
          <w:szCs w:val="20"/>
          <w:color w:val="auto"/>
        </w:rPr>
      </w:pPr>
    </w:p>
    <w:p>
      <w:pPr>
        <w:ind w:right="66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Deductions</w:t>
      </w:r>
      <w:r>
        <w:rPr>
          <w:rFonts w:ascii="Times New Roman" w:cs="Times New Roman" w:eastAsia="Times New Roman" w:hAnsi="Times New Roman"/>
          <w:sz w:val="16"/>
          <w:szCs w:val="16"/>
          <w:color w:val="auto"/>
        </w:rPr>
        <w:t>” means the following items, all in accordance with standard allocation procedures, allowance methodologies and accounting methods consistently applied in accordance with GAAP (except as otherwise provided below):</w:t>
      </w:r>
    </w:p>
    <w:p>
      <w:pPr>
        <w:spacing w:after="0" w:line="50" w:lineRule="exact"/>
        <w:rPr>
          <w:sz w:val="20"/>
          <w:szCs w:val="20"/>
          <w:color w:val="auto"/>
        </w:rPr>
      </w:pPr>
    </w:p>
    <w:p>
      <w:pPr>
        <w:ind w:left="620" w:hanging="223"/>
        <w:spacing w:after="0"/>
        <w:tabs>
          <w:tab w:leader="none" w:pos="620"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credits or allowances for defects, returns, rejections, recalls or billing corrections;</w:t>
      </w:r>
    </w:p>
    <w:p>
      <w:pPr>
        <w:spacing w:after="0" w:line="101" w:lineRule="exact"/>
        <w:rPr>
          <w:rFonts w:ascii="Times New Roman" w:cs="Times New Roman" w:eastAsia="Times New Roman" w:hAnsi="Times New Roman"/>
          <w:sz w:val="16"/>
          <w:szCs w:val="16"/>
          <w:color w:val="auto"/>
        </w:rPr>
      </w:pPr>
    </w:p>
    <w:p>
      <w:pPr>
        <w:ind w:right="80" w:firstLine="397"/>
        <w:spacing w:after="0" w:line="263" w:lineRule="auto"/>
        <w:tabs>
          <w:tab w:leader="none" w:pos="613"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reserves made for uncollectible amounts on previously sold or distributed Products and Services and deductions for bad debts (which adjustment shall be based on actual bad debts incurred and written off as uncollectible by Parent in a quarter, net of any recoveries of previously written off bad debts from current or prior quarters);</w:t>
      </w:r>
    </w:p>
    <w:p>
      <w:pPr>
        <w:spacing w:after="0" w:line="61" w:lineRule="exact"/>
        <w:rPr>
          <w:rFonts w:ascii="Times New Roman" w:cs="Times New Roman" w:eastAsia="Times New Roman" w:hAnsi="Times New Roman"/>
          <w:sz w:val="16"/>
          <w:szCs w:val="16"/>
          <w:color w:val="auto"/>
        </w:rPr>
      </w:pPr>
    </w:p>
    <w:p>
      <w:pPr>
        <w:ind w:firstLine="397"/>
        <w:spacing w:after="0" w:line="278" w:lineRule="auto"/>
        <w:tabs>
          <w:tab w:leader="none" w:pos="604"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separately itemized and invoiced freight, postage, shipping and insurance, handling, and other transportation costs,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items are passed on to the purchaser (or other acquirer) at cost;</w:t>
      </w:r>
    </w:p>
    <w:p>
      <w:pPr>
        <w:spacing w:after="0" w:line="49" w:lineRule="exact"/>
        <w:rPr>
          <w:rFonts w:ascii="Times New Roman" w:cs="Times New Roman" w:eastAsia="Times New Roman" w:hAnsi="Times New Roman"/>
          <w:sz w:val="16"/>
          <w:szCs w:val="16"/>
          <w:color w:val="auto"/>
        </w:rPr>
      </w:pPr>
    </w:p>
    <w:p>
      <w:pPr>
        <w:ind w:right="80" w:firstLine="397"/>
        <w:spacing w:after="0" w:line="263" w:lineRule="auto"/>
        <w:tabs>
          <w:tab w:leader="none" w:pos="613"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use, value added, and other similar Taxes (excluding income Taxes), tariffs, customs duties, surcharges, and other governmental charges levied on the production, Sale, transportation, delivery, use, or performance of any Product or Service (as applicable) that are incurred at time of the transaction, are directly related to the transaction, and are actually paid to a Governmental Authority; and</w:t>
      </w:r>
    </w:p>
    <w:p>
      <w:pPr>
        <w:spacing w:after="0" w:line="6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reasonable and customary quantity, cash, rebates, or charge backs;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aggregate deductions under this clause (e) and clause</w:t>
      </w:r>
    </w:p>
    <w:p>
      <w:pPr>
        <w:spacing w:after="0" w:line="23" w:lineRule="exact"/>
        <w:rPr>
          <w:rFonts w:ascii="Times New Roman" w:cs="Times New Roman" w:eastAsia="Times New Roman" w:hAnsi="Times New Roman"/>
          <w:sz w:val="16"/>
          <w:szCs w:val="16"/>
          <w:color w:val="auto"/>
        </w:rPr>
      </w:pPr>
    </w:p>
    <w:p>
      <w:pPr>
        <w:ind w:left="220" w:hanging="211"/>
        <w:spacing w:after="0"/>
        <w:tabs>
          <w:tab w:leader="none" w:pos="22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shall not exceed, in any calendar year, 5.0% of the gross amount invoiced or otherwise received for the Sale of any Products or Services.</w:t>
      </w:r>
    </w:p>
    <w:p>
      <w:pPr>
        <w:spacing w:after="0" w:line="180" w:lineRule="exact"/>
        <w:rPr>
          <w:sz w:val="20"/>
          <w:szCs w:val="20"/>
          <w:color w:val="auto"/>
        </w:rPr>
      </w:pPr>
    </w:p>
    <w:p>
      <w:pPr>
        <w:ind w:right="180" w:firstLine="388"/>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means (a) a transfer by a Holder of all, but not less than all, CVRs held by such Holder to a single transferee, (b) a transfer by a Holder of any or all of the CVRs held by such Holder to a single transferee,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transfer does not result in such Holder or such transferee holding less than 0.5% of the total number of CVRs then Outstanding or (c) a transfer as provided in Section 2.11 of this CVR Agreement. Notwithstanding any other provision in this CVR Agreement to the contrary, any transfer that results in a number of Holders that would require the registration of the CVRs as a class of equity securities under the Exchange Act shall be deemed to not be a Permitted Transfer.</w:t>
      </w:r>
    </w:p>
    <w:p>
      <w:pPr>
        <w:spacing w:after="0" w:line="70" w:lineRule="exact"/>
        <w:rPr>
          <w:sz w:val="20"/>
          <w:szCs w:val="20"/>
          <w:color w:val="auto"/>
        </w:rPr>
      </w:pPr>
    </w:p>
    <w:p>
      <w:pPr>
        <w:ind w:right="80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corporation, partnership, limited partnership, limited liability company, syndicate, person (as defined in Section 13(d)(3) of the Exchange Act), trust, association, entity or Governmental Authority.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20"/>
          </w:cols>
          <w:pgMar w:left="1080" w:top="254" w:right="1099" w:bottom="1440" w:gutter="0" w:footer="0" w:header="0"/>
        </w:sectPr>
      </w:pPr>
    </w:p>
    <w:bookmarkStart w:id="193" w:name="page194"/>
    <w:bookmarkEnd w:id="193"/>
    <w:p>
      <w:pPr>
        <w:ind w:right="34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Pro Rata Portion</w:t>
      </w:r>
      <w:r>
        <w:rPr>
          <w:rFonts w:ascii="Times New Roman" w:cs="Times New Roman" w:eastAsia="Times New Roman" w:hAnsi="Times New Roman"/>
          <w:sz w:val="16"/>
          <w:szCs w:val="16"/>
          <w:color w:val="auto"/>
        </w:rPr>
        <w:t>” means, with respect to a Holder, a fraction, the numerator of which is the sum of the aggregate number of CVRs that such Holder holds, and, the denominator of which is the total number of CVRs Outstanding, in each case, as of the applicable Payment Date.</w:t>
      </w:r>
    </w:p>
    <w:p>
      <w:pPr>
        <w:spacing w:after="0" w:line="145" w:lineRule="exact"/>
        <w:rPr>
          <w:sz w:val="20"/>
          <w:szCs w:val="20"/>
          <w:color w:val="auto"/>
        </w:rPr>
      </w:pPr>
    </w:p>
    <w:p>
      <w:pPr>
        <w:ind w:right="44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Product</w:t>
      </w:r>
      <w:r>
        <w:rPr>
          <w:rFonts w:ascii="Times New Roman" w:cs="Times New Roman" w:eastAsia="Times New Roman" w:hAnsi="Times New Roman"/>
          <w:sz w:val="16"/>
          <w:szCs w:val="16"/>
          <w:color w:val="auto"/>
        </w:rPr>
        <w:t>” means any tangible or intangible item, material, composition, or device, including kits, nucleotides, buffers, reagents, equipment, instruments, hardware, software, and any component of any of the foregoing.</w:t>
      </w:r>
    </w:p>
    <w:p>
      <w:pPr>
        <w:spacing w:after="0" w:line="145" w:lineRule="exact"/>
        <w:rPr>
          <w:sz w:val="20"/>
          <w:szCs w:val="20"/>
          <w:color w:val="auto"/>
        </w:rPr>
      </w:pPr>
    </w:p>
    <w:p>
      <w:pPr>
        <w:ind w:right="14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Redemption Eligibility Date</w:t>
      </w:r>
      <w:r>
        <w:rPr>
          <w:rFonts w:ascii="Times New Roman" w:cs="Times New Roman" w:eastAsia="Times New Roman" w:hAnsi="Times New Roman"/>
          <w:sz w:val="16"/>
          <w:szCs w:val="16"/>
          <w:color w:val="auto"/>
        </w:rPr>
        <w:t>” means the date that at least 90% of the CVRs issued pursuant to the terms of the Merger Agreement either (a) are no longer Outstanding and/or (b) have been repurchased, acquired, redeemed or retired by the Company.</w:t>
      </w:r>
    </w:p>
    <w:p>
      <w:pPr>
        <w:spacing w:after="0" w:line="145"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Redemption Price</w:t>
      </w:r>
      <w:r>
        <w:rPr>
          <w:rFonts w:ascii="Times New Roman" w:cs="Times New Roman" w:eastAsia="Times New Roman" w:hAnsi="Times New Roman"/>
          <w:sz w:val="16"/>
          <w:szCs w:val="16"/>
          <w:color w:val="auto"/>
        </w:rPr>
        <w:t>” means (i) the fair market value of a CVR as determined by an independent nationally recognized valuation firm mutually acceptable to Parent and the Holder Representative, the expenses of which will be borne by Parent or (ii) in the event that Holders (other than Parent and its Affiliates and their respective successors) of more than 50% of Outstanding CVRs accept a tender offer by Parent or any of its Affiliates that is undertaken by Parent or any of its Affiliates in connection with the redemption after the Redemption Eligibility Date, the price accepted in such tender offer.</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shall have the meaning set forth in Section 6.8 of this CVR Agreement.</w:t>
      </w:r>
    </w:p>
    <w:p>
      <w:pPr>
        <w:spacing w:after="0" w:line="197" w:lineRule="exact"/>
        <w:rPr>
          <w:sz w:val="20"/>
          <w:szCs w:val="20"/>
          <w:color w:val="auto"/>
        </w:rPr>
      </w:pPr>
    </w:p>
    <w:p>
      <w:pPr>
        <w:ind w:right="12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Responsible Officer</w:t>
      </w:r>
      <w:r>
        <w:rPr>
          <w:rFonts w:ascii="Times New Roman" w:cs="Times New Roman" w:eastAsia="Times New Roman" w:hAnsi="Times New Roman"/>
          <w:sz w:val="16"/>
          <w:szCs w:val="16"/>
          <w:color w:val="auto"/>
        </w:rPr>
        <w:t>” when used with respect to the Trustee means any officer assigned to the Corporate Trust Office and also means, with respect to any particular corporate trust matter, any other officer of the Trustee to whom such matter is referred because of his or her knowledge of and familiarity with the particular subject.</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Review Request Period</w:t>
      </w:r>
      <w:r>
        <w:rPr>
          <w:rFonts w:ascii="Times New Roman" w:cs="Times New Roman" w:eastAsia="Times New Roman" w:hAnsi="Times New Roman"/>
          <w:sz w:val="16"/>
          <w:szCs w:val="16"/>
          <w:color w:val="auto"/>
        </w:rPr>
        <w:t>” shall have the meaning set forth in Section 6.5(a) of this CVR Agreement.</w:t>
      </w:r>
    </w:p>
    <w:p>
      <w:pPr>
        <w:spacing w:after="0" w:line="197" w:lineRule="exact"/>
        <w:rPr>
          <w:sz w:val="20"/>
          <w:szCs w:val="20"/>
          <w:color w:val="auto"/>
        </w:rPr>
      </w:pPr>
    </w:p>
    <w:p>
      <w:pPr>
        <w:ind w:right="20" w:firstLine="388"/>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Sale of Data</w:t>
      </w:r>
      <w:r>
        <w:rPr>
          <w:rFonts w:ascii="Times New Roman" w:cs="Times New Roman" w:eastAsia="Times New Roman" w:hAnsi="Times New Roman"/>
          <w:sz w:val="15"/>
          <w:szCs w:val="15"/>
          <w:color w:val="auto"/>
        </w:rPr>
        <w:t>” means (i) Sales of a Product or Service accessing Data or databases containing Data, generated, created, aggregated or collected by the Company or (following the Closing) Parent or any Subsidiary of Parent from activities within the Field and subjecting it to analysis, data mining or similar information technology processes for any purpose to create or improve such Product or Service for any purpose (including outside the Field) or</w:t>
      </w:r>
    </w:p>
    <w:p>
      <w:pPr>
        <w:spacing w:after="0" w:line="2" w:lineRule="exact"/>
        <w:rPr>
          <w:sz w:val="20"/>
          <w:szCs w:val="20"/>
          <w:color w:val="auto"/>
        </w:rPr>
      </w:pPr>
    </w:p>
    <w:p>
      <w:pPr>
        <w:ind w:right="140" w:firstLine="9"/>
        <w:spacing w:after="0" w:line="251" w:lineRule="auto"/>
        <w:tabs>
          <w:tab w:leader="none" w:pos="233"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Data or databases containing Data generated, created, aggregated or collected by the Company or (following the Closing) Parent or any Subsidiary of Parent from activities within the Field to a third party for any purpose (including outside the Field); provided that in each case of (i) and (ii), if any such Data or databases containing such Data is amalgamated with other Data of Parent wherein 50% or more of the value of such combined Data is derived from the other Data of Parent, then 50% of the Net Sales generated shall be deemed to be “Covered Revenues”.</w:t>
      </w:r>
    </w:p>
    <w:p>
      <w:pPr>
        <w:spacing w:after="0" w:line="165" w:lineRule="exact"/>
        <w:rPr>
          <w:sz w:val="20"/>
          <w:szCs w:val="20"/>
          <w:color w:val="auto"/>
        </w:rPr>
      </w:pPr>
    </w:p>
    <w:p>
      <w:pPr>
        <w:ind w:right="4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Sales</w:t>
      </w:r>
      <w:r>
        <w:rPr>
          <w:rFonts w:ascii="Times New Roman" w:cs="Times New Roman" w:eastAsia="Times New Roman" w:hAnsi="Times New Roman"/>
          <w:sz w:val="16"/>
          <w:szCs w:val="16"/>
          <w:color w:val="auto"/>
        </w:rPr>
        <w:t>” means any sale, distribution, lease, license, provision, performance, making available or exploitation of any Covered Products or Services (with the terms “Sell” and “Sold” having correlative meanings) (it being understood, for the avoidance of doubt, that a “Sale” shall not include any transaction subject to Section 8.1 or a Minority Transaction).</w:t>
      </w:r>
    </w:p>
    <w:p>
      <w:pPr>
        <w:spacing w:after="0" w:line="157" w:lineRule="exact"/>
        <w:rPr>
          <w:sz w:val="20"/>
          <w:szCs w:val="20"/>
          <w:color w:val="auto"/>
        </w:rPr>
      </w:pPr>
    </w:p>
    <w:p>
      <w:pPr>
        <w:ind w:right="20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Sample</w:t>
      </w:r>
      <w:r>
        <w:rPr>
          <w:rFonts w:ascii="Times New Roman" w:cs="Times New Roman" w:eastAsia="Times New Roman" w:hAnsi="Times New Roman"/>
          <w:sz w:val="16"/>
          <w:szCs w:val="16"/>
          <w:color w:val="auto"/>
        </w:rPr>
        <w:t>” means a non-tissue biopsy sample including a sample of blood (and any components thereof including whole blood, blood fraction, plasma, serum, blood mononuclear cells (PBMCs) and white blood cells (WBC)), urine, pleural fluid, pericardial fluid, cerebrospinal fluid, peritoneal fluid, cervical swab, fecal, saliva or any other bodily fluid.</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Securities and Exchange Commission.</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00"/>
          </w:cols>
          <w:pgMar w:left="1080" w:top="254" w:right="1119" w:bottom="1440" w:gutter="0" w:footer="0" w:header="0"/>
        </w:sectPr>
      </w:pPr>
    </w:p>
    <w:bookmarkStart w:id="194" w:name="page195"/>
    <w:bookmarkEnd w:id="194"/>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shall have the meaning set forth in the Recitals of this CVR Agreement.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shall have the meaning set forth in the Recitals of this CVR Agreement.</w:t>
      </w:r>
    </w:p>
    <w:p>
      <w:pPr>
        <w:spacing w:after="0" w:line="197"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Services</w:t>
      </w:r>
      <w:r>
        <w:rPr>
          <w:rFonts w:ascii="Times New Roman" w:cs="Times New Roman" w:eastAsia="Times New Roman" w:hAnsi="Times New Roman"/>
          <w:sz w:val="16"/>
          <w:szCs w:val="16"/>
          <w:color w:val="auto"/>
        </w:rPr>
        <w:t>” means any work or service of any kind for use in the Field utilizing any Methylation-based Technology, whether in whole or in part, and all ancillary, wrap-around or support services that are reasonably related to, provided in connection with or customarily billed together to support such work or services, including services for genotyping, sequencing, screening, diagnostics and testing (including by using the Galleri multi-cancer early detection test, the DAC diagnostic aid for cancer, or the Minimal Residual Disease Test), Data interpretation, clinical trial, research, collaboration, development, and software or Data provided as a service, in each case for use in the Field utilizing any Methylation-based Technology.</w:t>
      </w:r>
    </w:p>
    <w:p>
      <w:pPr>
        <w:spacing w:after="0" w:line="163" w:lineRule="exact"/>
        <w:rPr>
          <w:sz w:val="20"/>
          <w:szCs w:val="20"/>
          <w:color w:val="auto"/>
        </w:rPr>
      </w:pPr>
    </w:p>
    <w:p>
      <w:pPr>
        <w:ind w:right="440" w:firstLine="388"/>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Shortfall Interest Rate</w:t>
      </w:r>
      <w:r>
        <w:rPr>
          <w:rFonts w:ascii="Times New Roman" w:cs="Times New Roman" w:eastAsia="Times New Roman" w:hAnsi="Times New Roman"/>
          <w:sz w:val="16"/>
          <w:szCs w:val="16"/>
          <w:color w:val="auto"/>
        </w:rPr>
        <w:t xml:space="preserve">” means a rate equal to the prime rate of interest quoted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or similar reputable data source, calculated daily on the basis of a 365-day year or, if lower, the highest rate permitted under applicable Law.</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Shortfall Report</w:t>
      </w:r>
      <w:r>
        <w:rPr>
          <w:rFonts w:ascii="Times New Roman" w:cs="Times New Roman" w:eastAsia="Times New Roman" w:hAnsi="Times New Roman"/>
          <w:sz w:val="16"/>
          <w:szCs w:val="16"/>
          <w:color w:val="auto"/>
        </w:rPr>
        <w:t>” shall have the meaning set forth in Section 6.5(b) of this CVR Agreement.</w:t>
      </w:r>
    </w:p>
    <w:p>
      <w:pPr>
        <w:spacing w:after="0" w:line="197" w:lineRule="exact"/>
        <w:rPr>
          <w:sz w:val="20"/>
          <w:szCs w:val="20"/>
          <w:color w:val="auto"/>
        </w:rPr>
      </w:pPr>
    </w:p>
    <w:p>
      <w:pPr>
        <w:ind w:right="14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Subsidiaries</w:t>
      </w:r>
      <w:r>
        <w:rPr>
          <w:rFonts w:ascii="Times New Roman" w:cs="Times New Roman" w:eastAsia="Times New Roman" w:hAnsi="Times New Roman"/>
          <w:sz w:val="16"/>
          <w:szCs w:val="16"/>
          <w:color w:val="auto"/>
        </w:rPr>
        <w:t>” of any specified Person means an Affiliate controlled by such Person, directly or indirectly, through one or more intermediaries, and, for the avoidance of doubt, after the Closing, the Company and its Subsidiaries are Subsidiaries of Parent.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shall have the meaning set forth in the Recitals of this CVR Agreement.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Surviving Entity</w:t>
      </w:r>
      <w:r>
        <w:rPr>
          <w:rFonts w:ascii="Times New Roman" w:cs="Times New Roman" w:eastAsia="Times New Roman" w:hAnsi="Times New Roman"/>
          <w:sz w:val="16"/>
          <w:szCs w:val="16"/>
          <w:color w:val="auto"/>
        </w:rPr>
        <w:t>” shall have the meaning set forth in the Recitals of this CVR Agreement.</w:t>
      </w:r>
    </w:p>
    <w:p>
      <w:pPr>
        <w:spacing w:after="0" w:line="197" w:lineRule="exact"/>
        <w:rPr>
          <w:sz w:val="20"/>
          <w:szCs w:val="20"/>
          <w:color w:val="auto"/>
        </w:rPr>
      </w:pPr>
    </w:p>
    <w:p>
      <w:pPr>
        <w:ind w:right="2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all taxes or similar duties, fees or charges or assessments thereof imposed by any Governmental Authority, in each case in the nature of a tax, including any interest, penalties and additions imposed with respect to such amount.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Therapy Selection</w:t>
      </w:r>
      <w:r>
        <w:rPr>
          <w:rFonts w:ascii="Times New Roman" w:cs="Times New Roman" w:eastAsia="Times New Roman" w:hAnsi="Times New Roman"/>
          <w:sz w:val="16"/>
          <w:szCs w:val="16"/>
          <w:color w:val="auto"/>
        </w:rPr>
        <w:t>” means (i) determining whether, or the probability of whether an individual is likely to respond to a therapy or intervention,</w:t>
      </w:r>
    </w:p>
    <w:p>
      <w:pPr>
        <w:spacing w:after="0" w:line="23" w:lineRule="exact"/>
        <w:rPr>
          <w:sz w:val="20"/>
          <w:szCs w:val="20"/>
          <w:color w:val="auto"/>
        </w:rPr>
      </w:pPr>
    </w:p>
    <w:p>
      <w:pPr>
        <w:ind w:right="40" w:firstLine="9"/>
        <w:spacing w:after="0" w:line="252" w:lineRule="auto"/>
        <w:tabs>
          <w:tab w:leader="none" w:pos="23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whether an individual would likely not respond to therapy or intervention, (iii) determining the manner in which a specific therapy is applied with respect to dose, frequency, means of administration, or co-administration with another therapy; (iv) determining where administration of a therapeutic treatments is contraindicated; and/or (v) identification of patients who may be eligible for adjuvant cancer therapy.</w:t>
      </w:r>
    </w:p>
    <w:p>
      <w:pPr>
        <w:spacing w:after="0" w:line="165" w:lineRule="exact"/>
        <w:rPr>
          <w:sz w:val="20"/>
          <w:szCs w:val="20"/>
          <w:color w:val="auto"/>
        </w:rPr>
      </w:pPr>
    </w:p>
    <w:p>
      <w:pPr>
        <w:ind w:firstLine="388"/>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Threshold Measuring Period</w:t>
      </w:r>
      <w:r>
        <w:rPr>
          <w:rFonts w:ascii="Times New Roman" w:cs="Times New Roman" w:eastAsia="Times New Roman" w:hAnsi="Times New Roman"/>
          <w:sz w:val="15"/>
          <w:szCs w:val="15"/>
          <w:color w:val="auto"/>
        </w:rPr>
        <w:t xml:space="preserve">” means each fiscal year of Parent during the Covered Revenues Term;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 if the Commencement Date does not fall on the first day of Parent’s fiscal year, the First Threshold Measuring Period shall commence on the Commencement Date and end on the last day of Parent’s fiscal year during which the Commencement Date falls and (ii) the Final Threshold Measuring Period shall end on the End Date.</w:t>
      </w:r>
    </w:p>
    <w:p>
      <w:pPr>
        <w:spacing w:after="0" w:line="138"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Equity Count</w:t>
      </w:r>
      <w:r>
        <w:rPr>
          <w:rFonts w:ascii="Times New Roman" w:cs="Times New Roman" w:eastAsia="Times New Roman" w:hAnsi="Times New Roman"/>
          <w:sz w:val="16"/>
          <w:szCs w:val="16"/>
          <w:color w:val="auto"/>
        </w:rPr>
        <w:t>” means, in each case as of immediately prior to the Effective Time, (a) the aggregate number of shares of Company Class A Common Stock issued and outstanding, including all Class A Restricted Stock Awards; (b) the aggregate number of shares of Company Class A Common Stock issuable upon conversion of all issued and outstanding shares of Company Class B Common Stock, including all Class B Restricted Stock Awards, and Company Preferred Stock in accordance with the Company’s certificate of incorporation; and (c) except as otherwise included in the foregoing clause (b), the aggregate number of shares of Company Class A Common Stock issuable in respect of all outstanding</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640"/>
          </w:cols>
          <w:pgMar w:left="1080" w:top="254" w:right="1179" w:bottom="1440" w:gutter="0" w:footer="0" w:header="0"/>
        </w:sectPr>
      </w:pPr>
    </w:p>
    <w:bookmarkStart w:id="195" w:name="page196"/>
    <w:bookmarkEnd w:id="195"/>
    <w:p>
      <w:pPr>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options and other direct or indirect rights to acquire shares of Company Class A Common Stock or securities ultimately convertible into or exchangeable for shares of Company Class A Common Stock, including all Company RSU Awards and Company Stock Options; provided that, for the avoidance of doubt, any equity securities which may be issuable by the Company pursuant to the terms of the contract disclosed at item 35 of Section 4.09(a) of the Company Disclosure Letter shall not be included in “Total Equity Count” unless such equity securities are issued and outstanding as of immediately prior to the Effective Time.</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 Indenture Act</w:t>
      </w:r>
      <w:r>
        <w:rPr>
          <w:rFonts w:ascii="Times New Roman" w:cs="Times New Roman" w:eastAsia="Times New Roman" w:hAnsi="Times New Roman"/>
          <w:sz w:val="16"/>
          <w:szCs w:val="16"/>
          <w:color w:val="auto"/>
        </w:rPr>
        <w:t>” means the Trust Indenture Act of 1939, as amended from time to time.</w:t>
      </w:r>
    </w:p>
    <w:p>
      <w:pPr>
        <w:spacing w:after="0" w:line="197" w:lineRule="exact"/>
        <w:rPr>
          <w:sz w:val="20"/>
          <w:szCs w:val="20"/>
          <w:color w:val="auto"/>
        </w:rPr>
      </w:pPr>
    </w:p>
    <w:p>
      <w:pPr>
        <w:ind w:right="26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means the Person named as the “Trustee” in the first paragraph of this CVR Agreement, until a successor Trustee shall have become such pursuant to the applicable provisions of this CVR Agreement, and thereafter “Trustee” shall mean such successor Trustee.</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Compliance and Opinions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100" w:firstLine="397"/>
        <w:spacing w:after="0" w:line="254" w:lineRule="auto"/>
        <w:tabs>
          <w:tab w:leader="none" w:pos="604"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application or request by Parent to the Trustee to take any action under any provision of this CVR Agreement, if requested by the Trustee, Parent shall furnish to the Trustee (i) an Officer’s Certificate stating that, in the opinion of the signor, all conditions precedent, if any, provided for in this CVR Agreement relating to the proposed action have been complied with and (ii) an Opinion of Counsel stating, subject to customary exceptions, that in the opinion of such counsel all such conditions precedent, if any, have been complied with, except that, in the case of any such application or request as to which the furnishing of such documents is specifically required by any provision of this CVR Agreement relating to such particular application or request, no additional certificate or opinion need be furnished.</w:t>
      </w:r>
    </w:p>
    <w:p>
      <w:pPr>
        <w:spacing w:after="0" w:line="69" w:lineRule="exact"/>
        <w:rPr>
          <w:rFonts w:ascii="Times New Roman" w:cs="Times New Roman" w:eastAsia="Times New Roman" w:hAnsi="Times New Roman"/>
          <w:sz w:val="16"/>
          <w:szCs w:val="16"/>
          <w:color w:val="auto"/>
        </w:rPr>
      </w:pPr>
    </w:p>
    <w:p>
      <w:pPr>
        <w:ind w:right="140" w:firstLine="397"/>
        <w:spacing w:after="0" w:line="254" w:lineRule="auto"/>
        <w:tabs>
          <w:tab w:leader="none" w:pos="613"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certificate or opinion with respect to compliance with a condition or covenant provided for in this CVR Agreement shall include: (i) a statement that each individual signing such certificate or opinion has read such covenant or condition and the definitions herein relating thereto; (ii) a brief statement as to the nature and scope of the examination or investigation upon which the statements or opinions contained in such certificate or opinion are based; (iii) a statement that, in the opinion of each such individual, he or she has made such examination or investigation as is necessary to enable him or her to express an informed opinion as to whether or not such covenant or condition has been complied with; and (iv) a statement as to whether, in the opinion of each such individual, such condition or covenant has been complied with.</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Form of Documents Delivered to Trustee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right="120" w:firstLine="397"/>
        <w:spacing w:after="0" w:line="258" w:lineRule="auto"/>
        <w:tabs>
          <w:tab w:leader="none" w:pos="604"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65" w:lineRule="exact"/>
        <w:rPr>
          <w:rFonts w:ascii="Times New Roman" w:cs="Times New Roman" w:eastAsia="Times New Roman" w:hAnsi="Times New Roman"/>
          <w:sz w:val="16"/>
          <w:szCs w:val="16"/>
          <w:color w:val="auto"/>
        </w:rPr>
      </w:pPr>
    </w:p>
    <w:p>
      <w:pPr>
        <w:jc w:val="both"/>
        <w:ind w:right="160" w:firstLine="397"/>
        <w:spacing w:after="0" w:line="258" w:lineRule="auto"/>
        <w:tabs>
          <w:tab w:leader="none" w:pos="613"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certificate or opinion of an officer of Parent may be based, insofar as it relates to legal matters, upon a certificate or opinion of, or representations by, counsel. Any such certificate or Opinion of Counsel may be based, insofar as it relates to factual matters, upon a certificate or opinion of, or representations by, an officer or officers of Parent stating that the information with respect to such factual matters is in the possession of Parent.</w:t>
      </w:r>
    </w:p>
    <w:p>
      <w:pPr>
        <w:spacing w:after="0" w:line="65" w:lineRule="exact"/>
        <w:rPr>
          <w:rFonts w:ascii="Times New Roman" w:cs="Times New Roman" w:eastAsia="Times New Roman" w:hAnsi="Times New Roman"/>
          <w:sz w:val="16"/>
          <w:szCs w:val="16"/>
          <w:color w:val="auto"/>
        </w:rPr>
      </w:pPr>
    </w:p>
    <w:p>
      <w:pPr>
        <w:ind w:right="360" w:firstLine="397"/>
        <w:spacing w:after="0" w:line="263" w:lineRule="auto"/>
        <w:tabs>
          <w:tab w:leader="none" w:pos="604"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certificate, statement or opinion of an officer of Parent or of counsel may be based, insofar as it relates to accounting matters, upon a certificate or opinion of or representations by an accountant or firm of accountants in the employ of Parent. Any certificate or opinion of any independent firm of public accountants filed with the Trustee shall contain a statement that such firm is independent.</w:t>
      </w:r>
    </w:p>
    <w:p>
      <w:pPr>
        <w:spacing w:after="0" w:line="61" w:lineRule="exact"/>
        <w:rPr>
          <w:rFonts w:ascii="Times New Roman" w:cs="Times New Roman" w:eastAsia="Times New Roman" w:hAnsi="Times New Roman"/>
          <w:sz w:val="16"/>
          <w:szCs w:val="16"/>
          <w:color w:val="auto"/>
        </w:rPr>
      </w:pPr>
    </w:p>
    <w:p>
      <w:pPr>
        <w:ind w:right="80" w:firstLine="397"/>
        <w:spacing w:after="0" w:line="278" w:lineRule="auto"/>
        <w:tabs>
          <w:tab w:leader="none" w:pos="613"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any Person is required to make, give or execute two or more applications, requests, consents, certificates, statements, opinions or other instruments under this CVR Agreement, they may, but need not, be consolidated and form one instrument.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00"/>
          </w:cols>
          <w:pgMar w:left="1080" w:top="254" w:right="1119" w:bottom="1440" w:gutter="0" w:footer="0" w:header="0"/>
        </w:sectPr>
      </w:pPr>
    </w:p>
    <w:bookmarkStart w:id="196" w:name="page197"/>
    <w:bookmarkEnd w:id="196"/>
    <w:p>
      <w:pPr>
        <w:ind w:left="39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1.4. </w:t>
      </w:r>
      <w:r>
        <w:rPr>
          <w:rFonts w:ascii="Times New Roman" w:cs="Times New Roman" w:eastAsia="Times New Roman" w:hAnsi="Times New Roman"/>
          <w:sz w:val="16"/>
          <w:szCs w:val="16"/>
          <w:u w:val="single" w:color="auto"/>
          <w:color w:val="auto"/>
        </w:rPr>
        <w:t>Acts of Holders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9" w:firstLine="397"/>
        <w:spacing w:after="0" w:line="266" w:lineRule="auto"/>
        <w:tabs>
          <w:tab w:leader="none" w:pos="595"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request, demand, authorization, direction, notice, consent, waiver or other action provided by this CVR Agreement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Parent.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CVR Agreement and (subject to Section 3.1) conclusive in favor of the Trustee and Parent, if made in the manner provided in this Section 1.4. Parent may set a record date for purposes of determining the identity of Holders entitled to vote or consent to any action by vote or consent authorized or permitted under this CVR Agreement. If not previously set by Parent, (i) the record date for determining the Holders entitled to vote at a meeting of the Holders shall be the date preceding the date notice of such meeting is mailed to the Holders, or if notice is not given, on the day next preceding the day such meeting is held, and (ii) the record date for determining the Holders entitled to consent to any action in writing without a meeting shall be the first date on which a signed written consent setting forth the action taken or proposed to be taken is delivered to Parent. If a record date is fixed, those Persons who were Holders of CVRs at such record date (or their duly designated proxies), and only those Persons, shall be entitled to take such action by vote or consent or, except with respect to clause</w:t>
      </w:r>
    </w:p>
    <w:p>
      <w:pPr>
        <w:spacing w:after="0" w:line="6" w:lineRule="exact"/>
        <w:rPr>
          <w:rFonts w:ascii="Times New Roman" w:cs="Times New Roman" w:eastAsia="Times New Roman" w:hAnsi="Times New Roman"/>
          <w:sz w:val="15"/>
          <w:szCs w:val="15"/>
          <w:color w:val="auto"/>
        </w:rPr>
      </w:pPr>
    </w:p>
    <w:p>
      <w:pPr>
        <w:ind w:left="-9" w:right="200" w:firstLine="9"/>
        <w:spacing w:after="0" w:line="256" w:lineRule="auto"/>
        <w:tabs>
          <w:tab w:leader="none" w:pos="216"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below, to revoke any vote or consent previously given, whether or not such Persons continue to be Holders after such record date. No such vote or consent shall be valid or effective for more than 120 days after such record date.</w:t>
      </w:r>
    </w:p>
    <w:p>
      <w:pPr>
        <w:spacing w:after="0" w:line="66" w:lineRule="exact"/>
        <w:rPr>
          <w:rFonts w:ascii="Times New Roman" w:cs="Times New Roman" w:eastAsia="Times New Roman" w:hAnsi="Times New Roman"/>
          <w:sz w:val="16"/>
          <w:szCs w:val="16"/>
          <w:color w:val="auto"/>
        </w:rPr>
      </w:pPr>
    </w:p>
    <w:p>
      <w:pPr>
        <w:ind w:left="-9" w:firstLine="397"/>
        <w:spacing w:after="0" w:line="278" w:lineRule="auto"/>
        <w:tabs>
          <w:tab w:leader="none" w:pos="604"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and date of the execution by any Person of any such instrument or writing may be proved in any reasonable manner which the Trustee deems sufficient.</w:t>
      </w:r>
    </w:p>
    <w:p>
      <w:pPr>
        <w:spacing w:after="0" w:line="49" w:lineRule="exact"/>
        <w:rPr>
          <w:rFonts w:ascii="Times New Roman" w:cs="Times New Roman" w:eastAsia="Times New Roman" w:hAnsi="Times New Roman"/>
          <w:sz w:val="16"/>
          <w:szCs w:val="16"/>
          <w:color w:val="auto"/>
        </w:rPr>
      </w:pPr>
    </w:p>
    <w:p>
      <w:pPr>
        <w:ind w:left="-9" w:right="220" w:firstLine="397"/>
        <w:spacing w:after="0" w:line="278" w:lineRule="auto"/>
        <w:tabs>
          <w:tab w:leader="none" w:pos="592"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CVRs shall be proved by the CVR Register. Neither Parent nor the Trustee nor any agent of Parent or the Trustee shall be affected by any notice to the contrary.</w:t>
      </w:r>
    </w:p>
    <w:p>
      <w:pPr>
        <w:spacing w:after="0" w:line="49" w:lineRule="exact"/>
        <w:rPr>
          <w:rFonts w:ascii="Times New Roman" w:cs="Times New Roman" w:eastAsia="Times New Roman" w:hAnsi="Times New Roman"/>
          <w:sz w:val="16"/>
          <w:szCs w:val="16"/>
          <w:color w:val="auto"/>
        </w:rPr>
      </w:pPr>
    </w:p>
    <w:p>
      <w:pPr>
        <w:ind w:left="-9" w:right="20" w:firstLine="397"/>
        <w:spacing w:after="0" w:line="273" w:lineRule="auto"/>
        <w:tabs>
          <w:tab w:leader="none" w:pos="604"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prior to (but not after) the evidencing to the Trustee, as provided in this Section 1.4, of the taking of any action by the Holders of the CVRs specified in this CVR Agreement in connection with such action, any Holder of a CVR the serial number of which is shown by the evidence to be included among the serial numbers of the CVRs the Holders of which have consented to such action may, by filing written notice at the Corporate Trust Office and upon proof of holding as provided in this Section 1.4, revoke such action so far as concerns such CVR. Any request, demand, authorization, direction, notice, consent, waiver or other action by the Holder of any CVR shall bind every future Holder of the same CVR or the Holder of every CVR issued upon the registration of transfer thereof or in exchange therefor or in lieu thereof, in respect of anything done, suffered or omitted to be done by the Trustee, any Paying Agent or Parent in reliance thereon, whether or not notation of such action is made upon such CVR.</w:t>
      </w:r>
    </w:p>
    <w:p>
      <w:pPr>
        <w:spacing w:after="0" w:line="54" w:lineRule="exact"/>
        <w:rPr>
          <w:rFonts w:ascii="Times New Roman" w:cs="Times New Roman" w:eastAsia="Times New Roman" w:hAnsi="Times New Roman"/>
          <w:sz w:val="15"/>
          <w:szCs w:val="15"/>
          <w:color w:val="auto"/>
        </w:rPr>
      </w:pPr>
    </w:p>
    <w:p>
      <w:pPr>
        <w:ind w:left="-9" w:firstLine="397"/>
        <w:spacing w:after="0" w:line="278" w:lineRule="auto"/>
        <w:tabs>
          <w:tab w:leader="none" w:pos="595"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including any permitted transferee (in each case by their acceptance of the CVRs hereby), shall be deemed to have acknowledged the rights and privileges of the Holder Representative set forth in this CVR Agreement.</w:t>
      </w:r>
    </w:p>
    <w:p>
      <w:pPr>
        <w:spacing w:after="0" w:line="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691"/>
          </w:cols>
          <w:pgMar w:left="1089" w:top="254" w:right="1119" w:bottom="1440" w:gutter="0" w:footer="0" w:header="0"/>
        </w:sectPr>
      </w:pPr>
    </w:p>
    <w:bookmarkStart w:id="197" w:name="page198"/>
    <w:bookmarkEnd w:id="197"/>
    <w:p>
      <w:pPr>
        <w:ind w:right="10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1.5. </w:t>
      </w:r>
      <w:r>
        <w:rPr>
          <w:rFonts w:ascii="Times New Roman" w:cs="Times New Roman" w:eastAsia="Times New Roman" w:hAnsi="Times New Roman"/>
          <w:sz w:val="16"/>
          <w:szCs w:val="16"/>
          <w:u w:val="single" w:color="auto"/>
          <w:color w:val="auto"/>
        </w:rPr>
        <w:t>Notices, etc., to Trustee and Parent</w:t>
      </w:r>
      <w:r>
        <w:rPr>
          <w:rFonts w:ascii="Times New Roman" w:cs="Times New Roman" w:eastAsia="Times New Roman" w:hAnsi="Times New Roman"/>
          <w:sz w:val="16"/>
          <w:szCs w:val="16"/>
          <w:color w:val="auto"/>
        </w:rPr>
        <w:t>. Any request, demand, authorization, direction, notice, consent, waiver or Act of Holders or other document provided or permitted by this CVR Agreement to be made upon, given or furnished to, or filed with:</w:t>
      </w:r>
    </w:p>
    <w:p>
      <w:pPr>
        <w:spacing w:after="0" w:line="50" w:lineRule="exact"/>
        <w:rPr>
          <w:sz w:val="20"/>
          <w:szCs w:val="20"/>
          <w:color w:val="auto"/>
        </w:rPr>
      </w:pPr>
    </w:p>
    <w:p>
      <w:pPr>
        <w:ind w:right="120" w:firstLine="397"/>
        <w:spacing w:after="0" w:line="278" w:lineRule="auto"/>
        <w:tabs>
          <w:tab w:leader="none" w:pos="604"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by any Holder or by Parent shall be sufficient for every purpose hereunder if made, given, furnished or filed, in writing, to or with the Trustee at its Corporate Trust Office; or</w:t>
      </w:r>
    </w:p>
    <w:p>
      <w:pPr>
        <w:spacing w:after="0" w:line="49" w:lineRule="exact"/>
        <w:rPr>
          <w:rFonts w:ascii="Times New Roman" w:cs="Times New Roman" w:eastAsia="Times New Roman" w:hAnsi="Times New Roman"/>
          <w:sz w:val="16"/>
          <w:szCs w:val="16"/>
          <w:color w:val="auto"/>
        </w:rPr>
      </w:pPr>
    </w:p>
    <w:p>
      <w:pPr>
        <w:ind w:right="160" w:firstLine="397"/>
        <w:spacing w:after="0" w:line="263" w:lineRule="auto"/>
        <w:tabs>
          <w:tab w:leader="none" w:pos="61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by the Trustee or by any Holder shall be sufficient for every purpose hereunder if in writing and mailed, first-class postage prepaid, to Parent addressed to it at 5200 Illumina Way, San Diego, California 92122, or at any other address previously furnished in writing to the Trustee by Parent.</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Notice to Holders; Waiver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40" w:firstLine="397"/>
        <w:spacing w:after="0" w:line="252" w:lineRule="auto"/>
        <w:tabs>
          <w:tab w:leader="none" w:pos="604"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this CVR Agreement provides for notice to Holders of any event, such notice shall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CVR Agreement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72" w:lineRule="exact"/>
        <w:rPr>
          <w:rFonts w:ascii="Times New Roman" w:cs="Times New Roman" w:eastAsia="Times New Roman" w:hAnsi="Times New Roman"/>
          <w:sz w:val="16"/>
          <w:szCs w:val="16"/>
          <w:color w:val="auto"/>
        </w:rPr>
      </w:pPr>
    </w:p>
    <w:p>
      <w:pPr>
        <w:jc w:val="both"/>
        <w:ind w:right="40" w:firstLine="397"/>
        <w:spacing w:after="0" w:line="263" w:lineRule="auto"/>
        <w:tabs>
          <w:tab w:leader="none" w:pos="61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by reason of the suspension of regular mail service or by reason of any other cause, it shall be impracticable to mail notice of any event as required by any provision of this CVR Agreement, then any method of giving such notice as shall be satisfactory to the Trustee shall be deemed to be a sufficient giving of such notice.</w:t>
      </w:r>
    </w:p>
    <w:p>
      <w:pPr>
        <w:spacing w:after="0" w:line="157" w:lineRule="exact"/>
        <w:rPr>
          <w:sz w:val="20"/>
          <w:szCs w:val="20"/>
          <w:color w:val="auto"/>
        </w:rPr>
      </w:pPr>
    </w:p>
    <w:p>
      <w:pPr>
        <w:ind w:right="2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Conflict with Trust Indenture Act</w:t>
      </w:r>
      <w:r>
        <w:rPr>
          <w:rFonts w:ascii="Times New Roman" w:cs="Times New Roman" w:eastAsia="Times New Roman" w:hAnsi="Times New Roman"/>
          <w:sz w:val="16"/>
          <w:szCs w:val="16"/>
          <w:color w:val="auto"/>
        </w:rPr>
        <w:t>. If any provision hereof limits, qualifies or conflicts with another provision hereof which is required to be included in this CVR Agreement by any of the provisions of the Trust Indenture Act, such required provision shall control.</w:t>
      </w:r>
    </w:p>
    <w:p>
      <w:pPr>
        <w:spacing w:after="0" w:line="145" w:lineRule="exact"/>
        <w:rPr>
          <w:sz w:val="20"/>
          <w:szCs w:val="20"/>
          <w:color w:val="auto"/>
        </w:rPr>
      </w:pPr>
    </w:p>
    <w:p>
      <w:pPr>
        <w:ind w:right="32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Effect of Headings and Table of Contents</w:t>
      </w:r>
      <w:r>
        <w:rPr>
          <w:rFonts w:ascii="Times New Roman" w:cs="Times New Roman" w:eastAsia="Times New Roman" w:hAnsi="Times New Roman"/>
          <w:sz w:val="16"/>
          <w:szCs w:val="16"/>
          <w:color w:val="auto"/>
        </w:rPr>
        <w:t>. The Article and Section headings herein and the Table of Contents are for convenience only and shall not affect the construction hereof.</w:t>
      </w:r>
    </w:p>
    <w:p>
      <w:pPr>
        <w:spacing w:after="0" w:line="145" w:lineRule="exact"/>
        <w:rPr>
          <w:sz w:val="20"/>
          <w:szCs w:val="20"/>
          <w:color w:val="auto"/>
        </w:rPr>
      </w:pPr>
    </w:p>
    <w:p>
      <w:pPr>
        <w:ind w:right="14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Benefits of Agreement</w:t>
      </w:r>
      <w:r>
        <w:rPr>
          <w:rFonts w:ascii="Times New Roman" w:cs="Times New Roman" w:eastAsia="Times New Roman" w:hAnsi="Times New Roman"/>
          <w:sz w:val="16"/>
          <w:szCs w:val="16"/>
          <w:color w:val="auto"/>
        </w:rPr>
        <w:t>. Nothing in this CVR Agreement or in the CVRs, express or implied, shall give to any Person (other than the Parties hereto and their successors and permitted assigns and, solely in accordance with the express terms of this CVR Agreement and subject to Sections 1.4, 1.13, 2.2 and 7.6, the Holders) any benefit or any legal or equitable right, remedy or claim under this CVR Agreement or under any covenant or provision herein contained.</w:t>
      </w:r>
    </w:p>
    <w:p>
      <w:pPr>
        <w:spacing w:after="0" w:line="161" w:lineRule="exact"/>
        <w:rPr>
          <w:sz w:val="20"/>
          <w:szCs w:val="20"/>
          <w:color w:val="auto"/>
        </w:rPr>
      </w:pPr>
    </w:p>
    <w:p>
      <w:pPr>
        <w:ind w:firstLine="388"/>
        <w:spacing w:after="0" w:line="228" w:lineRule="auto"/>
        <w:rPr>
          <w:sz w:val="20"/>
          <w:szCs w:val="20"/>
          <w:color w:val="auto"/>
        </w:rPr>
      </w:pPr>
      <w:r>
        <w:rPr>
          <w:rFonts w:ascii="Times New Roman" w:cs="Times New Roman" w:eastAsia="Times New Roman" w:hAnsi="Times New Roman"/>
          <w:sz w:val="16"/>
          <w:szCs w:val="16"/>
          <w:color w:val="auto"/>
        </w:rPr>
        <w:t xml:space="preserve">Section 1.10.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This CVR Agreement shall be governed by, and construed in accordance with, the Laws of the State of Delaware, without giving effect to any choice or conflict of Law provisions or rule (whether of the State of Delaware or any other jurisdiction) that would cause the application of the Laws of any jurisdiction other than the State of Delaware. All litigation, suits, actions or proceedings (collectively, “</w:t>
      </w:r>
      <w:r>
        <w:rPr>
          <w:rFonts w:ascii="Times New Roman" w:cs="Times New Roman" w:eastAsia="Times New Roman" w:hAnsi="Times New Roman"/>
          <w:sz w:val="16"/>
          <w:szCs w:val="16"/>
          <w:u w:val="single" w:color="auto"/>
          <w:color w:val="auto"/>
        </w:rPr>
        <w:t>Actions</w:t>
      </w:r>
      <w:r>
        <w:rPr>
          <w:rFonts w:ascii="Times New Roman" w:cs="Times New Roman" w:eastAsia="Times New Roman" w:hAnsi="Times New Roman"/>
          <w:sz w:val="16"/>
          <w:szCs w:val="16"/>
          <w:color w:val="auto"/>
        </w:rPr>
        <w:t>”) arising out of or relating to this CVR Agreement shall be heard and</w:t>
      </w:r>
    </w:p>
    <w:p>
      <w:pPr>
        <w:spacing w:after="0" w:line="132" w:lineRule="exact"/>
        <w:rPr>
          <w:sz w:val="20"/>
          <w:szCs w:val="20"/>
          <w:color w:val="auto"/>
        </w:rPr>
      </w:pPr>
    </w:p>
    <w:p>
      <w:pPr>
        <w:ind w:left="380" w:hanging="371"/>
        <w:spacing w:after="0"/>
        <w:tabs>
          <w:tab w:leader="none" w:pos="380" w:val="left"/>
        </w:tabs>
        <w:numPr>
          <w:ilvl w:val="0"/>
          <w:numId w:val="1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Trustee to confirm Delaware law is acceptable.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20"/>
          </w:cols>
          <w:pgMar w:left="1080" w:top="254" w:right="1099" w:bottom="1440" w:gutter="0" w:footer="0" w:header="0"/>
        </w:sectPr>
      </w:pPr>
    </w:p>
    <w:bookmarkStart w:id="198" w:name="page199"/>
    <w:bookmarkEnd w:id="198"/>
    <w:p>
      <w:pPr>
        <w:ind w:right="4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determined exclusively in the Court of Chancery of the State of Delaware and any state appellate court therefrom within the State of Delaware (or if the Court of Chancery of the State of Delaware does not have subject matter jurisdiction, any state or federal court within the State of Delaware and the appellate court(s) therefrom). Each of Parent, the Trustee, the Holder Representative and each of the Holders by their acceptance of the CVRs hereby</w:t>
      </w:r>
    </w:p>
    <w:p>
      <w:pPr>
        <w:spacing w:after="0" w:line="2" w:lineRule="exact"/>
        <w:rPr>
          <w:sz w:val="20"/>
          <w:szCs w:val="20"/>
          <w:color w:val="auto"/>
        </w:rPr>
      </w:pPr>
    </w:p>
    <w:p>
      <w:pPr>
        <w:ind w:firstLine="9"/>
        <w:spacing w:after="0" w:line="249" w:lineRule="auto"/>
        <w:tabs>
          <w:tab w:leader="none" w:pos="21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irrevocably submits to the exclusive jurisdiction of the Court of Chancery of the State of Delaware and any state appellate court therefrom within the State of Delaware (or if the Court of Chancery of the State of Delaware does not have subject matter jurisdiction, any state or federal court within the State of Delaware and the appellate court(s) therefrom) for the purpose of any Action arising out of or relating to this CVR Agreement brought by any party hereto, (b) irrevocably waives, and agrees not to assert by way of motion, defense or otherwise, in any such Action, any claim that it is not subject personally to the jurisdiction of the above named courts, that its property is exempt or immune from attachment or execution, that the Action is brought in an inconvenient forum, that the venue of the Action is improper, or that this CVR Agreement may not be enforced in or by the above named courts, and (c) agrees that such party will not bring any Action arising out of or relating to this CVR Agreement in any court other than the Court of Chancery of the State of Delaware (or if the Court of Chancery of the State of Delaware does not have subject matter jurisdiction, any state or federal court within the State of Delaware and the appellate court(s) therefrom).</w:t>
      </w:r>
    </w:p>
    <w:p>
      <w:pPr>
        <w:spacing w:after="0" w:line="169" w:lineRule="exact"/>
        <w:rPr>
          <w:sz w:val="20"/>
          <w:szCs w:val="20"/>
          <w:color w:val="auto"/>
        </w:rPr>
      </w:pPr>
    </w:p>
    <w:p>
      <w:pPr>
        <w:jc w:val="both"/>
        <w:ind w:right="280" w:firstLine="388"/>
        <w:spacing w:after="0" w:line="263" w:lineRule="auto"/>
        <w:rPr>
          <w:sz w:val="20"/>
          <w:szCs w:val="20"/>
          <w:color w:val="auto"/>
        </w:rPr>
      </w:pPr>
      <w:r>
        <w:rPr>
          <w:rFonts w:ascii="Times New Roman" w:cs="Times New Roman" w:eastAsia="Times New Roman" w:hAnsi="Times New Roman"/>
          <w:sz w:val="16"/>
          <w:szCs w:val="16"/>
          <w:color w:val="auto"/>
        </w:rPr>
        <w:t xml:space="preserve">Section 1.11. </w:t>
      </w:r>
      <w:r>
        <w:rPr>
          <w:rFonts w:ascii="Times New Roman" w:cs="Times New Roman" w:eastAsia="Times New Roman" w:hAnsi="Times New Roman"/>
          <w:sz w:val="16"/>
          <w:szCs w:val="16"/>
          <w:u w:val="single" w:color="auto"/>
          <w:color w:val="auto"/>
        </w:rPr>
        <w:t>Legal Holidays</w:t>
      </w:r>
      <w:r>
        <w:rPr>
          <w:rFonts w:ascii="Times New Roman" w:cs="Times New Roman" w:eastAsia="Times New Roman" w:hAnsi="Times New Roman"/>
          <w:sz w:val="16"/>
          <w:szCs w:val="16"/>
          <w:color w:val="auto"/>
        </w:rPr>
        <w:t>. In the event that a Payment Date shall not be a Business Day, then (notwithstanding any provision of this CVR Agreement or the CVRs to the contrary) payment on the CVRs need not be made on such date, but may be made, without the accrual of any interest thereon, on the next succeeding Business Day with the same force and effect as if made on such Payment Date.</w:t>
      </w:r>
    </w:p>
    <w:p>
      <w:pPr>
        <w:spacing w:after="0" w:line="157" w:lineRule="exact"/>
        <w:rPr>
          <w:sz w:val="20"/>
          <w:szCs w:val="20"/>
          <w:color w:val="auto"/>
        </w:rPr>
      </w:pPr>
    </w:p>
    <w:p>
      <w:pPr>
        <w:ind w:right="4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1.12. </w:t>
      </w:r>
      <w:r>
        <w:rPr>
          <w:rFonts w:ascii="Times New Roman" w:cs="Times New Roman" w:eastAsia="Times New Roman" w:hAnsi="Times New Roman"/>
          <w:sz w:val="16"/>
          <w:szCs w:val="16"/>
          <w:u w:val="single" w:color="auto"/>
          <w:color w:val="auto"/>
        </w:rPr>
        <w:t>Separability Clause</w:t>
      </w:r>
      <w:r>
        <w:rPr>
          <w:rFonts w:ascii="Times New Roman" w:cs="Times New Roman" w:eastAsia="Times New Roman" w:hAnsi="Times New Roman"/>
          <w:sz w:val="16"/>
          <w:szCs w:val="16"/>
          <w:color w:val="auto"/>
        </w:rPr>
        <w:t>. In the event any provision in this CVR Agreement or in the CVRs shall be invalid, illegal or unenforceable, the validity, legality and enforceability of the remaining provisions shall not in any way be affected or impaired thereby.</w:t>
      </w:r>
    </w:p>
    <w:p>
      <w:pPr>
        <w:spacing w:after="0" w:line="145" w:lineRule="exact"/>
        <w:rPr>
          <w:sz w:val="20"/>
          <w:szCs w:val="20"/>
          <w:color w:val="auto"/>
        </w:rPr>
      </w:pPr>
    </w:p>
    <w:p>
      <w:pPr>
        <w:ind w:right="8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1.13. </w:t>
      </w:r>
      <w:r>
        <w:rPr>
          <w:rFonts w:ascii="Times New Roman" w:cs="Times New Roman" w:eastAsia="Times New Roman" w:hAnsi="Times New Roman"/>
          <w:sz w:val="16"/>
          <w:szCs w:val="16"/>
          <w:u w:val="single" w:color="auto"/>
          <w:color w:val="auto"/>
        </w:rPr>
        <w:t>No Recourse Against Others</w:t>
      </w:r>
      <w:r>
        <w:rPr>
          <w:rFonts w:ascii="Times New Roman" w:cs="Times New Roman" w:eastAsia="Times New Roman" w:hAnsi="Times New Roman"/>
          <w:sz w:val="16"/>
          <w:szCs w:val="16"/>
          <w:color w:val="auto"/>
        </w:rPr>
        <w:t>. No current or former director, officer or employee, as such, of Parent or the Trustee or of their respective Affiliates shall have any liability for any obligations of Parent or the Trustee under the CVRs or this CVR Agreement or for any claim based on, in respect of or by reason of such obligations or their creation. By accepting a CVR, each Holder waives and releases all such liability. The waiver and release are part of the consideration for the issue of the CVRs.</w:t>
      </w:r>
    </w:p>
    <w:p>
      <w:pPr>
        <w:spacing w:after="0" w:line="161" w:lineRule="exact"/>
        <w:rPr>
          <w:sz w:val="20"/>
          <w:szCs w:val="20"/>
          <w:color w:val="auto"/>
        </w:rPr>
      </w:pPr>
    </w:p>
    <w:p>
      <w:pPr>
        <w:ind w:right="16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CVR Agreement shall be signed in any number of counterparts with the same effect as if the signatures to each counterpart were upon a single instrument, and all such counterparts together shall be deemed an original of this CVR Agreement.</w:t>
      </w:r>
    </w:p>
    <w:p>
      <w:pPr>
        <w:spacing w:after="0" w:line="145" w:lineRule="exact"/>
        <w:rPr>
          <w:sz w:val="20"/>
          <w:szCs w:val="20"/>
          <w:color w:val="auto"/>
        </w:rPr>
      </w:pPr>
    </w:p>
    <w:p>
      <w:pPr>
        <w:ind w:right="18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1.15. </w:t>
      </w:r>
      <w:r>
        <w:rPr>
          <w:rFonts w:ascii="Times New Roman" w:cs="Times New Roman" w:eastAsia="Times New Roman" w:hAnsi="Times New Roman"/>
          <w:sz w:val="16"/>
          <w:szCs w:val="16"/>
          <w:u w:val="single" w:color="auto"/>
          <w:color w:val="auto"/>
        </w:rPr>
        <w:t>Acceptance of Trust</w:t>
      </w:r>
      <w:r>
        <w:rPr>
          <w:rFonts w:ascii="Times New Roman" w:cs="Times New Roman" w:eastAsia="Times New Roman" w:hAnsi="Times New Roman"/>
          <w:sz w:val="16"/>
          <w:szCs w:val="16"/>
          <w:color w:val="auto"/>
        </w:rPr>
        <w:t>. [•], the Trustee named herein, hereby accepts the trusts in this CVR Agreement declared and provided, upon the terms and conditions set forth herein.</w:t>
      </w:r>
    </w:p>
    <w:p>
      <w:pPr>
        <w:spacing w:after="0" w:line="145" w:lineRule="exact"/>
        <w:rPr>
          <w:sz w:val="20"/>
          <w:szCs w:val="20"/>
          <w:color w:val="auto"/>
        </w:rPr>
      </w:pPr>
    </w:p>
    <w:p>
      <w:pPr>
        <w:ind w:right="20" w:firstLine="388"/>
        <w:spacing w:after="0" w:line="271" w:lineRule="auto"/>
        <w:rPr>
          <w:sz w:val="20"/>
          <w:szCs w:val="20"/>
          <w:color w:val="auto"/>
        </w:rPr>
      </w:pPr>
      <w:r>
        <w:rPr>
          <w:rFonts w:ascii="Times New Roman" w:cs="Times New Roman" w:eastAsia="Times New Roman" w:hAnsi="Times New Roman"/>
          <w:sz w:val="15"/>
          <w:szCs w:val="15"/>
          <w:color w:val="auto"/>
        </w:rPr>
        <w:t xml:space="preserve">Section 1.16. </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CVR Agreement shall automatically terminate and be of no further force or effect and shall be deemed satisfied and discharged, and the Parties hereto shall have no liability hereunder (other than with respect to monies due and owing by Parent to the Trustee) (i) on the expiration of the final Review Request Period following the End Date or (ii) in the event that all of the CVR Certificates not previously cancelled shall have become due and payable pursuant to the terms hereof, in each case, provided that all disputes with respect to amounts payable to the Holders brought pursuant to the terms and conditions of this CVR Agreement have been resolved, and Parent has paid or caused to be paid or deposited with the Trustee all amounts payable to the Holders under this CVR Agreement (including any amounts determined in accordance with Section 6.5). Notwithstanding the satisfaction and discharge of this CVR Agreement, the obligations of Parent under Section 3.6(c) shall survive. For the avoidance of doubt, in no event will any Covered Revenues Payment become payable on account of Covered Revenues recognized after the End Date.</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680"/>
          </w:cols>
          <w:pgMar w:left="1080" w:top="254" w:right="11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2</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CONTINGENT VALUE RIGHTS</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Forms Generally</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620" w:hanging="223"/>
        <w:spacing w:after="0"/>
        <w:tabs>
          <w:tab w:leader="none" w:pos="62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and the Trustee’s certificate of authentication shall be in substantially the forms set forth in Annex A, attached hereto and</w:t>
      </w:r>
    </w:p>
    <w:p>
      <w:pPr>
        <w:spacing w:after="0" w:line="23" w:lineRule="exact"/>
        <w:rPr>
          <w:rFonts w:ascii="Times New Roman" w:cs="Times New Roman" w:eastAsia="Times New Roman" w:hAnsi="Times New Roman"/>
          <w:sz w:val="16"/>
          <w:szCs w:val="16"/>
          <w:color w:val="auto"/>
        </w:rPr>
      </w:pPr>
    </w:p>
    <w:p>
      <w:pPr>
        <w:ind w:right="12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herein by this reference, with such appropriate insertions, omissions, substitutions and other variations as are required or permitted by this CVR Agreement and may have such letters, numbers or other marks of identification and such legends or endorsements placed thereon as may be required to comply with the rules of any securities exchange or as may be required by Law or any rule or regulation pursuant thereto, all as may be determined by the officers executing such CVRs, as evidenced by their execution of the CVRs. Any portion of the text of any CVR may be set forth on the reverse thereof, with an appropriate reference thereto on the face of the CVR.</w:t>
      </w:r>
    </w:p>
    <w:p>
      <w:pPr>
        <w:spacing w:after="0" w:line="72" w:lineRule="exact"/>
        <w:rPr>
          <w:rFonts w:ascii="Times New Roman" w:cs="Times New Roman" w:eastAsia="Times New Roman" w:hAnsi="Times New Roman"/>
          <w:sz w:val="16"/>
          <w:szCs w:val="16"/>
          <w:color w:val="auto"/>
        </w:rPr>
      </w:pPr>
    </w:p>
    <w:p>
      <w:pPr>
        <w:ind w:right="340" w:firstLine="397"/>
        <w:spacing w:after="0" w:line="263" w:lineRule="auto"/>
        <w:tabs>
          <w:tab w:leader="none" w:pos="61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definitive CVRs shall be typewritten, printed, lithographed or engraved on steel engraved borders or produced by any combination of these methods or may be produced in any other manner permitted by the rules of any securities exchange on which the CVRs may be listed, all as determined by the officers executing such CVRs, as evidenced by their execution of such CVRs.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Title and Terms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100" w:firstLine="397"/>
        <w:spacing w:after="0" w:line="248" w:lineRule="auto"/>
        <w:tabs>
          <w:tab w:leader="none" w:pos="604"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CVRs represent the rights of Holders to receive contingent cash payments pursuant to this CVR Agreement. The aggregate number of CVRs in respect of which CVR Certificates may be authenticated and delivered under this CVR Agreement is limited to a number equal to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5"/>
          <w:szCs w:val="15"/>
          <w:color w:val="auto"/>
        </w:rPr>
        <w:t>. The initial Holders shall be determined pursuant to the terms of the Merger Agreement and this CVR Agreement, and a list of the initial Holders shall be furnished to the Trustee by or on behalf of Parent in accordance with Section 4.1. From and after the Effective Time, no CVRs shall be issued except as provided in, and in accordance with the terms and conditions of, the Merger Agreement or as otherwise expressly permitted by this CVR Agreement.</w:t>
      </w:r>
    </w:p>
    <w:p>
      <w:pPr>
        <w:spacing w:after="0" w:line="72" w:lineRule="exact"/>
        <w:rPr>
          <w:rFonts w:ascii="Times New Roman" w:cs="Times New Roman" w:eastAsia="Times New Roman" w:hAnsi="Times New Roman"/>
          <w:sz w:val="15"/>
          <w:szCs w:val="15"/>
          <w:color w:val="auto"/>
        </w:rPr>
      </w:pPr>
    </w:p>
    <w:p>
      <w:pPr>
        <w:ind w:left="620" w:hanging="223"/>
        <w:spacing w:after="0"/>
        <w:tabs>
          <w:tab w:leader="none" w:pos="62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shall be known and designated as the “Contingent Value Rights” of Parent.</w:t>
      </w:r>
    </w:p>
    <w:p>
      <w:pPr>
        <w:spacing w:after="0" w:line="101" w:lineRule="exact"/>
        <w:rPr>
          <w:rFonts w:ascii="Times New Roman" w:cs="Times New Roman" w:eastAsia="Times New Roman" w:hAnsi="Times New Roman"/>
          <w:sz w:val="16"/>
          <w:szCs w:val="16"/>
          <w:color w:val="auto"/>
        </w:rPr>
      </w:pPr>
    </w:p>
    <w:p>
      <w:pPr>
        <w:ind w:right="120" w:firstLine="397"/>
        <w:spacing w:after="0" w:line="278" w:lineRule="auto"/>
        <w:tabs>
          <w:tab w:leader="none" w:pos="60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may not be sold, assigned, transferred, pledged, encumbered or in any other manner transferred or disposed of, in whole or in part, other than through a Permitted Transfer in compliance with applicable United States federal and state securities Laws.</w:t>
      </w:r>
    </w:p>
    <w:p>
      <w:pPr>
        <w:spacing w:after="0" w:line="49" w:lineRule="exact"/>
        <w:rPr>
          <w:rFonts w:ascii="Times New Roman" w:cs="Times New Roman" w:eastAsia="Times New Roman" w:hAnsi="Times New Roman"/>
          <w:sz w:val="16"/>
          <w:szCs w:val="16"/>
          <w:color w:val="auto"/>
        </w:rPr>
      </w:pPr>
    </w:p>
    <w:p>
      <w:pPr>
        <w:ind w:firstLine="397"/>
        <w:spacing w:after="0" w:line="255" w:lineRule="auto"/>
        <w:tabs>
          <w:tab w:leader="none" w:pos="613"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or prior to each Covered Revenues Payment Date, Parent shall pay to the Trustee, by wire transfer to the account designated by the Trustee, the Covered Revenues Payment due, if any, in respect of the Covered Revenues Measuring Period ended immediately preceding such Covered Revenues Payment Date, and, promptly following such payment, and in any event within five Business Days, the Trustee shall pay each Holder a Pro Rata Portion of such Covered Revenues Payment;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Parent may retain any Covered Revenues Payment due to Parent or any of its Affiliates with respect to any CVRs owned by Parent or such Affiliates. The final such Covered Revenues Measuring Period shall end on the 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68008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335" w:lineRule="exact"/>
        <w:rPr>
          <w:sz w:val="20"/>
          <w:szCs w:val="20"/>
          <w:color w:val="auto"/>
        </w:rPr>
      </w:pPr>
    </w:p>
    <w:p>
      <w:pPr>
        <w:ind w:left="4780" w:right="3660" w:hanging="4771"/>
        <w:spacing w:after="0" w:line="329" w:lineRule="auto"/>
        <w:tabs>
          <w:tab w:leader="none" w:pos="385" w:val="left"/>
        </w:tabs>
        <w:numPr>
          <w:ilvl w:val="0"/>
          <w:numId w:val="18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number of CVRs issued at Closing pursuant to the terms of the Merger Agreement. 18</w:t>
      </w:r>
    </w:p>
    <w:p>
      <w:pPr>
        <w:sectPr>
          <w:pgSz w:w="11900" w:h="16838" w:orient="portrait"/>
          <w:cols w:equalWidth="0" w:num="1">
            <w:col w:w="9720"/>
          </w:cols>
          <w:pgMar w:left="1080" w:top="252" w:right="1099" w:bottom="1440" w:gutter="0" w:footer="0" w:header="0"/>
        </w:sectPr>
      </w:pPr>
    </w:p>
    <w:bookmarkStart w:id="200" w:name="page201"/>
    <w:bookmarkEnd w:id="200"/>
    <w:p>
      <w:pPr>
        <w:ind w:left="-60" w:right="20" w:firstLine="397"/>
        <w:spacing w:after="0" w:line="278" w:lineRule="auto"/>
        <w:tabs>
          <w:tab w:leader="none" w:pos="544"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Holders of the CVRs, by acceptance thereof, agree that no joint venture, partnership or other fiduciary relationship is created hereby or by the CVRs.</w:t>
      </w:r>
    </w:p>
    <w:p>
      <w:pPr>
        <w:spacing w:after="0" w:line="49" w:lineRule="exact"/>
        <w:rPr>
          <w:rFonts w:ascii="Times New Roman" w:cs="Times New Roman" w:eastAsia="Times New Roman" w:hAnsi="Times New Roman"/>
          <w:sz w:val="16"/>
          <w:szCs w:val="16"/>
          <w:color w:val="auto"/>
        </w:rPr>
      </w:pPr>
    </w:p>
    <w:p>
      <w:pPr>
        <w:ind w:left="-60" w:firstLine="397"/>
        <w:spacing w:after="0" w:line="278" w:lineRule="auto"/>
        <w:tabs>
          <w:tab w:leader="none" w:pos="526"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case of interest on amounts due and payable after the occurrence of an Event of Default or with respect to any CVR Shortfall, no interest shall accrue on any amounts payable in respect of the CVRs.</w:t>
      </w:r>
    </w:p>
    <w:p>
      <w:pPr>
        <w:spacing w:after="0" w:line="49" w:lineRule="exact"/>
        <w:rPr>
          <w:rFonts w:ascii="Times New Roman" w:cs="Times New Roman" w:eastAsia="Times New Roman" w:hAnsi="Times New Roman"/>
          <w:sz w:val="16"/>
          <w:szCs w:val="16"/>
          <w:color w:val="auto"/>
        </w:rPr>
      </w:pPr>
    </w:p>
    <w:p>
      <w:pPr>
        <w:ind w:left="-60" w:firstLine="397"/>
        <w:spacing w:after="0" w:line="258" w:lineRule="auto"/>
        <w:tabs>
          <w:tab w:leader="none" w:pos="553"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the Holders of CVRs are limited to those contractual rights expressed in this CVR Agreement and the CVR Certificate. A Holder of any CVR or CVR Certificate is not, and shall not, by virtue thereof, be, entitled to any rights of a holder of any other equity security or other ownership interest of Parent or in any constituent company to the Mergers or any of their respective Affiliates, either at Law or in equity. The CVRs shall not have any voting or dividend rights.</w:t>
      </w:r>
    </w:p>
    <w:p>
      <w:pPr>
        <w:spacing w:after="0" w:line="65" w:lineRule="exact"/>
        <w:rPr>
          <w:rFonts w:ascii="Times New Roman" w:cs="Times New Roman" w:eastAsia="Times New Roman" w:hAnsi="Times New Roman"/>
          <w:sz w:val="16"/>
          <w:szCs w:val="16"/>
          <w:color w:val="auto"/>
        </w:rPr>
      </w:pPr>
    </w:p>
    <w:p>
      <w:pPr>
        <w:jc w:val="both"/>
        <w:ind w:left="-60" w:right="200" w:firstLine="397"/>
        <w:spacing w:after="0" w:line="263" w:lineRule="auto"/>
        <w:tabs>
          <w:tab w:leader="none" w:pos="553"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this CVR Agreement (including Section 6.5), none of Parent or any of its Affiliates shall have any right to set-off any amounts owed or claimed to be owed by any Holder to any of them against such Holder’s CVRs or any Covered Revenues Payment or other amount payable to such Holder in respect of such CVRs.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Registrable Form</w:t>
      </w:r>
      <w:r>
        <w:rPr>
          <w:rFonts w:ascii="Times New Roman" w:cs="Times New Roman" w:eastAsia="Times New Roman" w:hAnsi="Times New Roman"/>
          <w:sz w:val="16"/>
          <w:szCs w:val="16"/>
          <w:color w:val="auto"/>
        </w:rPr>
        <w:t>. The CVRs shall be issuable only in registered form.</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Execution, Authentication, Delivery and Dating</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60" w:right="20" w:firstLine="397"/>
        <w:spacing w:after="0" w:line="278" w:lineRule="auto"/>
        <w:tabs>
          <w:tab w:leader="none" w:pos="54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shall be executed on behalf of Parent by its chairman of the Board of Directors or its president or any vice president or its treasurer, but need not be attested. The signature of any of these officers on the CVRs may be manual or facsimile.</w:t>
      </w:r>
    </w:p>
    <w:p>
      <w:pPr>
        <w:spacing w:after="0" w:line="49" w:lineRule="exact"/>
        <w:rPr>
          <w:rFonts w:ascii="Times New Roman" w:cs="Times New Roman" w:eastAsia="Times New Roman" w:hAnsi="Times New Roman"/>
          <w:sz w:val="16"/>
          <w:szCs w:val="16"/>
          <w:color w:val="auto"/>
        </w:rPr>
      </w:pPr>
    </w:p>
    <w:p>
      <w:pPr>
        <w:ind w:left="-60" w:right="140" w:firstLine="397"/>
        <w:spacing w:after="0" w:line="263" w:lineRule="auto"/>
        <w:tabs>
          <w:tab w:leader="none" w:pos="553"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bearing the manual or facsimile signatures of individuals who were, at the time of execution, the proper officers of Parent shall bind Parent, notwithstanding that such individuals or any of them have ceased to hold such offices prior to the authentication and delivery of such CVRs or did not hold such offices at the date of such CVRs.</w:t>
      </w:r>
    </w:p>
    <w:p>
      <w:pPr>
        <w:spacing w:after="0" w:line="61" w:lineRule="exact"/>
        <w:rPr>
          <w:rFonts w:ascii="Times New Roman" w:cs="Times New Roman" w:eastAsia="Times New Roman" w:hAnsi="Times New Roman"/>
          <w:sz w:val="16"/>
          <w:szCs w:val="16"/>
          <w:color w:val="auto"/>
        </w:rPr>
      </w:pPr>
    </w:p>
    <w:p>
      <w:pPr>
        <w:ind w:left="-60" w:right="100" w:firstLine="397"/>
        <w:spacing w:after="0" w:line="263" w:lineRule="auto"/>
        <w:tabs>
          <w:tab w:leader="none" w:pos="54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and from time to time after the execution and delivery of this CVR Agreement, Parent may deliver CVRs executed by Parent to the Trustee for authentication, together with a Parent Order for the authentication and delivery of such CVRs; and the Trustee, in accordance with such Parent Order, shall authenticate and deliver such CVRs as provided in this CVR Agreement and not otherwise.</w:t>
      </w:r>
    </w:p>
    <w:p>
      <w:pPr>
        <w:spacing w:after="0" w:line="61" w:lineRule="exact"/>
        <w:rPr>
          <w:rFonts w:ascii="Times New Roman" w:cs="Times New Roman" w:eastAsia="Times New Roman" w:hAnsi="Times New Roman"/>
          <w:sz w:val="16"/>
          <w:szCs w:val="16"/>
          <w:color w:val="auto"/>
        </w:rPr>
      </w:pPr>
    </w:p>
    <w:p>
      <w:pPr>
        <w:ind w:left="560" w:hanging="223"/>
        <w:spacing w:after="0"/>
        <w:tabs>
          <w:tab w:leader="none" w:pos="5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CVR shall be dated the date of its authentication.</w:t>
      </w:r>
    </w:p>
    <w:p>
      <w:pPr>
        <w:spacing w:after="0" w:line="101" w:lineRule="exact"/>
        <w:rPr>
          <w:rFonts w:ascii="Times New Roman" w:cs="Times New Roman" w:eastAsia="Times New Roman" w:hAnsi="Times New Roman"/>
          <w:sz w:val="16"/>
          <w:szCs w:val="16"/>
          <w:color w:val="auto"/>
        </w:rPr>
      </w:pPr>
    </w:p>
    <w:p>
      <w:pPr>
        <w:ind w:left="-60" w:right="120" w:firstLine="397"/>
        <w:spacing w:after="0" w:line="258" w:lineRule="auto"/>
        <w:tabs>
          <w:tab w:leader="none" w:pos="54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CVR shall be entitled to any benefit under this CVR Agreement or be valid or obligatory for any purpose unless there appears on such CVR a certificate of authentication substantially in the form provided for herein duly executed by the Trustee, by manual or facsimile signature of an authorized officer, and such certificate upon any CVR shall be conclusive evidence, and the only evidence, that such CVR has been duly authenticated and delivered hereunder and that the Holder is entitled to the benefits of this CVR Agreement.</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Temporary CVRs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60" w:right="60" w:firstLine="397"/>
        <w:spacing w:after="0" w:line="254" w:lineRule="auto"/>
        <w:tabs>
          <w:tab w:leader="none" w:pos="544"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the preparation of definitive CVRs, Parent may execute, and upon Parent Order, the Trustee shall authenticate and deliver, temporary CVRs which are printed, lithographed, typewritten, mimeographed or otherwise produced, substantially of the tenor of the definitive CVRs in lieu of which they are issued and with such appropriate insertions, omissions, substitutions and other variations as the officers executing such CVRs may determine with the concurrence of the Trustee. Temporary CVRs may contain such reference to any provisions of this CVR Agreement as may be appropriate. Every temporary CVR shall be executed by Parent and be authenticated by the Trustee upon the same conditions and in substantially the same manner, and with like effect, as the definitive CVRs.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620"/>
          </w:cols>
          <w:pgMar w:left="1140" w:top="254" w:right="1139" w:bottom="1440" w:gutter="0" w:footer="0" w:header="0"/>
        </w:sectPr>
      </w:pPr>
    </w:p>
    <w:bookmarkStart w:id="201" w:name="page202"/>
    <w:bookmarkEnd w:id="201"/>
    <w:p>
      <w:pPr>
        <w:ind w:left="-20" w:firstLine="397"/>
        <w:spacing w:after="0" w:line="255" w:lineRule="auto"/>
        <w:tabs>
          <w:tab w:leader="none" w:pos="593"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If temporary CVRs are issued, Parent will cause definitive CVRs to be prepared without unreasonable delay. After the preparation of definitive CVRs, the temporary CVRs shall be exchangeable for definitive CVRs upon surrender of the temporary CVRs at the office or agency of Parent designated for such purpose pursuant to Section 6.2, without charge to the Holder. Upon surrender for cancellation of any one or more temporary CVRs, Parent shall execute and the Trustee shall authenticate and deliver in exchange therefor a like amount of definitive CVRs. Until so exchanged, the temporary CVRs shall in all respects be entitled to the same benefits under this CVR Agreement as definitive CVRs.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u w:val="single" w:color="auto"/>
          <w:color w:val="auto"/>
        </w:rPr>
        <w:t>Registration, Registration of Transfer and Exchange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left="-20" w:right="180" w:firstLine="397"/>
        <w:spacing w:after="0" w:line="263" w:lineRule="auto"/>
        <w:tabs>
          <w:tab w:leader="none" w:pos="584"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cause to be kept at the office of the Trustee a register (the “</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in which, subject to reasonable regulations as it may prescribe, Parent shall provide for the registration of the CVRs and any Permitted Transfers of CVRs. The Trustee is hereby initially appointed “CVR Registrar” for the purpose of registering the CVRs and any Permitted Transfers of CVRs as herein provided.</w:t>
      </w:r>
    </w:p>
    <w:p>
      <w:pPr>
        <w:spacing w:after="0" w:line="61" w:lineRule="exact"/>
        <w:rPr>
          <w:rFonts w:ascii="Times New Roman" w:cs="Times New Roman" w:eastAsia="Times New Roman" w:hAnsi="Times New Roman"/>
          <w:sz w:val="16"/>
          <w:szCs w:val="16"/>
          <w:color w:val="auto"/>
        </w:rPr>
      </w:pPr>
    </w:p>
    <w:p>
      <w:pPr>
        <w:ind w:left="-20" w:right="20" w:firstLine="397"/>
        <w:spacing w:after="0" w:line="250" w:lineRule="auto"/>
        <w:tabs>
          <w:tab w:leader="none" w:pos="593"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restrictions on transferability set forth in Section 2.2(c), every request made to transfer a CVR must be in writing and accompanied by a written instrument of transfer and other requested documentation in form reasonably satisfactory to the Trustee and Parent, duly executed by the Holder thereof, setting forth in reasonable detail the circumstances relating to the transfer. Upon receipt of such written notice and surrender for registration of transfer of the CVR Certificates, the Trustee shall, subject to its reasonable determination that the transfer instrument is in proper form, notify Parent that it has received such written notice. Upon receipt of such notice from the Trustee, Parent shall determine, in good faith, whether the transfer otherwise complies with the other terms and conditions of this CVR Agreement (including the provisions of Section 2.2(c)), and if it determines that it does so comply, Parent shall instruct the Trustee in writing to, and the Trustee shall, upon surrender for registration of transfer of such CVR Certificate at the Corporate Trust Office, authenticate and deliver, in the name of the designated transferee or transferees, one or more new CVR Certificates representing the same aggregate number of CVRs represented by the CVR Certificate so surrendered that are to be transferred and Parent shall execute and the Trustee shall authenticate and deliver, in the name of the transferor, one CVR Certificate representing the aggregate number of CVRs represented by such CVR Certificate that are not to be transferred. If Parent determines in good faith that the proposed transfer does not comply with the other terms and conditions of this CVR Agreement (including the provisions of Section 2.2(c)), Parent shall provide the Trustee with written notice of such determination, which notice shall include, in reasonable detail, the rationale for such determination, including which provisions of this CVR Agreement the proposed transfer does not comply.</w:t>
      </w:r>
    </w:p>
    <w:p>
      <w:pPr>
        <w:spacing w:after="0" w:line="77" w:lineRule="exact"/>
        <w:rPr>
          <w:rFonts w:ascii="Times New Roman" w:cs="Times New Roman" w:eastAsia="Times New Roman" w:hAnsi="Times New Roman"/>
          <w:sz w:val="16"/>
          <w:szCs w:val="16"/>
          <w:color w:val="auto"/>
        </w:rPr>
      </w:pPr>
    </w:p>
    <w:p>
      <w:pPr>
        <w:ind w:left="-20" w:firstLine="397"/>
        <w:spacing w:after="0" w:line="255" w:lineRule="auto"/>
        <w:tabs>
          <w:tab w:leader="none" w:pos="584"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option of the Holder, CVR Certificates may be exchanged for other CVR Certificates that represent in the aggregate the same number of CVRs as the CVR Certificates surrendered at the Corporate Trust Office. Every CVR presented or surrendered for exchange shall (if so required by Parent or the Trustee) be duly endorsed, or be accompanied by a written instrument of exchange in form satisfactory to Parent and the Trustee. Whenever any CVR Certificates are so surrendered for exchange, Parent shall execute, and the Trustee shall authenticate and deliver, the CVR Certificates which the Holder making the exchange is entitled to receive.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680"/>
          </w:cols>
          <w:pgMar w:left="1100" w:top="254" w:right="1119" w:bottom="1440" w:gutter="0" w:footer="0" w:header="0"/>
        </w:sectPr>
      </w:pPr>
    </w:p>
    <w:bookmarkStart w:id="202" w:name="page203"/>
    <w:bookmarkEnd w:id="202"/>
    <w:p>
      <w:pPr>
        <w:jc w:val="both"/>
        <w:ind w:right="140" w:firstLine="397"/>
        <w:spacing w:after="0" w:line="281" w:lineRule="auto"/>
        <w:tabs>
          <w:tab w:leader="none" w:pos="613"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Parent and the Trustee may require payment of a sum sufficient to cover any stamp or other Tax or governmental charge that is imposed in connection with any such registration of transfer or exchange, other than pursuant to Sections 2.7 and 5.6, not involving a transfer. The Trustee shall have no duty or obligation to take any action under any section of this CVR Agreement that requires the payment of applicable Taxes or governmental charges unless and until the Trustee is satisfied that all such Taxes or governmental charges have been paid or otherwise not due and owing.</w:t>
      </w:r>
    </w:p>
    <w:p>
      <w:pPr>
        <w:spacing w:after="0" w:line="48" w:lineRule="exact"/>
        <w:rPr>
          <w:rFonts w:ascii="Times New Roman" w:cs="Times New Roman" w:eastAsia="Times New Roman" w:hAnsi="Times New Roman"/>
          <w:sz w:val="15"/>
          <w:szCs w:val="15"/>
          <w:color w:val="auto"/>
        </w:rPr>
      </w:pPr>
    </w:p>
    <w:p>
      <w:pPr>
        <w:ind w:right="120" w:firstLine="397"/>
        <w:spacing w:after="0" w:line="263" w:lineRule="auto"/>
        <w:tabs>
          <w:tab w:leader="none" w:pos="604"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CVRs issued upon any registration of transfer or exchange of CVRs as provided for herein shall be the valid obligations of Parent, evidencing the same rights, and entitled to the same benefits under this CVR Agreement, as the CVRs surrendered upon such registration of transfer or exchange.</w:t>
      </w:r>
    </w:p>
    <w:p>
      <w:pPr>
        <w:spacing w:after="0" w:line="61" w:lineRule="exact"/>
        <w:rPr>
          <w:rFonts w:ascii="Times New Roman" w:cs="Times New Roman" w:eastAsia="Times New Roman" w:hAnsi="Times New Roman"/>
          <w:sz w:val="16"/>
          <w:szCs w:val="16"/>
          <w:color w:val="auto"/>
        </w:rPr>
      </w:pPr>
    </w:p>
    <w:p>
      <w:pPr>
        <w:ind w:right="120" w:firstLine="397"/>
        <w:spacing w:after="0" w:line="263" w:lineRule="auto"/>
        <w:tabs>
          <w:tab w:leader="none" w:pos="586"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may make a written request to the Trustee to change such Holder’s address of record in the CVR Register. The written request must be duly executed by the Holder. Upon receipt of such written request, the Trustee is hereby authorized to record the change of address in the CVR Register.</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2.7. </w:t>
      </w:r>
      <w:r>
        <w:rPr>
          <w:rFonts w:ascii="Times New Roman" w:cs="Times New Roman" w:eastAsia="Times New Roman" w:hAnsi="Times New Roman"/>
          <w:sz w:val="16"/>
          <w:szCs w:val="16"/>
          <w:u w:val="single" w:color="auto"/>
          <w:color w:val="auto"/>
        </w:rPr>
        <w:t>Mutilated, Destroyed, Lost and Stolen CVRs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97"/>
        <w:spacing w:after="0" w:line="255" w:lineRule="auto"/>
        <w:tabs>
          <w:tab w:leader="none" w:pos="604"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 any mutilated CVR is surrendered to the Trustee, or (ii) Parent and the Trustee receive evidence to their satisfaction of the destruction, loss or theft of any CVR, and there is delivered to Parent and the Trustee such security or indemnity as may be required by them to save each of them harmless, then, in the absence of notice to Parent or the Trustee that such CVR has been acquired by a bona fide purchaser, Parent shall execute and, upon delivery of a Parent Order, the Trustee shall authenticate and deliver, in exchange for any such mutilated CVR or in lieu of any such destroyed, lost or stolen CVR, a new CVR Certificate of like tenor and amount of CVRs, bearing a number not contemporaneously Outstanding.</w:t>
      </w:r>
    </w:p>
    <w:p>
      <w:pPr>
        <w:spacing w:after="0" w:line="69" w:lineRule="exact"/>
        <w:rPr>
          <w:rFonts w:ascii="Times New Roman" w:cs="Times New Roman" w:eastAsia="Times New Roman" w:hAnsi="Times New Roman"/>
          <w:sz w:val="16"/>
          <w:szCs w:val="16"/>
          <w:color w:val="auto"/>
        </w:rPr>
      </w:pPr>
    </w:p>
    <w:p>
      <w:pPr>
        <w:ind w:right="300" w:firstLine="397"/>
        <w:spacing w:after="0" w:line="263" w:lineRule="auto"/>
        <w:tabs>
          <w:tab w:leader="none" w:pos="613"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such mutilated, destroyed, lost or stolen CVR has become or is to become finally due and payable within 15 days, Parent in its discretion may, instead of issuing a new CVR Certificate, pay to the Holder of such CVR on the applicable Payment Date, as the case may be, all amounts due and payable with respect thereto.</w:t>
      </w:r>
    </w:p>
    <w:p>
      <w:pPr>
        <w:spacing w:after="0" w:line="61" w:lineRule="exact"/>
        <w:rPr>
          <w:rFonts w:ascii="Times New Roman" w:cs="Times New Roman" w:eastAsia="Times New Roman" w:hAnsi="Times New Roman"/>
          <w:sz w:val="16"/>
          <w:szCs w:val="16"/>
          <w:color w:val="auto"/>
        </w:rPr>
      </w:pPr>
    </w:p>
    <w:p>
      <w:pPr>
        <w:ind w:right="60" w:firstLine="397"/>
        <w:spacing w:after="0" w:line="263" w:lineRule="auto"/>
        <w:tabs>
          <w:tab w:leader="none" w:pos="604"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new CVR issued pursuant to this Section 2.7 in lieu of any destroyed, lost or stolen CVR shall constitute an original additional contractual obligation of Parent, whether or not the destroyed, lost or stolen CVR shall be at any time enforceable by anyone, and shall be entitled to all benefits of this CVR Agreement equally and proportionately with any and all other CVRs duly issued hereunder.</w:t>
      </w:r>
    </w:p>
    <w:p>
      <w:pPr>
        <w:spacing w:after="0" w:line="61" w:lineRule="exact"/>
        <w:rPr>
          <w:rFonts w:ascii="Times New Roman" w:cs="Times New Roman" w:eastAsia="Times New Roman" w:hAnsi="Times New Roman"/>
          <w:sz w:val="16"/>
          <w:szCs w:val="16"/>
          <w:color w:val="auto"/>
        </w:rPr>
      </w:pPr>
    </w:p>
    <w:p>
      <w:pPr>
        <w:ind w:right="440" w:firstLine="397"/>
        <w:spacing w:after="0" w:line="278" w:lineRule="auto"/>
        <w:tabs>
          <w:tab w:leader="none" w:pos="613"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Section 2.7 are exclusive and shall preclude (to the extent lawful) all other rights and remedies with respect to the replacement or payment of mutilated, destroyed, lost or stolen CVRs</w:t>
      </w:r>
    </w:p>
    <w:p>
      <w:pPr>
        <w:spacing w:after="0" w:line="145" w:lineRule="exact"/>
        <w:rPr>
          <w:sz w:val="20"/>
          <w:szCs w:val="20"/>
          <w:color w:val="auto"/>
        </w:rPr>
      </w:pPr>
    </w:p>
    <w:p>
      <w:pPr>
        <w:ind w:right="140" w:firstLine="388"/>
        <w:spacing w:after="0" w:line="263" w:lineRule="auto"/>
        <w:rPr>
          <w:sz w:val="20"/>
          <w:szCs w:val="20"/>
          <w:color w:val="auto"/>
        </w:rPr>
      </w:pPr>
      <w:r>
        <w:rPr>
          <w:rFonts w:ascii="Times New Roman" w:cs="Times New Roman" w:eastAsia="Times New Roman" w:hAnsi="Times New Roman"/>
          <w:sz w:val="16"/>
          <w:szCs w:val="16"/>
          <w:color w:val="auto"/>
        </w:rPr>
        <w:t xml:space="preserve">Section 2.8. </w:t>
      </w:r>
      <w:r>
        <w:rPr>
          <w:rFonts w:ascii="Times New Roman" w:cs="Times New Roman" w:eastAsia="Times New Roman" w:hAnsi="Times New Roman"/>
          <w:sz w:val="16"/>
          <w:szCs w:val="16"/>
          <w:u w:val="single" w:color="auto"/>
          <w:color w:val="auto"/>
        </w:rPr>
        <w:t>Payments with Respect to CVRs</w:t>
      </w:r>
      <w:r>
        <w:rPr>
          <w:rFonts w:ascii="Times New Roman" w:cs="Times New Roman" w:eastAsia="Times New Roman" w:hAnsi="Times New Roman"/>
          <w:sz w:val="16"/>
          <w:szCs w:val="16"/>
          <w:color w:val="auto"/>
        </w:rPr>
        <w:t>. Payment of any amounts with respect to the CVRs shall be made in such coin or currency of the United States of America as at the time is legal tender for the payment of public and private debts. Parent may, at its option, pay such amounts by wire transfer or check payable in such money.</w:t>
      </w:r>
    </w:p>
    <w:p>
      <w:pPr>
        <w:spacing w:after="0" w:line="157" w:lineRule="exact"/>
        <w:rPr>
          <w:sz w:val="20"/>
          <w:szCs w:val="20"/>
          <w:color w:val="auto"/>
        </w:rPr>
      </w:pPr>
    </w:p>
    <w:p>
      <w:pPr>
        <w:jc w:val="both"/>
        <w:ind w:right="6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2.9. </w:t>
      </w:r>
      <w:r>
        <w:rPr>
          <w:rFonts w:ascii="Times New Roman" w:cs="Times New Roman" w:eastAsia="Times New Roman" w:hAnsi="Times New Roman"/>
          <w:sz w:val="16"/>
          <w:szCs w:val="16"/>
          <w:u w:val="single" w:color="auto"/>
          <w:color w:val="auto"/>
        </w:rPr>
        <w:t>Persons Deemed Owners</w:t>
      </w:r>
      <w:r>
        <w:rPr>
          <w:rFonts w:ascii="Times New Roman" w:cs="Times New Roman" w:eastAsia="Times New Roman" w:hAnsi="Times New Roman"/>
          <w:sz w:val="16"/>
          <w:szCs w:val="16"/>
          <w:color w:val="auto"/>
        </w:rPr>
        <w:t>. Prior to the time of due presentment for registration of transfer, Parent, the Trustee and any agent of Parent or the Trustee may treat the Person in whose name any CVR is registered as the owner of such CVR for the purpose of receiving payment on such CVR and for all other purposes whatsoever, whether or not such CVR be overdue, and neither Parent, the Trustee nor any agent of Parent or the Trustee shall be affected by notice to the contrary.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700"/>
          </w:cols>
          <w:pgMar w:left="1080" w:top="254" w:right="1119" w:bottom="1440" w:gutter="0" w:footer="0" w:header="0"/>
        </w:sectPr>
      </w:pPr>
    </w:p>
    <w:bookmarkStart w:id="203" w:name="page204"/>
    <w:bookmarkEnd w:id="203"/>
    <w:p>
      <w:pPr>
        <w:ind w:right="120" w:firstLine="388"/>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2.10. </w:t>
      </w:r>
      <w:r>
        <w:rPr>
          <w:rFonts w:ascii="Times New Roman" w:cs="Times New Roman" w:eastAsia="Times New Roman" w:hAnsi="Times New Roman"/>
          <w:sz w:val="16"/>
          <w:szCs w:val="16"/>
          <w:u w:val="single" w:color="auto"/>
          <w:color w:val="auto"/>
        </w:rPr>
        <w:t>Cancellation</w:t>
      </w:r>
      <w:r>
        <w:rPr>
          <w:rFonts w:ascii="Times New Roman" w:cs="Times New Roman" w:eastAsia="Times New Roman" w:hAnsi="Times New Roman"/>
          <w:sz w:val="16"/>
          <w:szCs w:val="16"/>
          <w:color w:val="auto"/>
        </w:rPr>
        <w:t>. All CVRs surrendered for payment, registration of transfer or exchange shall, if surrendered to any Person other than the Trustee, be delivered to the Trustee and shall be promptly canceled by it. Parent may at any time deliver to the Trustee for cancellation any CVRs previously authenticated and delivered hereunder which Parent may have acquired in any manner whatsoever, and all CVRs so delivered shall be promptly canceled by the Trustee. No CVRs shall be authenticated in lieu of or in exchange for any CVRs canceled as provided in this Section 2.10, except as expressly permitted by this CVR Agreement. All cancelled CVRs held by the Trustee shall be destroyed and a certificate of destruction shall be issued by the Trustee to Parent, unless otherwise directed by a Parent Order.</w:t>
      </w:r>
    </w:p>
    <w:p>
      <w:pPr>
        <w:spacing w:after="0" w:line="165" w:lineRule="exact"/>
        <w:rPr>
          <w:sz w:val="20"/>
          <w:szCs w:val="20"/>
          <w:color w:val="auto"/>
        </w:rPr>
      </w:pPr>
    </w:p>
    <w:p>
      <w:pPr>
        <w:ind w:right="8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2.11. </w:t>
      </w:r>
      <w:r>
        <w:rPr>
          <w:rFonts w:ascii="Times New Roman" w:cs="Times New Roman" w:eastAsia="Times New Roman" w:hAnsi="Times New Roman"/>
          <w:sz w:val="16"/>
          <w:szCs w:val="16"/>
          <w:u w:val="single" w:color="auto"/>
          <w:color w:val="auto"/>
        </w:rPr>
        <w:t>Ability to Abandon CVR; Certain Acquisitions</w:t>
      </w:r>
      <w:r>
        <w:rPr>
          <w:rFonts w:ascii="Times New Roman" w:cs="Times New Roman" w:eastAsia="Times New Roman" w:hAnsi="Times New Roman"/>
          <w:sz w:val="16"/>
          <w:szCs w:val="16"/>
          <w:color w:val="auto"/>
        </w:rPr>
        <w:t>. A Holder may at any time, at such Holder’s option, abandon all of such Holder’s remaining rights in a CVR by transferring such CVR to Parent or any of its Affiliates without consideration therefor. Nothing in this CVR Agreement shall prohibit Parent or any of its Affiliates from offering to acquire or acquiring any CVRs from the Holders, in private transactions or otherwise, in its sole discretion.</w:t>
      </w:r>
    </w:p>
    <w:p>
      <w:pPr>
        <w:spacing w:after="0" w:line="161" w:lineRule="exact"/>
        <w:rPr>
          <w:sz w:val="20"/>
          <w:szCs w:val="20"/>
          <w:color w:val="auto"/>
        </w:rPr>
      </w:pPr>
    </w:p>
    <w:p>
      <w:pPr>
        <w:ind w:right="140" w:firstLine="388"/>
        <w:spacing w:after="0" w:line="255" w:lineRule="auto"/>
        <w:rPr>
          <w:sz w:val="20"/>
          <w:szCs w:val="20"/>
          <w:color w:val="auto"/>
        </w:rPr>
      </w:pPr>
      <w:r>
        <w:rPr>
          <w:rFonts w:ascii="Times New Roman" w:cs="Times New Roman" w:eastAsia="Times New Roman" w:hAnsi="Times New Roman"/>
          <w:sz w:val="16"/>
          <w:szCs w:val="16"/>
          <w:color w:val="auto"/>
        </w:rPr>
        <w:t xml:space="preserve">Section 2.12. </w:t>
      </w:r>
      <w:r>
        <w:rPr>
          <w:rFonts w:ascii="Times New Roman" w:cs="Times New Roman" w:eastAsia="Times New Roman" w:hAnsi="Times New Roman"/>
          <w:sz w:val="16"/>
          <w:szCs w:val="16"/>
          <w:u w:val="single" w:color="auto"/>
          <w:color w:val="auto"/>
        </w:rPr>
        <w:t>CUSIP Numbers</w:t>
      </w:r>
      <w:r>
        <w:rPr>
          <w:rFonts w:ascii="Times New Roman" w:cs="Times New Roman" w:eastAsia="Times New Roman" w:hAnsi="Times New Roman"/>
          <w:sz w:val="16"/>
          <w:szCs w:val="16"/>
          <w:color w:val="auto"/>
        </w:rPr>
        <w:t xml:space="preserve">. Parent in issuing the CVRs may use “CUSIP” numbers (if then generally in use), and, if so, the Trustee shall use “CUSIP” numbers in any Call Notice as a convenience to Holders;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notice may state that no representation is made as to the correctness of such numbers either as printed on the CVRs or as contained in any Call Notice and that reliance may be placed only on the other identification numbers printed on the CVRs, and such Call Notice shall not be affected by any defect in or omission of such numbers. Parent shall promptly notify the Trustee in writing of any change in the “CUSIP” numbers.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TRUSTEE</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Certain Duties and Responsibilities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20" w:firstLine="397"/>
        <w:spacing w:after="0" w:line="254" w:lineRule="auto"/>
        <w:tabs>
          <w:tab w:leader="none" w:pos="604"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Holders, the Trustee, prior to the occurrence of an Event of Default with respect to the CVRs and after the curing or waiving of all Events of Default which may have occurred, undertakes to perform such duties and only such duties as are specifically set forth in this CVR Agreement and no implied covenants shall be read into this CVR Agreement against the Trustee. In the event that an Event of Default with respect to the CVRs has occurred (which has not been cured or waived), the Trustee shall exercise such of the rights and powers vested in it by this CVR Agreement, and use the same degree of care and skill in their exercise, as a prudent person would exercise or use under the circumstances in the conduct of his or her own affairs.</w:t>
      </w:r>
    </w:p>
    <w:p>
      <w:pPr>
        <w:spacing w:after="0" w:line="69" w:lineRule="exact"/>
        <w:rPr>
          <w:rFonts w:ascii="Times New Roman" w:cs="Times New Roman" w:eastAsia="Times New Roman" w:hAnsi="Times New Roman"/>
          <w:sz w:val="16"/>
          <w:szCs w:val="16"/>
          <w:color w:val="auto"/>
        </w:rPr>
      </w:pPr>
    </w:p>
    <w:p>
      <w:pPr>
        <w:ind w:firstLine="397"/>
        <w:spacing w:after="0" w:line="255" w:lineRule="auto"/>
        <w:tabs>
          <w:tab w:leader="none" w:pos="613"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or willful misconduct on its part, prior to the occurrence of an Event of Default and after the curing or waiving of all such Events of Default which may have occurred, the Trustee may conclusively rely, as to the truth of the statements and the correctness of the opinions expressed therein, upon certificates or opinions furnished to the Trustee which conform to the requirements of this CVR Agreement; but in the case of any such certificates or opinions which by any provision hereof are specifically required to be furnished to the Trustee, the Trustee shall be under a duty to examine the same to determine whether or not they conform to the requirements of this CVR Agreement.</w:t>
      </w:r>
    </w:p>
    <w:p>
      <w:pPr>
        <w:spacing w:after="0" w:line="69" w:lineRule="exact"/>
        <w:rPr>
          <w:rFonts w:ascii="Times New Roman" w:cs="Times New Roman" w:eastAsia="Times New Roman" w:hAnsi="Times New Roman"/>
          <w:sz w:val="16"/>
          <w:szCs w:val="16"/>
          <w:color w:val="auto"/>
        </w:rPr>
      </w:pPr>
    </w:p>
    <w:p>
      <w:pPr>
        <w:ind w:right="40" w:firstLine="397"/>
        <w:spacing w:after="0" w:line="276" w:lineRule="auto"/>
        <w:tabs>
          <w:tab w:leader="none" w:pos="604" w:val="left"/>
        </w:tabs>
        <w:numPr>
          <w:ilvl w:val="1"/>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CVR Agreement shall be construed to relieve the Trustee from liability for its own negligent action, its own negligent failure to act, or its own bad faith or willful misconduct, except that (i) this subsection (c) shall not be construed to limit the effect of subsections (a) and</w:t>
      </w:r>
    </w:p>
    <w:p>
      <w:pPr>
        <w:spacing w:after="0" w:line="1" w:lineRule="exact"/>
        <w:rPr>
          <w:rFonts w:ascii="Times New Roman" w:cs="Times New Roman" w:eastAsia="Times New Roman" w:hAnsi="Times New Roman"/>
          <w:sz w:val="15"/>
          <w:szCs w:val="15"/>
          <w:color w:val="auto"/>
        </w:rPr>
      </w:pPr>
    </w:p>
    <w:p>
      <w:pPr>
        <w:jc w:val="both"/>
        <w:ind w:right="20" w:firstLine="9"/>
        <w:spacing w:after="0" w:line="273" w:lineRule="auto"/>
        <w:tabs>
          <w:tab w:leader="none" w:pos="225"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this Section 3.1; (ii) the Trustee shall not be liable for any error of judgment made in good faith by a Responsible Officer, unless it shall be proved that the Trustee was negligent in ascertaining the pertinent facts; and (iii) the Trustee shall not be liable with respect to any action taken or omitted to be taken by it in good faith in accordance with the direction of the Holders pursuant to Section 7.9 relating to the time, method and place of conducting any proceeding for any remedy available to the Trustee, or exercising any trust or power conferred upon the Trustee, under this CVR Agreement.</w:t>
      </w:r>
    </w:p>
    <w:p>
      <w:pPr>
        <w:spacing w:after="0" w:line="257" w:lineRule="exact"/>
        <w:rPr>
          <w:rFonts w:ascii="Times New Roman" w:cs="Times New Roman" w:eastAsia="Times New Roman" w:hAnsi="Times New Roman"/>
          <w:sz w:val="15"/>
          <w:szCs w:val="15"/>
          <w:color w:val="auto"/>
        </w:rPr>
      </w:pPr>
    </w:p>
    <w:p>
      <w:pPr>
        <w:ind w:right="260" w:firstLine="397"/>
        <w:spacing w:after="0" w:line="278" w:lineRule="auto"/>
        <w:tabs>
          <w:tab w:leader="none" w:pos="613"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therein expressly so provided, every provision of this CVR Agreement relating to the conduct or affecting the liability of or affording protection to the Trustee shall be subject to the provisions of this Section 3.1.</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700"/>
          </w:cols>
          <w:pgMar w:left="1080" w:top="254" w:right="1119" w:bottom="1440" w:gutter="0" w:footer="0" w:header="0"/>
        </w:sectPr>
      </w:pPr>
    </w:p>
    <w:bookmarkStart w:id="204" w:name="page205"/>
    <w:bookmarkEnd w:id="204"/>
    <w:p>
      <w:pPr>
        <w:ind w:right="16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3.2. </w:t>
      </w:r>
      <w:r>
        <w:rPr>
          <w:rFonts w:ascii="Times New Roman" w:cs="Times New Roman" w:eastAsia="Times New Roman" w:hAnsi="Times New Roman"/>
          <w:sz w:val="16"/>
          <w:szCs w:val="16"/>
          <w:u w:val="single" w:color="auto"/>
          <w:color w:val="auto"/>
        </w:rPr>
        <w:t>Certain Rights of Trustee</w:t>
      </w:r>
      <w:r>
        <w:rPr>
          <w:rFonts w:ascii="Times New Roman" w:cs="Times New Roman" w:eastAsia="Times New Roman" w:hAnsi="Times New Roman"/>
          <w:sz w:val="16"/>
          <w:szCs w:val="16"/>
          <w:color w:val="auto"/>
        </w:rPr>
        <w:t>. Subject to the provisions of Section 3.1, including the duty of care that the Trustee is required to exercise upon the occurrence of an Event of Default:</w:t>
      </w:r>
    </w:p>
    <w:p>
      <w:pPr>
        <w:spacing w:after="0" w:line="50" w:lineRule="exact"/>
        <w:rPr>
          <w:sz w:val="20"/>
          <w:szCs w:val="20"/>
          <w:color w:val="auto"/>
        </w:rPr>
      </w:pPr>
    </w:p>
    <w:p>
      <w:pPr>
        <w:jc w:val="both"/>
        <w:ind w:right="100" w:firstLine="397"/>
        <w:spacing w:after="0" w:line="258" w:lineRule="auto"/>
        <w:tabs>
          <w:tab w:leader="none" w:pos="60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reasonably believed by it to be genuine and to have been signed or presented by the proper party or parties and the Trustee need not investigate any fact or matter stated in the document;</w:t>
      </w:r>
    </w:p>
    <w:p>
      <w:pPr>
        <w:spacing w:after="0" w:line="65" w:lineRule="exact"/>
        <w:rPr>
          <w:rFonts w:ascii="Times New Roman" w:cs="Times New Roman" w:eastAsia="Times New Roman" w:hAnsi="Times New Roman"/>
          <w:sz w:val="16"/>
          <w:szCs w:val="16"/>
          <w:color w:val="auto"/>
        </w:rPr>
      </w:pPr>
    </w:p>
    <w:p>
      <w:pPr>
        <w:ind w:right="260" w:firstLine="397"/>
        <w:spacing w:after="0" w:line="263" w:lineRule="auto"/>
        <w:tabs>
          <w:tab w:leader="none" w:pos="613"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or direction or order of Parent mentioned herein shall be sufficiently evidenced by a Parent Request or Parent Order and any resolution of the Board of Directors may be sufficiently evidenced by a Board Resolution and the Trustee shall not be liable for any action it takes or omits to take in good faith reliance thereon;</w:t>
      </w:r>
    </w:p>
    <w:p>
      <w:pPr>
        <w:spacing w:after="0" w:line="61" w:lineRule="exact"/>
        <w:rPr>
          <w:rFonts w:ascii="Times New Roman" w:cs="Times New Roman" w:eastAsia="Times New Roman" w:hAnsi="Times New Roman"/>
          <w:sz w:val="16"/>
          <w:szCs w:val="16"/>
          <w:color w:val="auto"/>
        </w:rPr>
      </w:pPr>
    </w:p>
    <w:p>
      <w:pPr>
        <w:ind w:firstLine="397"/>
        <w:spacing w:after="0" w:line="258" w:lineRule="auto"/>
        <w:tabs>
          <w:tab w:leader="none" w:pos="60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in the administration of this CVR Agreement the Trustee shall deem it desirable that a matter be proved or established prior to taking, suffering or omitting any action hereunder, the Trustee (unless other evidence be herein specifically prescribed) may, in the absence of bad faith or willful misconduct on its part, rely upon an Officer’s Certificate and the Trustee shall not be liable for any action it takes or omits to take in good faith reliance thereon;</w:t>
      </w:r>
    </w:p>
    <w:p>
      <w:pPr>
        <w:spacing w:after="0" w:line="65" w:lineRule="exact"/>
        <w:rPr>
          <w:rFonts w:ascii="Times New Roman" w:cs="Times New Roman" w:eastAsia="Times New Roman" w:hAnsi="Times New Roman"/>
          <w:sz w:val="16"/>
          <w:szCs w:val="16"/>
          <w:color w:val="auto"/>
        </w:rPr>
      </w:pPr>
    </w:p>
    <w:p>
      <w:pPr>
        <w:ind w:right="400" w:firstLine="397"/>
        <w:spacing w:after="0" w:line="263" w:lineRule="auto"/>
        <w:tabs>
          <w:tab w:leader="none" w:pos="613"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accordance with such advice or Opinion of Counsel;</w:t>
      </w:r>
    </w:p>
    <w:p>
      <w:pPr>
        <w:spacing w:after="0" w:line="61" w:lineRule="exact"/>
        <w:rPr>
          <w:rFonts w:ascii="Times New Roman" w:cs="Times New Roman" w:eastAsia="Times New Roman" w:hAnsi="Times New Roman"/>
          <w:sz w:val="16"/>
          <w:szCs w:val="16"/>
          <w:color w:val="auto"/>
        </w:rPr>
      </w:pPr>
    </w:p>
    <w:p>
      <w:pPr>
        <w:jc w:val="both"/>
        <w:ind w:right="140" w:firstLine="397"/>
        <w:spacing w:after="0" w:line="263" w:lineRule="auto"/>
        <w:tabs>
          <w:tab w:leader="none" w:pos="60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rights or powers vested in it by this CVR Agreement at the request or direction of any of the Holders pursuant to this CVR Agreement, unless such Holders shall have offered to the Trustee reasonable security or indemnity against the costs, expenses and liabilities which might be incurred by it in compliance with such request or direction;</w:t>
      </w:r>
    </w:p>
    <w:p>
      <w:pPr>
        <w:spacing w:after="0" w:line="61" w:lineRule="exact"/>
        <w:rPr>
          <w:rFonts w:ascii="Times New Roman" w:cs="Times New Roman" w:eastAsia="Times New Roman" w:hAnsi="Times New Roman"/>
          <w:sz w:val="16"/>
          <w:szCs w:val="16"/>
          <w:color w:val="auto"/>
        </w:rPr>
      </w:pPr>
    </w:p>
    <w:p>
      <w:pPr>
        <w:ind w:right="80" w:firstLine="397"/>
        <w:spacing w:after="0" w:line="255" w:lineRule="auto"/>
        <w:tabs>
          <w:tab w:leader="none" w:pos="586"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bound to make any investigation into the facts or matters stated in any resolution, certificate, statement, instrument, opinion, report, notice, request, consent, order, approval, appraisal, bond, debenture, note, coupon, security,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Parent, personally or by agent or attorney, as reasonably necessary for such inquiry or investigation;</w:t>
      </w:r>
    </w:p>
    <w:p>
      <w:pPr>
        <w:spacing w:after="0" w:line="69" w:lineRule="exact"/>
        <w:rPr>
          <w:rFonts w:ascii="Times New Roman" w:cs="Times New Roman" w:eastAsia="Times New Roman" w:hAnsi="Times New Roman"/>
          <w:sz w:val="16"/>
          <w:szCs w:val="16"/>
          <w:color w:val="auto"/>
        </w:rPr>
      </w:pPr>
    </w:p>
    <w:p>
      <w:pPr>
        <w:ind w:right="240" w:firstLine="397"/>
        <w:spacing w:after="0" w:line="263" w:lineRule="auto"/>
        <w:tabs>
          <w:tab w:leader="none" w:pos="613"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61" w:lineRule="exact"/>
        <w:rPr>
          <w:rFonts w:ascii="Times New Roman" w:cs="Times New Roman" w:eastAsia="Times New Roman" w:hAnsi="Times New Roman"/>
          <w:sz w:val="16"/>
          <w:szCs w:val="16"/>
          <w:color w:val="auto"/>
        </w:rPr>
      </w:pPr>
    </w:p>
    <w:p>
      <w:pPr>
        <w:ind w:right="460" w:firstLine="397"/>
        <w:spacing w:after="0" w:line="278" w:lineRule="auto"/>
        <w:tabs>
          <w:tab w:leader="none" w:pos="613"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taken, suffered or omitted to be taken by it in good faith and reasonably believed by it to be authorized or within the discretion or rights or powers conferred upon it by this CVR Agreement.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700"/>
          </w:cols>
          <w:pgMar w:left="1080" w:top="254" w:right="1119" w:bottom="1440" w:gutter="0" w:footer="0" w:header="0"/>
        </w:sectPr>
      </w:pPr>
    </w:p>
    <w:bookmarkStart w:id="205" w:name="page206"/>
    <w:bookmarkEnd w:id="205"/>
    <w:p>
      <w:pPr>
        <w:ind w:right="20" w:firstLine="388"/>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3.3. </w:t>
      </w:r>
      <w:r>
        <w:rPr>
          <w:rFonts w:ascii="Times New Roman" w:cs="Times New Roman" w:eastAsia="Times New Roman" w:hAnsi="Times New Roman"/>
          <w:sz w:val="16"/>
          <w:szCs w:val="16"/>
          <w:u w:val="single" w:color="auto"/>
          <w:color w:val="auto"/>
        </w:rPr>
        <w:t>Notice of Default</w:t>
      </w:r>
      <w:r>
        <w:rPr>
          <w:rFonts w:ascii="Times New Roman" w:cs="Times New Roman" w:eastAsia="Times New Roman" w:hAnsi="Times New Roman"/>
          <w:sz w:val="16"/>
          <w:szCs w:val="16"/>
          <w:color w:val="auto"/>
        </w:rPr>
        <w:t xml:space="preserve">. If a default occurs hereunder with respect to the CVRs, the Trustee shall give the Holders notice of any such default actually known to it as and to the extent applicable and provided by the Trust Indenture Act;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case of any default of the character specified in Section 7.1(b) with respect to the CVRs, no notice to Holders shall be given until at least 30 days after the occurrence thereof. For the purpose of this Section 3.3, the term “default” means any event that is, or after notice or lapse of time or both would become, an Event of Default with respect to the CVRs.</w:t>
      </w:r>
    </w:p>
    <w:p>
      <w:pPr>
        <w:spacing w:after="0" w:line="165" w:lineRule="exact"/>
        <w:rPr>
          <w:sz w:val="20"/>
          <w:szCs w:val="20"/>
          <w:color w:val="auto"/>
        </w:rPr>
      </w:pPr>
    </w:p>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Not Responsible for Recitals or Issuance of CVRs</w:t>
      </w:r>
      <w:r>
        <w:rPr>
          <w:rFonts w:ascii="Times New Roman" w:cs="Times New Roman" w:eastAsia="Times New Roman" w:hAnsi="Times New Roman"/>
          <w:sz w:val="16"/>
          <w:szCs w:val="16"/>
          <w:color w:val="auto"/>
        </w:rPr>
        <w:t>. The Trustee shall not be accountable for Parent’s use of the CVRs or the proceeds from the CVRs. The recitals contained herein and in the CVRs, except the Trustee’s certificates of authentication, shall be taken as the statements of Parent, and the Trustee assumes no responsibility for their correctness. The Trustee makes no representations as to the validity or sufficiency of this CVR Agreement or of the CVRs.</w:t>
      </w:r>
    </w:p>
    <w:p>
      <w:pPr>
        <w:spacing w:after="0" w:line="161" w:lineRule="exact"/>
        <w:rPr>
          <w:sz w:val="20"/>
          <w:szCs w:val="20"/>
          <w:color w:val="auto"/>
        </w:rPr>
      </w:pPr>
    </w:p>
    <w:p>
      <w:pPr>
        <w:ind w:right="80" w:firstLine="388"/>
        <w:spacing w:after="0" w:line="263"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Money Held in Trust</w:t>
      </w:r>
      <w:r>
        <w:rPr>
          <w:rFonts w:ascii="Times New Roman" w:cs="Times New Roman" w:eastAsia="Times New Roman" w:hAnsi="Times New Roman"/>
          <w:sz w:val="16"/>
          <w:szCs w:val="16"/>
          <w:color w:val="auto"/>
        </w:rPr>
        <w:t>. Money held by the Trustee in trust hereunder need not be segregated from other funds except to the extent required by Law or as otherwise agreed by the Trustee in writing with Parent. The Trustee shall be under no liability for interest on any money received by it hereunder, except as otherwise agreed by the Trustee in writing with Parent.</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3.6. </w:t>
      </w:r>
      <w:r>
        <w:rPr>
          <w:rFonts w:ascii="Times New Roman" w:cs="Times New Roman" w:eastAsia="Times New Roman" w:hAnsi="Times New Roman"/>
          <w:sz w:val="16"/>
          <w:szCs w:val="16"/>
          <w:u w:val="single" w:color="auto"/>
          <w:color w:val="auto"/>
        </w:rPr>
        <w:t>Compensation and Reimbursement</w:t>
      </w:r>
      <w:r>
        <w:rPr>
          <w:rFonts w:ascii="Times New Roman" w:cs="Times New Roman" w:eastAsia="Times New Roman" w:hAnsi="Times New Roman"/>
          <w:sz w:val="16"/>
          <w:szCs w:val="16"/>
          <w:color w:val="auto"/>
        </w:rPr>
        <w:t>. Parent agrees:</w:t>
      </w:r>
    </w:p>
    <w:p>
      <w:pPr>
        <w:spacing w:after="0" w:line="102" w:lineRule="exact"/>
        <w:rPr>
          <w:sz w:val="20"/>
          <w:szCs w:val="20"/>
          <w:color w:val="auto"/>
        </w:rPr>
      </w:pPr>
    </w:p>
    <w:p>
      <w:pPr>
        <w:ind w:firstLine="397"/>
        <w:spacing w:after="0" w:line="263" w:lineRule="auto"/>
        <w:tabs>
          <w:tab w:leader="none" w:pos="604"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to the Trustee from time to time reasonable compensation for all services rendered by it hereunder in such amount as Parent and the Trustee shall agree from time to time (which compensation shall not be limited by any provision of Law in regard to the compensation of a Trustee of an express trust);</w:t>
      </w:r>
    </w:p>
    <w:p>
      <w:pPr>
        <w:spacing w:after="0" w:line="61" w:lineRule="exact"/>
        <w:rPr>
          <w:rFonts w:ascii="Times New Roman" w:cs="Times New Roman" w:eastAsia="Times New Roman" w:hAnsi="Times New Roman"/>
          <w:sz w:val="16"/>
          <w:szCs w:val="16"/>
          <w:color w:val="auto"/>
        </w:rPr>
      </w:pPr>
    </w:p>
    <w:p>
      <w:pPr>
        <w:ind w:right="280" w:firstLine="397"/>
        <w:spacing w:after="0" w:line="258" w:lineRule="auto"/>
        <w:tabs>
          <w:tab w:leader="none" w:pos="613"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provided herein, to reimburse the Trustee upon its request for all reasonable expenses, disbursements and advances incurred or made by the Trustee in accordance with any provision of this CVR Agreement (including the reasonable compensation and the reasonable expenses and disbursements of its agents and counsel), except any such expense, disbursement or advance as may be attributable to the Trustee’s negligence, bad faith or willful misconduct; and</w:t>
      </w:r>
    </w:p>
    <w:p>
      <w:pPr>
        <w:spacing w:after="0" w:line="65" w:lineRule="exact"/>
        <w:rPr>
          <w:rFonts w:ascii="Times New Roman" w:cs="Times New Roman" w:eastAsia="Times New Roman" w:hAnsi="Times New Roman"/>
          <w:sz w:val="16"/>
          <w:szCs w:val="16"/>
          <w:color w:val="auto"/>
        </w:rPr>
      </w:pPr>
    </w:p>
    <w:p>
      <w:pPr>
        <w:ind w:right="20" w:firstLine="397"/>
        <w:spacing w:after="0" w:line="253" w:lineRule="auto"/>
        <w:tabs>
          <w:tab w:leader="none" w:pos="604"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indemnify the Trustee and each of its agents, officers, directors and employees for, and to hold it harmless against, any loss, liability or expense (including attorneys’ fees and expenses) incurred without negligence, bad faith or willful misconduct on its part, arising out of or in connection with the acceptance or administration of this trust and the performance of its duties hereunder, including the reasonable costs and expenses of defending itself against any claim or liability in connection with the exercise or performance of any of its powers or duties hereunder. Parent’s payment obligations pursuant to this Section 3.6 shall survive the termination of this CVR Agreement. If the Trustee incurs expenses after the occurrence of an Event of Default specified in Sections 7.1(c) or 7.1(d) with respect to Parent, such expenses are intended to constitute administrative expenses under bankruptcy Laws.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3.7. </w:t>
      </w:r>
      <w:r>
        <w:rPr>
          <w:rFonts w:ascii="Times New Roman" w:cs="Times New Roman" w:eastAsia="Times New Roman" w:hAnsi="Times New Roman"/>
          <w:sz w:val="16"/>
          <w:szCs w:val="16"/>
          <w:u w:val="single" w:color="auto"/>
          <w:color w:val="auto"/>
        </w:rPr>
        <w:t>Disqualification; Conflicting Interests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120" w:firstLine="397"/>
        <w:spacing w:after="0" w:line="258" w:lineRule="auto"/>
        <w:tabs>
          <w:tab w:leader="none" w:pos="604"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to the extent that the Trustee or Parent determines that the Trustee has a conflicting interest within the meaning of the Trust Indenture Act, the Trustee shall immediately notify Parent of such conflict and, within 90 days after ascertaining that it has such conflicting interest, either eliminate such conflicting interest or resign to the extent and in the manner provided by, and subject to the provisions of, the Trust Indenture Act and this CVR Agreement. Parent shall take prompt steps to have a successor appointed in the manner provided in this CVR Agreement.</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700"/>
          </w:cols>
          <w:pgMar w:left="1080" w:top="254" w:right="1119" w:bottom="1440" w:gutter="0" w:footer="0" w:header="0"/>
        </w:sectPr>
      </w:pPr>
    </w:p>
    <w:bookmarkStart w:id="206" w:name="page207"/>
    <w:bookmarkEnd w:id="206"/>
    <w:p>
      <w:pPr>
        <w:jc w:val="both"/>
        <w:ind w:right="20" w:firstLine="397"/>
        <w:spacing w:after="0" w:line="313" w:lineRule="auto"/>
        <w:tabs>
          <w:tab w:leader="none" w:pos="613"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the event the Trustee shall fail to comply with the foregoing subsection 3.7(a), the Trustee shall, within 10 days of the expiration of such 90-day period, transmit a notice of such failure to the Holders in the manner and to the extent provided in the Trust Indenture Act and this CVR Agreement.</w:t>
      </w:r>
    </w:p>
    <w:p>
      <w:pPr>
        <w:spacing w:after="0" w:line="26" w:lineRule="exact"/>
        <w:rPr>
          <w:rFonts w:ascii="Times New Roman" w:cs="Times New Roman" w:eastAsia="Times New Roman" w:hAnsi="Times New Roman"/>
          <w:sz w:val="15"/>
          <w:szCs w:val="15"/>
          <w:color w:val="auto"/>
        </w:rPr>
      </w:pPr>
    </w:p>
    <w:p>
      <w:pPr>
        <w:ind w:right="20" w:firstLine="397"/>
        <w:spacing w:after="0" w:line="263" w:lineRule="auto"/>
        <w:tabs>
          <w:tab w:leader="none" w:pos="604"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Trustee shall fail to comply with the foregoing subsection 3.7(a) after written request therefore by Parent or any Holder, any Holder of any CVR who has been a bona fide Holder for at least six months may on behalf of himself or herself and all others similarly situated, petition any court of competent jurisdiction for the removal of such Trustee and the appointment of a successor Trustee.</w:t>
      </w:r>
    </w:p>
    <w:p>
      <w:pPr>
        <w:spacing w:after="0" w:line="157" w:lineRule="exact"/>
        <w:rPr>
          <w:sz w:val="20"/>
          <w:szCs w:val="20"/>
          <w:color w:val="auto"/>
        </w:rPr>
      </w:pPr>
    </w:p>
    <w:p>
      <w:pPr>
        <w:ind w:right="8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3.8. </w:t>
      </w:r>
      <w:r>
        <w:rPr>
          <w:rFonts w:ascii="Times New Roman" w:cs="Times New Roman" w:eastAsia="Times New Roman" w:hAnsi="Times New Roman"/>
          <w:sz w:val="16"/>
          <w:szCs w:val="16"/>
          <w:u w:val="single" w:color="auto"/>
          <w:color w:val="auto"/>
        </w:rPr>
        <w:t>Corporate Trustee Required; Eligibility</w:t>
      </w:r>
      <w:r>
        <w:rPr>
          <w:rFonts w:ascii="Times New Roman" w:cs="Times New Roman" w:eastAsia="Times New Roman" w:hAnsi="Times New Roman"/>
          <w:sz w:val="16"/>
          <w:szCs w:val="16"/>
          <w:color w:val="auto"/>
        </w:rPr>
        <w:t>. There shall at all times be a Trustee hereunder which satisfies the applicable requirements of Sections 310(a)(1) and (5) of the Trust Indenture Act and has a combined capital and surplus of at least $150,000,000. If such corporation publishes reports of condition at least annually, pursuant to Law or to the requirements of a supervising or examining authority, then for the purposes of this Section 3.8, the combined capital and surplus of such corporation shall be deemed to be its combined capital and surplus as set forth in its most recent report of condition so published. If at any time the Trustee shall cease to be eligible in accordance with the provisions of this Section 3.8, it shall resign immediately in the manner and with the effect hereinafter specified in this Article 3.</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3.9. </w:t>
      </w:r>
      <w:r>
        <w:rPr>
          <w:rFonts w:ascii="Times New Roman" w:cs="Times New Roman" w:eastAsia="Times New Roman" w:hAnsi="Times New Roman"/>
          <w:sz w:val="16"/>
          <w:szCs w:val="16"/>
          <w:u w:val="single" w:color="auto"/>
          <w:color w:val="auto"/>
        </w:rPr>
        <w:t>Resignation and Removal; Appointment of Successor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140" w:firstLine="397"/>
        <w:spacing w:after="0" w:line="278" w:lineRule="auto"/>
        <w:tabs>
          <w:tab w:leader="none" w:pos="604"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resignation or removal of the Trustee and no appointment of a successor Trustee pursuant to this Article 3 shall become effective until the acceptance of appointment by the successor Trustee under Section 3.10.</w:t>
      </w:r>
    </w:p>
    <w:p>
      <w:pPr>
        <w:spacing w:after="0" w:line="49" w:lineRule="exact"/>
        <w:rPr>
          <w:rFonts w:ascii="Times New Roman" w:cs="Times New Roman" w:eastAsia="Times New Roman" w:hAnsi="Times New Roman"/>
          <w:sz w:val="16"/>
          <w:szCs w:val="16"/>
          <w:color w:val="auto"/>
        </w:rPr>
      </w:pPr>
    </w:p>
    <w:p>
      <w:pPr>
        <w:ind w:right="60" w:firstLine="397"/>
        <w:spacing w:after="0" w:line="263" w:lineRule="auto"/>
        <w:tabs>
          <w:tab w:leader="none" w:pos="613"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or any Trustee or Trustees hereafter appointed, may resign at any time by giving written notice thereof to Parent.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6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be removed at any time by an act of the Majority Holders, delivered to the Trustee and to Parent.</w:t>
      </w:r>
    </w:p>
    <w:p>
      <w:pPr>
        <w:spacing w:after="0" w:line="10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w:t>
      </w:r>
    </w:p>
    <w:p>
      <w:pPr>
        <w:spacing w:after="0" w:line="101" w:lineRule="exact"/>
        <w:rPr>
          <w:rFonts w:ascii="Times New Roman" w:cs="Times New Roman" w:eastAsia="Times New Roman" w:hAnsi="Times New Roman"/>
          <w:sz w:val="16"/>
          <w:szCs w:val="16"/>
          <w:color w:val="auto"/>
        </w:rPr>
      </w:pPr>
    </w:p>
    <w:p>
      <w:pPr>
        <w:ind w:left="400" w:right="420" w:firstLine="370"/>
        <w:spacing w:after="0" w:line="278" w:lineRule="auto"/>
        <w:tabs>
          <w:tab w:leader="none" w:pos="997"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fail to comply with Section 3.7 after written request therefor by Parent or by any Holder who has been a bona fide Holder of a CVR for at least six months, or</w:t>
      </w:r>
    </w:p>
    <w:p>
      <w:pPr>
        <w:spacing w:after="0" w:line="49" w:lineRule="exact"/>
        <w:rPr>
          <w:rFonts w:ascii="Times New Roman" w:cs="Times New Roman" w:eastAsia="Times New Roman" w:hAnsi="Times New Roman"/>
          <w:sz w:val="16"/>
          <w:szCs w:val="16"/>
          <w:color w:val="auto"/>
        </w:rPr>
      </w:pPr>
    </w:p>
    <w:p>
      <w:pPr>
        <w:ind w:left="400" w:right="360" w:firstLine="370"/>
        <w:spacing w:after="0" w:line="278" w:lineRule="auto"/>
        <w:tabs>
          <w:tab w:leader="none" w:pos="997"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cease to be eligible under Section 3.8 and shall fail to resign after written request therefor by Parent or by any such Holder, or</w:t>
      </w:r>
    </w:p>
    <w:p>
      <w:pPr>
        <w:spacing w:after="0" w:line="49" w:lineRule="exact"/>
        <w:rPr>
          <w:rFonts w:ascii="Times New Roman" w:cs="Times New Roman" w:eastAsia="Times New Roman" w:hAnsi="Times New Roman"/>
          <w:sz w:val="16"/>
          <w:szCs w:val="16"/>
          <w:color w:val="auto"/>
        </w:rPr>
      </w:pPr>
    </w:p>
    <w:p>
      <w:pPr>
        <w:ind w:left="400" w:firstLine="370"/>
        <w:spacing w:after="0" w:line="255" w:lineRule="auto"/>
        <w:tabs>
          <w:tab w:leader="none" w:pos="997"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case, (i) Parent, by a Board Resolution, may remove the Trustee, or (ii) the Holder of any CVR who has been a bona fide Holder of a CVR for at least six months may, on behalf of himself or herself and all others similarly situated, petition any court of competent jurisdiction for the removal of the Trustee and the appointment of a successor Trustee.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720"/>
          </w:cols>
          <w:pgMar w:left="1080" w:top="254" w:right="1099" w:bottom="1440" w:gutter="0" w:footer="0" w:header="0"/>
        </w:sectPr>
      </w:pPr>
    </w:p>
    <w:bookmarkStart w:id="207" w:name="page208"/>
    <w:bookmarkEnd w:id="207"/>
    <w:p>
      <w:pPr>
        <w:ind w:right="40" w:firstLine="397"/>
        <w:spacing w:after="0" w:line="252" w:lineRule="auto"/>
        <w:tabs>
          <w:tab w:leader="none" w:pos="604"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If the Trustee shall resign, be removed or become incapable of acting, or if a vacancy shall occur in the office of Trustee for any cause, Parent, by a Board Resolution, shall promptly appoint a successor Trustee. If, within one year after any removal by Holders of a majority of the Outstanding CVRs, a successor Trustee shall be appointed by act of the Majority Holders, as applicable, delivered to Parent and the retiring Trustee, the successor Trustee so appointed shall, forthwith upon its acceptance of such appointment in accordance with Section 3.10, become the successor Trustee and supersede the successor Trustee appointed by Parent. If no successor Trustee shall have been so appointed by Parent or the Holders and accepted appointment within 60 days after the retiring Trustee tenders its resignation or is removed, the retiring Trustee may, or any Holder who has been a bona fide Holder for at least six months may on behalf of himself and all others similarly situated, petition any court of competent jurisdiction for the appointment of a successor Trustee.</w:t>
      </w:r>
    </w:p>
    <w:p>
      <w:pPr>
        <w:spacing w:after="0" w:line="72" w:lineRule="exact"/>
        <w:rPr>
          <w:rFonts w:ascii="Times New Roman" w:cs="Times New Roman" w:eastAsia="Times New Roman" w:hAnsi="Times New Roman"/>
          <w:sz w:val="16"/>
          <w:szCs w:val="16"/>
          <w:color w:val="auto"/>
        </w:rPr>
      </w:pPr>
    </w:p>
    <w:p>
      <w:pPr>
        <w:ind w:right="40" w:firstLine="397"/>
        <w:spacing w:after="0" w:line="255" w:lineRule="auto"/>
        <w:tabs>
          <w:tab w:leader="none" w:pos="586"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give notice of each resignation and each removal of the Trustee and each appointment of a successor Trustee by mailing written notice of such event by first-class mail, postage prepaid, to the Holders of CVRs as their names and addresses appear in the CVR Register. Each notice shall include the name of the successor Trustee and the address of its Corporate Trust Office. If Parent fails to send such notice within 10 days after acceptance of appointment by a successor Trustee, it shall not be a default hereunder, but the successor Trustee shall cause the notice to be mailed at the expense of Parent.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3.10. </w:t>
      </w:r>
      <w:r>
        <w:rPr>
          <w:rFonts w:ascii="Times New Roman" w:cs="Times New Roman" w:eastAsia="Times New Roman" w:hAnsi="Times New Roman"/>
          <w:sz w:val="16"/>
          <w:szCs w:val="16"/>
          <w:u w:val="single" w:color="auto"/>
          <w:color w:val="auto"/>
        </w:rPr>
        <w:t>Acceptance of Appointment of Successor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97"/>
        <w:spacing w:after="0" w:line="253" w:lineRule="auto"/>
        <w:tabs>
          <w:tab w:leader="none" w:pos="604"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successor Trustee appointed hereunder shall execute, acknowledge and deliver to Parent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upon request of Parent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Parent shall execute any and all instruments for more fully and certainly vesting in and confirming to such successor Trustee all such rights, powers and trusts.</w:t>
      </w:r>
    </w:p>
    <w:p>
      <w:pPr>
        <w:spacing w:after="0" w:line="165" w:lineRule="exact"/>
        <w:rPr>
          <w:rFonts w:ascii="Times New Roman" w:cs="Times New Roman" w:eastAsia="Times New Roman" w:hAnsi="Times New Roman"/>
          <w:sz w:val="16"/>
          <w:szCs w:val="16"/>
          <w:color w:val="auto"/>
        </w:rPr>
      </w:pPr>
    </w:p>
    <w:p>
      <w:pPr>
        <w:ind w:right="120" w:firstLine="397"/>
        <w:spacing w:after="0" w:line="278" w:lineRule="auto"/>
        <w:tabs>
          <w:tab w:leader="none" w:pos="613"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successor Trustee shall accept its appointment unless at the time of such acceptance such successor Trustee shall be qualified and eligible under this Article 3.</w:t>
      </w:r>
    </w:p>
    <w:p>
      <w:pPr>
        <w:spacing w:after="0" w:line="145" w:lineRule="exact"/>
        <w:rPr>
          <w:sz w:val="20"/>
          <w:szCs w:val="20"/>
          <w:color w:val="auto"/>
        </w:rPr>
      </w:pPr>
    </w:p>
    <w:p>
      <w:pPr>
        <w:ind w:firstLine="388"/>
        <w:spacing w:after="0" w:line="270" w:lineRule="auto"/>
        <w:rPr>
          <w:sz w:val="20"/>
          <w:szCs w:val="20"/>
          <w:color w:val="auto"/>
        </w:rPr>
      </w:pPr>
      <w:r>
        <w:rPr>
          <w:rFonts w:ascii="Times New Roman" w:cs="Times New Roman" w:eastAsia="Times New Roman" w:hAnsi="Times New Roman"/>
          <w:sz w:val="15"/>
          <w:szCs w:val="15"/>
          <w:color w:val="auto"/>
        </w:rPr>
        <w:t xml:space="preserve">Section 3.11. </w:t>
      </w:r>
      <w:r>
        <w:rPr>
          <w:rFonts w:ascii="Times New Roman" w:cs="Times New Roman" w:eastAsia="Times New Roman" w:hAnsi="Times New Roman"/>
          <w:sz w:val="15"/>
          <w:szCs w:val="15"/>
          <w:u w:val="single" w:color="auto"/>
          <w:color w:val="auto"/>
        </w:rPr>
        <w:t>Merger, Conversion, Consolidation or Succession to Business</w:t>
      </w:r>
      <w:r>
        <w:rPr>
          <w:rFonts w:ascii="Times New Roman" w:cs="Times New Roman" w:eastAsia="Times New Roman" w:hAnsi="Times New Roman"/>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by sale or otherwise, shall be the successor of the Trustee hereunder;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such corporation shall be otherwise qualified and eligible under this Article 3, without the execution or filing of any paper or any further act on the part of any of the Parties hereto. In case any CVRs shall have been authenticated, but not delivered, by the Trustee then in office, any successor by merger, conversion, sale or consolidation to such authenticating Trustee may adopt such authentication and deliver the CVRs so authenticated with the same effect as if such successor Trustee had itself authenticated such CVRs; and such certificate shall have the full force which it is anywhere in the CVRs or in this CVR Agreement provided that the certificate of the Trustee shall have the same;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the right to adopt the certificate of authentication of any predecessor Trustee shall apply only to its successor or successors by merger, conversion or consolidation.</w:t>
      </w:r>
    </w:p>
    <w:p>
      <w:pPr>
        <w:spacing w:after="0" w:line="158" w:lineRule="exact"/>
        <w:rPr>
          <w:sz w:val="20"/>
          <w:szCs w:val="20"/>
          <w:color w:val="auto"/>
        </w:rPr>
      </w:pPr>
    </w:p>
    <w:p>
      <w:pPr>
        <w:ind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3.12. </w:t>
      </w:r>
      <w:r>
        <w:rPr>
          <w:rFonts w:ascii="Times New Roman" w:cs="Times New Roman" w:eastAsia="Times New Roman" w:hAnsi="Times New Roman"/>
          <w:sz w:val="16"/>
          <w:szCs w:val="16"/>
          <w:u w:val="single" w:color="auto"/>
          <w:color w:val="auto"/>
        </w:rPr>
        <w:t>Preferential Collection of Claims Against Parent</w:t>
      </w:r>
      <w:r>
        <w:rPr>
          <w:rFonts w:ascii="Times New Roman" w:cs="Times New Roman" w:eastAsia="Times New Roman" w:hAnsi="Times New Roman"/>
          <w:sz w:val="16"/>
          <w:szCs w:val="16"/>
          <w:color w:val="auto"/>
        </w:rPr>
        <w:t>. If and when the Trustee shall be or shall become a creditor, directly or indirectly, secured or unsecured, of Parent (or any other obligor upon the CVRs), excluding any creditor relationship set forth in Section 311(b) of the Trust Indenture Act, if applicable, the Trustee shall be subject to the applicable provisions of the Trust Indenture Act regarding the collection of claims against Parent (or any such other obligor).</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680"/>
          </w:cols>
          <w:pgMar w:left="1080" w:top="254" w:right="1139" w:bottom="1440" w:gutter="0" w:footer="0" w:header="0"/>
        </w:sectPr>
      </w:pPr>
    </w:p>
    <w:bookmarkStart w:id="208" w:name="page209"/>
    <w:bookmarkEnd w:id="208"/>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4</w:t>
      </w:r>
    </w:p>
    <w:p>
      <w:pPr>
        <w:spacing w:after="0" w:line="19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HOLDERS’ LISTS AND REPORTS BY THE TRUSTEE AND PARENT</w:t>
      </w:r>
    </w:p>
    <w:p>
      <w:pPr>
        <w:spacing w:after="0" w:line="199" w:lineRule="exact"/>
        <w:rPr>
          <w:sz w:val="20"/>
          <w:szCs w:val="20"/>
          <w:color w:val="auto"/>
        </w:rPr>
      </w:pPr>
    </w:p>
    <w:p>
      <w:pPr>
        <w:ind w:left="391"/>
        <w:spacing w:after="0"/>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Parent to Furnish Trustee with Names and Addresses of Holders</w:t>
      </w:r>
      <w:r>
        <w:rPr>
          <w:rFonts w:ascii="Times New Roman" w:cs="Times New Roman" w:eastAsia="Times New Roman" w:hAnsi="Times New Roman"/>
          <w:sz w:val="16"/>
          <w:szCs w:val="16"/>
          <w:color w:val="auto"/>
        </w:rPr>
        <w:t>. Parent will furnish or cause to be furnished to the Trustee</w:t>
      </w:r>
    </w:p>
    <w:p>
      <w:pPr>
        <w:spacing w:after="0" w:line="23" w:lineRule="exact"/>
        <w:rPr>
          <w:sz w:val="20"/>
          <w:szCs w:val="20"/>
          <w:color w:val="auto"/>
        </w:rPr>
      </w:pPr>
    </w:p>
    <w:p>
      <w:pPr>
        <w:ind w:left="-9" w:right="160" w:firstLine="9"/>
        <w:spacing w:after="0" w:line="273" w:lineRule="auto"/>
        <w:tabs>
          <w:tab w:leader="none" w:pos="207"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promptly after the issuance of the CVRs, and semi-annually thereafter, a list, in such form as the Trustee may reasonably require, of the names and addresses of the Holders as of a recent date, and (b) at such times as the Trustee may request in writing, within 30 days after receipt by Parent of any such request, a list, in such form as the Trustee may reasonably require, of the names and addresses of the Holders as of a date not more than 15 days prior to the time such list is furnished;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and so long as the Trustee shall be the CVR Registrar, no such list need be furnished.</w:t>
      </w:r>
    </w:p>
    <w:p>
      <w:pPr>
        <w:spacing w:after="0" w:line="150" w:lineRule="exact"/>
        <w:rPr>
          <w:sz w:val="20"/>
          <w:szCs w:val="20"/>
          <w:color w:val="auto"/>
        </w:rPr>
      </w:pPr>
    </w:p>
    <w:p>
      <w:pPr>
        <w:ind w:left="391"/>
        <w:spacing w:after="0"/>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Preservation of Information; Communications to Holders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9" w:right="60" w:firstLine="397"/>
        <w:spacing w:after="0" w:line="263" w:lineRule="auto"/>
        <w:tabs>
          <w:tab w:leader="none" w:pos="595"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preserve, in as current a form as is reasonably practicable, the names and addresses of Holders contained in the most recent list furnished to the Trustee as provided in Section 4.1 and the names and addresses of Holders received by the Trustee in its capacity as CVR Registrar. The Trustee may destroy any list furnished to it as provided in Section 4.1 upon receipt of a new list so furnished.</w:t>
      </w:r>
    </w:p>
    <w:p>
      <w:pPr>
        <w:spacing w:after="0" w:line="61" w:lineRule="exact"/>
        <w:rPr>
          <w:rFonts w:ascii="Times New Roman" w:cs="Times New Roman" w:eastAsia="Times New Roman" w:hAnsi="Times New Roman"/>
          <w:sz w:val="16"/>
          <w:szCs w:val="16"/>
          <w:color w:val="auto"/>
        </w:rPr>
      </w:pPr>
    </w:p>
    <w:p>
      <w:pPr>
        <w:ind w:left="-9" w:right="260" w:firstLine="397"/>
        <w:spacing w:after="0" w:line="278" w:lineRule="auto"/>
        <w:tabs>
          <w:tab w:leader="none" w:pos="604"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the Holders to communicate with other Holders with respect to their rights under this CVR Agreement and the corresponding rights and privileges of the Trustee shall be as provided by Section 312(b)(2) of the Trust Indenture Act, if applicable.</w:t>
      </w:r>
    </w:p>
    <w:p>
      <w:pPr>
        <w:spacing w:after="0" w:line="49" w:lineRule="exact"/>
        <w:rPr>
          <w:rFonts w:ascii="Times New Roman" w:cs="Times New Roman" w:eastAsia="Times New Roman" w:hAnsi="Times New Roman"/>
          <w:sz w:val="16"/>
          <w:szCs w:val="16"/>
          <w:color w:val="auto"/>
        </w:rPr>
      </w:pPr>
    </w:p>
    <w:p>
      <w:pPr>
        <w:ind w:left="-9" w:right="120" w:firstLine="397"/>
        <w:spacing w:after="0" w:line="263" w:lineRule="auto"/>
        <w:tabs>
          <w:tab w:leader="none" w:pos="595"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Holder of CVRs, by receiving and holding the same, agrees with Parent and the Trustee that neither Parent nor the Trustee shall be deemed to be in violation of Law or held accountable by reason of the disclosure of any such information as to the names and addresses of the Holders made pursuant to the Trust Indenture Act (if applicable) regardless of the source from which such information was derived.</w:t>
      </w:r>
    </w:p>
    <w:p>
      <w:pPr>
        <w:spacing w:after="0" w:line="157" w:lineRule="exact"/>
        <w:rPr>
          <w:sz w:val="20"/>
          <w:szCs w:val="20"/>
          <w:color w:val="auto"/>
        </w:rPr>
      </w:pPr>
    </w:p>
    <w:p>
      <w:pPr>
        <w:ind w:left="391"/>
        <w:spacing w:after="0"/>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Reports by Trustee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9" w:right="220" w:firstLine="397"/>
        <w:spacing w:after="0" w:line="281" w:lineRule="auto"/>
        <w:tabs>
          <w:tab w:leader="none" w:pos="595"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60 days after December 31 of each year, commencing with the December 31 following the date of this CVR Agreement, the Trustee shall transmit to all Holders such reports concerning the Trustee and its actions under this CVR Agreement as may be required pursuant to the Trust Indenture Act to the extent and in the manner provided pursuant thereto. The Trustee shall also comply with Section 313(b)(2) of the Trust Indenture Act, if applicable. The Trustee shall also transmit by mail all reports as required by Section 313(c) of the Trust Indenture Act, if applicable.</w:t>
      </w:r>
    </w:p>
    <w:p>
      <w:pPr>
        <w:spacing w:after="0" w:line="48" w:lineRule="exact"/>
        <w:rPr>
          <w:rFonts w:ascii="Times New Roman" w:cs="Times New Roman" w:eastAsia="Times New Roman" w:hAnsi="Times New Roman"/>
          <w:sz w:val="15"/>
          <w:szCs w:val="15"/>
          <w:color w:val="auto"/>
        </w:rPr>
      </w:pPr>
    </w:p>
    <w:p>
      <w:pPr>
        <w:jc w:val="both"/>
        <w:ind w:left="-9" w:firstLine="397"/>
        <w:spacing w:after="0" w:line="313" w:lineRule="auto"/>
        <w:tabs>
          <w:tab w:leader="none" w:pos="604"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each such report shall, at the time of such transmission to the Holders, be filed by the Trustee with each stock exchange, if any, upon which the CVRs are listed, with the SEC and also with Parent. Parent will promptly notify the Trustee when the CVRs are listed on any stock exchange.</w:t>
      </w:r>
    </w:p>
    <w:p>
      <w:pPr>
        <w:spacing w:after="0" w:line="6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691"/>
          </w:cols>
          <w:pgMar w:left="1089" w:top="252" w:right="1119" w:bottom="1440" w:gutter="0" w:footer="0" w:header="0"/>
        </w:sectPr>
      </w:pPr>
    </w:p>
    <w:bookmarkStart w:id="209" w:name="page210"/>
    <w:bookmarkEnd w:id="209"/>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4.4. </w:t>
      </w:r>
      <w:r>
        <w:rPr>
          <w:rFonts w:ascii="Times New Roman" w:cs="Times New Roman" w:eastAsia="Times New Roman" w:hAnsi="Times New Roman"/>
          <w:sz w:val="16"/>
          <w:szCs w:val="16"/>
          <w:u w:val="single" w:color="auto"/>
          <w:color w:val="auto"/>
        </w:rPr>
        <w:t>Reports by Parent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97"/>
        <w:spacing w:after="0" w:line="268" w:lineRule="auto"/>
        <w:tabs>
          <w:tab w:leader="none" w:pos="604"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(i) file with the Trustee, (A) within 15 days after Parent is required to file the same with the SEC, copies of the annual reports filed on Form 10-K and quarterly reports filed on Form 10-Q and of the information, documents and other reports (or copies of such portions of any of the foregoing as the SEC may from time to time by rules and regulations prescribe) which Parent is required to file with the SEC pursuant to Section 13 or Section 15(d) of the Exchange Act (such annual and quarterly reports and required information, documents and other reports, together the “</w:t>
      </w:r>
      <w:r>
        <w:rPr>
          <w:rFonts w:ascii="Times New Roman" w:cs="Times New Roman" w:eastAsia="Times New Roman" w:hAnsi="Times New Roman"/>
          <w:sz w:val="15"/>
          <w:szCs w:val="15"/>
          <w:u w:val="single" w:color="auto"/>
          <w:color w:val="auto"/>
        </w:rPr>
        <w:t>Exchange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Act Documents</w:t>
      </w:r>
      <w:r>
        <w:rPr>
          <w:rFonts w:ascii="Times New Roman" w:cs="Times New Roman" w:eastAsia="Times New Roman" w:hAnsi="Times New Roman"/>
          <w:sz w:val="15"/>
          <w:szCs w:val="15"/>
          <w:color w:val="auto"/>
        </w:rPr>
        <w:t>”), and (B) if Parent is not required to file Exchange Act Documents under Section 13 or 15(d) of the Exchange Act, within 45 days after each calendar quarter of Parent (other than the last quarter of each calendar year), quarterly financial information and, within 90 days after each calendar year of Parent, annual financial information that would be required pursuant to Section 13 of the Exchange Act in respect of a security listed and registered on a national securities exchange as may be prescribed from time to time in such rules and regulations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Parent also delivers with, or includes within, the annual and quarterly reports referred to in (A) and (B) the amount of Covered Revenues for the annual or quarterly period to date (as applicable)); (ii) file with the Trustee such additional information, documents and reports with respect to compliance by Parent with the conditions and covenants of this CVR Agreement as may be required from time to time by the rules and regulations of the SEC; and (iii) make available to the Holders on Parent’s website as of an even date with the filing of such materials with the Trustee, the information, documents and reports required to be filed by Parent pursuant to subsections (i) and (ii) of this Section 4.4(a). If Parent has timely electronically filed with the SEC’s EDGAR system (or any successor system) the reports described above, Parent shall be deemed to have satisfied the requirements of this Section 4.4(a).</w:t>
      </w:r>
    </w:p>
    <w:p>
      <w:pPr>
        <w:spacing w:after="0" w:line="64" w:lineRule="exact"/>
        <w:rPr>
          <w:rFonts w:ascii="Times New Roman" w:cs="Times New Roman" w:eastAsia="Times New Roman" w:hAnsi="Times New Roman"/>
          <w:sz w:val="15"/>
          <w:szCs w:val="15"/>
          <w:color w:val="auto"/>
        </w:rPr>
      </w:pPr>
    </w:p>
    <w:p>
      <w:pPr>
        <w:ind w:right="160" w:firstLine="397"/>
        <w:spacing w:after="0" w:line="258" w:lineRule="auto"/>
        <w:tabs>
          <w:tab w:leader="none" w:pos="613"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file with the Trustee, within 60 days following the end of any Covered Revenues Measuring Period, a Covered Revenues Statement with respect to such Covered Revenues Measuring Period. For the avoidance of doubt, the Covered Revenues Statements shall be treated as Confidential Information pursuant to Section 6.8, and no public filing of such Covered Revenues Statements shall be required pursuant to this Section 4.4.</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AMENDMENTS</w:t>
      </w:r>
    </w:p>
    <w:p>
      <w:pPr>
        <w:spacing w:after="0" w:line="199" w:lineRule="exact"/>
        <w:rPr>
          <w:sz w:val="20"/>
          <w:szCs w:val="20"/>
          <w:color w:val="auto"/>
        </w:rPr>
      </w:pPr>
    </w:p>
    <w:p>
      <w:pPr>
        <w:ind w:right="14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Amendments Without Consent of Holders</w:t>
      </w:r>
      <w:r>
        <w:rPr>
          <w:rFonts w:ascii="Times New Roman" w:cs="Times New Roman" w:eastAsia="Times New Roman" w:hAnsi="Times New Roman"/>
          <w:sz w:val="16"/>
          <w:szCs w:val="16"/>
          <w:color w:val="auto"/>
        </w:rPr>
        <w:t>. Without the consent of any Holders, Parent and the Trustee, at any time and from time to time, may enter into one or more amendments hereto or to the CVRs, for any of the following purposes:</w:t>
      </w:r>
    </w:p>
    <w:p>
      <w:pPr>
        <w:spacing w:after="0" w:line="50" w:lineRule="exact"/>
        <w:rPr>
          <w:sz w:val="20"/>
          <w:szCs w:val="20"/>
          <w:color w:val="auto"/>
        </w:rPr>
      </w:pPr>
    </w:p>
    <w:p>
      <w:pPr>
        <w:ind w:left="620" w:hanging="223"/>
        <w:spacing w:after="0"/>
        <w:tabs>
          <w:tab w:leader="none" w:pos="62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convey, transfer, assign, mortgage or pledge to the Trustee, as security for the CVRs, any property or assets;</w:t>
      </w:r>
    </w:p>
    <w:p>
      <w:pPr>
        <w:spacing w:after="0" w:line="10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the succession of another Person to Parent, and the assumption by any such successor of the covenants of Parent herein and in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w:t>
      </w:r>
    </w:p>
    <w:p>
      <w:pPr>
        <w:spacing w:after="0" w:line="84" w:lineRule="exact"/>
        <w:rPr>
          <w:rFonts w:ascii="Times New Roman" w:cs="Times New Roman" w:eastAsia="Times New Roman" w:hAnsi="Times New Roman"/>
          <w:sz w:val="16"/>
          <w:szCs w:val="16"/>
          <w:color w:val="auto"/>
        </w:rPr>
      </w:pPr>
    </w:p>
    <w:p>
      <w:pPr>
        <w:ind w:right="120" w:firstLine="397"/>
        <w:spacing w:after="0" w:line="253" w:lineRule="auto"/>
        <w:tabs>
          <w:tab w:leader="none" w:pos="604"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add to the covenants of Parent such further covenants, restrictions, conditions or provisions as the Board of Directors and the Trustee shall consider to be for the protection of the Holders, and to make the occurrence, or the occurrence and continuance, of a default in any such additional covenants, restrictions, conditions or provisions an Event of Default permitting the enforcement of all or any of the several remedies provided in this CVR Agreement as herein set forth;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respect of any such additional covenant, restriction, condition or provision, such amendment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Majority Holders to waive such an Event of Default;</w:t>
      </w:r>
    </w:p>
    <w:p>
      <w:pPr>
        <w:spacing w:after="0" w:line="70" w:lineRule="exact"/>
        <w:rPr>
          <w:rFonts w:ascii="Times New Roman" w:cs="Times New Roman" w:eastAsia="Times New Roman" w:hAnsi="Times New Roman"/>
          <w:sz w:val="16"/>
          <w:szCs w:val="16"/>
          <w:color w:val="auto"/>
        </w:rPr>
      </w:pPr>
    </w:p>
    <w:p>
      <w:pPr>
        <w:ind w:right="100" w:firstLine="397"/>
        <w:spacing w:after="0" w:line="278" w:lineRule="auto"/>
        <w:tabs>
          <w:tab w:leader="none" w:pos="61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cure any ambiguity, or to correct or supplement any provision herein or in the CVRs which may be defective or inconsistent with any other provision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provisions shall not materially reduce the benefits of this CVR Agreement or the CVRs to the Holders;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20"/>
          </w:cols>
          <w:pgMar w:left="1080" w:top="254" w:right="1099" w:bottom="1440" w:gutter="0" w:footer="0" w:header="0"/>
        </w:sectPr>
      </w:pPr>
    </w:p>
    <w:bookmarkStart w:id="210" w:name="page211"/>
    <w:bookmarkEnd w:id="210"/>
    <w:p>
      <w:pPr>
        <w:ind w:left="620" w:hanging="223"/>
        <w:spacing w:after="0"/>
        <w:tabs>
          <w:tab w:leader="none" w:pos="62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to make any amendments or changes necessary to comply or maintain compliance with the Trust Indenture Act, if applicable;</w:t>
      </w:r>
    </w:p>
    <w:p>
      <w:pPr>
        <w:spacing w:after="0" w:line="101" w:lineRule="exact"/>
        <w:rPr>
          <w:rFonts w:ascii="Times New Roman" w:cs="Times New Roman" w:eastAsia="Times New Roman" w:hAnsi="Times New Roman"/>
          <w:sz w:val="16"/>
          <w:szCs w:val="16"/>
          <w:color w:val="auto"/>
        </w:rPr>
      </w:pPr>
    </w:p>
    <w:p>
      <w:pPr>
        <w:ind w:right="160" w:firstLine="397"/>
        <w:spacing w:after="0" w:line="278" w:lineRule="auto"/>
        <w:tabs>
          <w:tab w:leader="none" w:pos="586"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make any other provisions with respect to matters or questions arising under this CVR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provisions shall not adversely affect the interests of the Holders; or</w:t>
      </w:r>
    </w:p>
    <w:p>
      <w:pPr>
        <w:spacing w:after="0" w:line="49"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that does not adversely affect the interests of the Holders.</w:t>
      </w:r>
    </w:p>
    <w:p>
      <w:pPr>
        <w:spacing w:after="0" w:line="19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 xml:space="preserve">Promptly following any amendment of this CVR Agreement or the CVRs in accordance with this Section 5.1, the Trustee shall notify the Holders of the CVRs of such amendment;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failure so to notify the Holders shall not, in itself, affect the validity of such amendment.</w:t>
      </w:r>
    </w:p>
    <w:p>
      <w:pPr>
        <w:spacing w:after="0" w:line="50" w:lineRule="exact"/>
        <w:rPr>
          <w:sz w:val="20"/>
          <w:szCs w:val="20"/>
          <w:color w:val="auto"/>
        </w:rPr>
      </w:pPr>
    </w:p>
    <w:p>
      <w:pPr>
        <w:ind w:right="12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u w:val="single" w:color="auto"/>
          <w:color w:val="auto"/>
        </w:rPr>
        <w:t>Amendments with Consent of Holders</w:t>
      </w:r>
      <w:r>
        <w:rPr>
          <w:rFonts w:ascii="Times New Roman" w:cs="Times New Roman" w:eastAsia="Times New Roman" w:hAnsi="Times New Roman"/>
          <w:sz w:val="16"/>
          <w:szCs w:val="16"/>
          <w:color w:val="auto"/>
        </w:rPr>
        <w:t xml:space="preserve">. With the consent of the Majority Holders, by Act of said Holders delivered to Parent and the Trustee (including consents obtained in connection with a purchase of, or tender offer or exchange offer for, the CVRs), Parent (when authorized by a Board Resolution) and the Trustee may enter into one or more amendments hereto or to the CVRs for the purpose of adding any provisions to or changing in any manner or eliminating any of the provisions of this CVR Agreement or to the CVRs or of modifying in any manner the rights of the Holders under this CVR Agreement or to the CVRs;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such amendment shall, without the consent of the Holder of each Outstanding CVR affected thereby:</w:t>
      </w:r>
    </w:p>
    <w:p>
      <w:pPr>
        <w:spacing w:after="0" w:line="69" w:lineRule="exact"/>
        <w:rPr>
          <w:sz w:val="20"/>
          <w:szCs w:val="20"/>
          <w:color w:val="auto"/>
        </w:rPr>
      </w:pPr>
    </w:p>
    <w:p>
      <w:pPr>
        <w:ind w:right="20" w:firstLine="397"/>
        <w:spacing w:after="0" w:line="258" w:lineRule="auto"/>
        <w:tabs>
          <w:tab w:leader="none" w:pos="604"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modify in a manner adverse to the Holders any provision contained herein with respect to the termination of this CVR Agreement or the CVRs or the time for payment and amount of any Covered Revenues Payment, or otherwise extend the time for payment of the CVRs or reduce the amounts payable in respect of the CVRs or modify any other payment term or payment date. Notwithstanding the foregoing, each Holder of a CVR, by acceptance thereof, including any permitted transferee, consents to the optional redemption provisions set forth in Article 9 hereof;</w:t>
      </w:r>
    </w:p>
    <w:p>
      <w:pPr>
        <w:spacing w:after="0" w:line="65"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number of CVRs, the consent of whose Holders is required for any such amendment; or</w:t>
      </w:r>
    </w:p>
    <w:p>
      <w:pPr>
        <w:spacing w:after="0" w:line="101" w:lineRule="exact"/>
        <w:rPr>
          <w:rFonts w:ascii="Times New Roman" w:cs="Times New Roman" w:eastAsia="Times New Roman" w:hAnsi="Times New Roman"/>
          <w:sz w:val="16"/>
          <w:szCs w:val="16"/>
          <w:color w:val="auto"/>
        </w:rPr>
      </w:pPr>
    </w:p>
    <w:p>
      <w:pPr>
        <w:ind w:right="40" w:firstLine="397"/>
        <w:spacing w:after="0" w:line="278" w:lineRule="auto"/>
        <w:tabs>
          <w:tab w:leader="none" w:pos="604"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modify any of the provisions of this Section 5.2, except to increase any such percentage or to provide that certain other provisions of this CVR Agreement cannot be modified or waived without the prior consent of the Holder of each CVR affected thereby.</w:t>
      </w:r>
    </w:p>
    <w:p>
      <w:pPr>
        <w:spacing w:after="0" w:line="145" w:lineRule="exact"/>
        <w:rPr>
          <w:sz w:val="20"/>
          <w:szCs w:val="20"/>
          <w:color w:val="auto"/>
        </w:rPr>
      </w:pPr>
    </w:p>
    <w:p>
      <w:pPr>
        <w:ind w:right="160" w:firstLine="388"/>
        <w:spacing w:after="0" w:line="278" w:lineRule="auto"/>
        <w:rPr>
          <w:sz w:val="20"/>
          <w:szCs w:val="20"/>
          <w:color w:val="auto"/>
        </w:rPr>
      </w:pPr>
      <w:r>
        <w:rPr>
          <w:rFonts w:ascii="Times New Roman" w:cs="Times New Roman" w:eastAsia="Times New Roman" w:hAnsi="Times New Roman"/>
          <w:sz w:val="16"/>
          <w:szCs w:val="16"/>
          <w:color w:val="auto"/>
        </w:rPr>
        <w:t>It shall not be necessary for any Act of Holders under this Section 5.2 to approve the particular form of any proposed amendment, but it shall be sufficient if such Act shall approve the substance thereof.</w:t>
      </w:r>
    </w:p>
    <w:p>
      <w:pPr>
        <w:spacing w:after="0" w:line="145" w:lineRule="exact"/>
        <w:rPr>
          <w:sz w:val="20"/>
          <w:szCs w:val="20"/>
          <w:color w:val="auto"/>
        </w:rPr>
      </w:pPr>
    </w:p>
    <w:p>
      <w:pPr>
        <w:ind w:right="2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5.3. </w:t>
      </w:r>
      <w:r>
        <w:rPr>
          <w:rFonts w:ascii="Times New Roman" w:cs="Times New Roman" w:eastAsia="Times New Roman" w:hAnsi="Times New Roman"/>
          <w:sz w:val="16"/>
          <w:szCs w:val="16"/>
          <w:u w:val="single" w:color="auto"/>
          <w:color w:val="auto"/>
        </w:rPr>
        <w:t>Execution of Amendments</w:t>
      </w:r>
      <w:r>
        <w:rPr>
          <w:rFonts w:ascii="Times New Roman" w:cs="Times New Roman" w:eastAsia="Times New Roman" w:hAnsi="Times New Roman"/>
          <w:sz w:val="16"/>
          <w:szCs w:val="16"/>
          <w:color w:val="auto"/>
        </w:rPr>
        <w:t>. In executing any amendment permitted by this Article 5, the Trustee (subject to Section 3.1) shall be fully protected in relying upon an Opinion of Counsel stating that the execution of such amendment is authorized or permitted by this CVR Agreement. The Trustee shall execute any amendment authorized pursuant to this Article 5 if the amendment does not adversely affect the Trustee’s own rights, duties or immunities under this CVR Agreement or otherwise. Otherwise, the Trustee may, but need not, execute such amendment.</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u w:val="single" w:color="auto"/>
          <w:color w:val="auto"/>
        </w:rPr>
        <w:t>Effect of Amendments; Notice to Holders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97"/>
        <w:spacing w:after="0" w:line="278" w:lineRule="auto"/>
        <w:tabs>
          <w:tab w:leader="none" w:pos="604"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execution of any amendment under this Article 5, this CVR Agreement and the CVRs shall be modified in accordance therewith, and such amendment shall form a part of this CVR Agreement and the CVRs for all purposes, and every Holder of CVRs shall be bound thereby.</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700"/>
          </w:cols>
          <w:pgMar w:left="1080" w:top="254" w:right="1119" w:bottom="1440" w:gutter="0" w:footer="0" w:header="0"/>
        </w:sectPr>
      </w:pPr>
    </w:p>
    <w:bookmarkStart w:id="211" w:name="page212"/>
    <w:bookmarkEnd w:id="211"/>
    <w:p>
      <w:pPr>
        <w:ind w:firstLine="397"/>
        <w:spacing w:after="0" w:line="258" w:lineRule="auto"/>
        <w:tabs>
          <w:tab w:leader="none" w:pos="613"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Promptly after the execution by Parent and the Trustee of any amendment pursuant to the provisions of this Article 5, Parent shall mail a notice thereof by first class mail to the Holders of CVRs at their addresses as they shall appear on the CVR Register, setting forth in general terms the substance of such amendment. Any failure of Parent to mail such notice, or any defect therein, shall not, in itself, however, in any way impair or affect the validity of any such amendment.</w:t>
      </w:r>
    </w:p>
    <w:p>
      <w:pPr>
        <w:spacing w:after="0" w:line="161" w:lineRule="exact"/>
        <w:rPr>
          <w:sz w:val="20"/>
          <w:szCs w:val="20"/>
          <w:color w:val="auto"/>
        </w:rPr>
      </w:pPr>
    </w:p>
    <w:p>
      <w:pPr>
        <w:ind w:right="72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5.5. </w:t>
      </w:r>
      <w:r>
        <w:rPr>
          <w:rFonts w:ascii="Times New Roman" w:cs="Times New Roman" w:eastAsia="Times New Roman" w:hAnsi="Times New Roman"/>
          <w:sz w:val="16"/>
          <w:szCs w:val="16"/>
          <w:u w:val="single" w:color="auto"/>
          <w:color w:val="auto"/>
        </w:rPr>
        <w:t>Conformity with Trust Indenture Act</w:t>
      </w:r>
      <w:r>
        <w:rPr>
          <w:rFonts w:ascii="Times New Roman" w:cs="Times New Roman" w:eastAsia="Times New Roman" w:hAnsi="Times New Roman"/>
          <w:sz w:val="16"/>
          <w:szCs w:val="16"/>
          <w:color w:val="auto"/>
        </w:rPr>
        <w:t>. Every amendment executed pursuant to this Article 5 shall conform to the applicable requirements of the Trust Indenture Act, if any.</w:t>
      </w:r>
    </w:p>
    <w:p>
      <w:pPr>
        <w:spacing w:after="0" w:line="145" w:lineRule="exact"/>
        <w:rPr>
          <w:sz w:val="20"/>
          <w:szCs w:val="20"/>
          <w:color w:val="auto"/>
        </w:rPr>
      </w:pPr>
    </w:p>
    <w:p>
      <w:pPr>
        <w:ind w:right="12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5.6. </w:t>
      </w:r>
      <w:r>
        <w:rPr>
          <w:rFonts w:ascii="Times New Roman" w:cs="Times New Roman" w:eastAsia="Times New Roman" w:hAnsi="Times New Roman"/>
          <w:sz w:val="16"/>
          <w:szCs w:val="16"/>
          <w:u w:val="single" w:color="auto"/>
          <w:color w:val="auto"/>
        </w:rPr>
        <w:t>Reference in CVRs to Amendments</w:t>
      </w:r>
      <w:r>
        <w:rPr>
          <w:rFonts w:ascii="Times New Roman" w:cs="Times New Roman" w:eastAsia="Times New Roman" w:hAnsi="Times New Roman"/>
          <w:sz w:val="16"/>
          <w:szCs w:val="16"/>
          <w:color w:val="auto"/>
        </w:rPr>
        <w:t>. If an amendment changes the terms of the CVRs, the Trustee may require the Holders of the CVRs to deliver it to the Trustee. CVRs authenticated and delivered after the execution of any amendment pursuant to this Article 5 may, and shall if required by the Trustee, bear a notation in form approved by the Trustee as to any matter provided for in such amendment. If Parent shall so determine, new CVRs so modified as to conform, in the opinion of the Trustee and the Board of Directors, to any such amendment may be prepared and executed by Parent and authenticated and delivered by the Trustee in exchange for Outstanding CVRs. Failure to make the appropriate notation or to issue a new CVR shall not affect the validity of such amendment.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6</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99" w:lineRule="exact"/>
        <w:rPr>
          <w:sz w:val="20"/>
          <w:szCs w:val="20"/>
          <w:color w:val="auto"/>
        </w:rPr>
      </w:pPr>
    </w:p>
    <w:p>
      <w:pPr>
        <w:ind w:right="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Payment of Amounts, if any, to Holders</w:t>
      </w:r>
      <w:r>
        <w:rPr>
          <w:rFonts w:ascii="Times New Roman" w:cs="Times New Roman" w:eastAsia="Times New Roman" w:hAnsi="Times New Roman"/>
          <w:sz w:val="16"/>
          <w:szCs w:val="16"/>
          <w:color w:val="auto"/>
        </w:rPr>
        <w:t>. Parent will duly and punctually pay or cause to be paid the amounts, if any, owed with respect to the CVRs in accordance with the terms of the CVRs and this CVR Agreement. Such amounts shall be considered paid on or prior to the applicable Payment Date if on such date, the Trustee or the Paying Agent holds in accordance with this CVR Agreement money sufficient to pay all such amounts then due. Each of the Surviving Entity, Parent (or any of its Affiliates), the Trustee and the Paying Agent shall be entitled to deduct and withhold from any amounts otherwise payable pursuant to this CVR Agreement or the Merger Agreement such amount as it is required to deduct and withhold with respect to the making of such payment under the Code, the rules or regulations promulgated thereunder, any provision of applicable state, local or foreign Tax Law or any other Law. To the extent that amounts are so deducted or withheld, such deducted or withheld amounts shall be treated for purposes of this CVR Agreement and the Merger Agreement as having been paid to the Person in respect of which such deduction and withholding was made. The consent of the Holders shall not be required for any such withholding.</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u w:val="single" w:color="auto"/>
          <w:color w:val="auto"/>
        </w:rPr>
        <w:t>Maintenance of Office or Agency</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620" w:hanging="223"/>
        <w:spacing w:after="0"/>
        <w:tabs>
          <w:tab w:leader="none" w:pos="620" w:val="left"/>
        </w:tabs>
        <w:numPr>
          <w:ilvl w:val="1"/>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long as any of the CVRs remain Outstanding, Parent will maintain in the Borough of Manhattan, the City of New York, an office or agency</w:t>
      </w:r>
    </w:p>
    <w:p>
      <w:pPr>
        <w:spacing w:after="0" w:line="34" w:lineRule="exact"/>
        <w:rPr>
          <w:rFonts w:ascii="Times New Roman" w:cs="Times New Roman" w:eastAsia="Times New Roman" w:hAnsi="Times New Roman"/>
          <w:sz w:val="15"/>
          <w:szCs w:val="15"/>
          <w:color w:val="auto"/>
        </w:rPr>
      </w:pPr>
    </w:p>
    <w:p>
      <w:pPr>
        <w:ind w:left="200" w:hanging="191"/>
        <w:spacing w:after="0"/>
        <w:tabs>
          <w:tab w:leader="none" w:pos="20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CVRs may be presented or surrendered for payment, (ii) where CVRs may be surrendered for registration of transfer or exchange and</w:t>
      </w:r>
    </w:p>
    <w:p>
      <w:pPr>
        <w:spacing w:after="0" w:line="6" w:lineRule="exact"/>
        <w:rPr>
          <w:sz w:val="20"/>
          <w:szCs w:val="20"/>
          <w:color w:val="auto"/>
        </w:rPr>
      </w:pPr>
    </w:p>
    <w:p>
      <w:pPr>
        <w:ind w:right="40" w:firstLine="9"/>
        <w:spacing w:after="0" w:line="249" w:lineRule="auto"/>
        <w:tabs>
          <w:tab w:leader="none" w:pos="277"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where notices and demands to or upon Parent in respect of the CVRs and this CVR Agreement may be served. Parent hereby initially designates the Corporate Trust Office as such office or agency of Parent, unless Parent shall hereafter designate and maintain some other office or agency for one or more of such purposes. Parent or any of its Subsidiaries may act as Paying Agent, registrar or transfer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Person shall take appropriate actions to avoid the commingling of funds. Parent will give prompt written notice to the Trustee of any change in the location of any such office or agency. If at any time Parent shall fail to furnish the Trustee with the address thereof, such presentations, surrenders, notices and demands may be made or served at the Corporate Trust Office of the Trustee, and Parent hereby appoints the Trustee as its agent to receive all such presentations, surrenders, notices and demands.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720"/>
          </w:cols>
          <w:pgMar w:left="1080" w:top="254" w:right="1099" w:bottom="1440" w:gutter="0" w:footer="0" w:header="0"/>
        </w:sectPr>
      </w:pPr>
    </w:p>
    <w:bookmarkStart w:id="212" w:name="page213"/>
    <w:bookmarkEnd w:id="212"/>
    <w:p>
      <w:pPr>
        <w:ind w:right="80" w:firstLine="397"/>
        <w:spacing w:after="0" w:line="255" w:lineRule="auto"/>
        <w:tabs>
          <w:tab w:leader="none" w:pos="613"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Parent may from time to time designate one or more other offices or agencies (in or outside of the City of New York) where the CVRs may be presented or surrendered for any or all such purposes, and may from time to time rescind such designation;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such designation or rescission shall in any manner relieve Parent of its obligation to maintain an office or agency in the Borough of Manhattan, the City of New York for such purposes. Parent will give prompt written notice to the Trustee of any such designation or rescission and any change in the location of any such office or agency.</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6.3. </w:t>
      </w:r>
      <w:r>
        <w:rPr>
          <w:rFonts w:ascii="Times New Roman" w:cs="Times New Roman" w:eastAsia="Times New Roman" w:hAnsi="Times New Roman"/>
          <w:sz w:val="16"/>
          <w:szCs w:val="16"/>
          <w:u w:val="single" w:color="auto"/>
          <w:color w:val="auto"/>
        </w:rPr>
        <w:t>Money for Covered Revenues Payments to Be Held in Trust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60" w:firstLine="397"/>
        <w:spacing w:after="0" w:line="263" w:lineRule="auto"/>
        <w:tabs>
          <w:tab w:leader="none" w:pos="604"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Parent shall at any time act as the Paying Agent, it will, on or before the Payment Date, as the case may be, segregate and hold in trust for the benefit of the Holders all sums held by such Paying Agent for payment on the CVRs until such sums shall be paid to the Holders as herein provided, and will promptly notify the Trustee of any failure of Parent to make payment on the CVRs.</w:t>
      </w:r>
    </w:p>
    <w:p>
      <w:pPr>
        <w:spacing w:after="0" w:line="61" w:lineRule="exact"/>
        <w:rPr>
          <w:rFonts w:ascii="Times New Roman" w:cs="Times New Roman" w:eastAsia="Times New Roman" w:hAnsi="Times New Roman"/>
          <w:sz w:val="16"/>
          <w:szCs w:val="16"/>
          <w:color w:val="auto"/>
        </w:rPr>
      </w:pPr>
    </w:p>
    <w:p>
      <w:pPr>
        <w:ind w:right="20" w:firstLine="397"/>
        <w:spacing w:after="0" w:line="263" w:lineRule="auto"/>
        <w:tabs>
          <w:tab w:leader="none" w:pos="613"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Parent shall have one or more Paying Agents for the CVRs, it will, on or before a Payment Date, deposit with a Paying Agent a sum in same day funds sufficient to pay the amount, if any, so becoming due, such sum to be held in trust for the benefit of the Persons entitled to such amount.</w:t>
      </w:r>
    </w:p>
    <w:p>
      <w:pPr>
        <w:spacing w:after="0" w:line="61" w:lineRule="exact"/>
        <w:rPr>
          <w:rFonts w:ascii="Times New Roman" w:cs="Times New Roman" w:eastAsia="Times New Roman" w:hAnsi="Times New Roman"/>
          <w:sz w:val="16"/>
          <w:szCs w:val="16"/>
          <w:color w:val="auto"/>
        </w:rPr>
      </w:pPr>
    </w:p>
    <w:p>
      <w:pPr>
        <w:ind w:right="60" w:firstLine="397"/>
        <w:spacing w:after="0" w:line="255" w:lineRule="auto"/>
        <w:tabs>
          <w:tab w:leader="none" w:pos="604"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will cause each Paying Agent other than the Trustee to execute and deliver to the Trustee an instrument in which such Paying Agent shall agree with the Trustee, subject to the provisions of this Section 6.3, that (i) such Paying Agent will hold all sums held by it for the payment of any amount payable on CVRs in trust for the benefit of the Persons entitled thereto until such sums shall be paid to such Persons or otherwise disposed of as herein provided, and will notify the Trustee of the sums so held, and (ii) that it will give the Trustee notice of any failure by Parent (or by any other obligor on the CVRs) to make any payment on the CVRs when the same shall be due and payable.</w:t>
      </w:r>
    </w:p>
    <w:p>
      <w:pPr>
        <w:spacing w:after="0" w:line="69" w:lineRule="exact"/>
        <w:rPr>
          <w:rFonts w:ascii="Times New Roman" w:cs="Times New Roman" w:eastAsia="Times New Roman" w:hAnsi="Times New Roman"/>
          <w:sz w:val="16"/>
          <w:szCs w:val="16"/>
          <w:color w:val="auto"/>
        </w:rPr>
      </w:pPr>
    </w:p>
    <w:p>
      <w:pPr>
        <w:ind w:right="80" w:firstLine="397"/>
        <w:spacing w:after="0" w:line="258" w:lineRule="auto"/>
        <w:tabs>
          <w:tab w:leader="none" w:pos="613"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money deposited with the Trustee or any Paying Agent, or then held by Parent, in trust for the payment on any CVR and remaining unclaimed for one year after the Payment Date shall be paid to Parent on Parent Request, or (if then held by Parent) shall be discharged from such trust, and the Holder of such CVR shall thereafter, as an unsecured general creditor, look only to Parent for payment thereof, and all liability of the Trustee or such Paying Agent with respect to such trust money shall thereupon cease.</w:t>
      </w:r>
    </w:p>
    <w:p>
      <w:pPr>
        <w:spacing w:after="0" w:line="161" w:lineRule="exact"/>
        <w:rPr>
          <w:sz w:val="20"/>
          <w:szCs w:val="20"/>
          <w:color w:val="auto"/>
        </w:rPr>
      </w:pPr>
    </w:p>
    <w:p>
      <w:pPr>
        <w:ind w:right="6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6.4. </w:t>
      </w:r>
      <w:r>
        <w:rPr>
          <w:rFonts w:ascii="Times New Roman" w:cs="Times New Roman" w:eastAsia="Times New Roman" w:hAnsi="Times New Roman"/>
          <w:sz w:val="16"/>
          <w:szCs w:val="16"/>
          <w:u w:val="single" w:color="auto"/>
          <w:color w:val="auto"/>
        </w:rPr>
        <w:t>Books and Records</w:t>
      </w:r>
      <w:r>
        <w:rPr>
          <w:rFonts w:ascii="Times New Roman" w:cs="Times New Roman" w:eastAsia="Times New Roman" w:hAnsi="Times New Roman"/>
          <w:sz w:val="16"/>
          <w:szCs w:val="16"/>
          <w:color w:val="auto"/>
        </w:rPr>
        <w:t>. Parent shall keep, and shall cause its Subsidiaries to keep, true, complete and accurate records in sufficient detail to enable the Holders and their consultants or professional advisors to determine the amounts payable hereunder.</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6.5. </w:t>
      </w:r>
      <w:r>
        <w:rPr>
          <w:rFonts w:ascii="Times New Roman" w:cs="Times New Roman" w:eastAsia="Times New Roman" w:hAnsi="Times New Roman"/>
          <w:sz w:val="16"/>
          <w:szCs w:val="16"/>
          <w:u w:val="single" w:color="auto"/>
          <w:color w:val="auto"/>
        </w:rPr>
        <w:t>Audits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97"/>
        <w:spacing w:after="0" w:line="251" w:lineRule="auto"/>
        <w:tabs>
          <w:tab w:leader="none" w:pos="604"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written request of the Holder Representative or the Majority Holders, as the case may be (the “</w:t>
      </w:r>
      <w:r>
        <w:rPr>
          <w:rFonts w:ascii="Times New Roman" w:cs="Times New Roman" w:eastAsia="Times New Roman" w:hAnsi="Times New Roman"/>
          <w:sz w:val="16"/>
          <w:szCs w:val="16"/>
          <w:u w:val="single" w:color="auto"/>
          <w:color w:val="auto"/>
        </w:rPr>
        <w:t>Requesting Party</w:t>
      </w:r>
      <w:r>
        <w:rPr>
          <w:rFonts w:ascii="Times New Roman" w:cs="Times New Roman" w:eastAsia="Times New Roman" w:hAnsi="Times New Roman"/>
          <w:sz w:val="16"/>
          <w:szCs w:val="16"/>
          <w:color w:val="auto"/>
        </w:rPr>
        <w:t>”), provided to Parent within 120 days following the date on which Parent delivers a Covered Revenues Statement with respect to a Covered Revenues Measuring Period ending upon the last day of any Threshold Measuring Period pursuant to Section 4.4(b) (the “</w:t>
      </w:r>
      <w:r>
        <w:rPr>
          <w:rFonts w:ascii="Times New Roman" w:cs="Times New Roman" w:eastAsia="Times New Roman" w:hAnsi="Times New Roman"/>
          <w:sz w:val="16"/>
          <w:szCs w:val="16"/>
          <w:u w:val="single" w:color="auto"/>
          <w:color w:val="auto"/>
        </w:rPr>
        <w:t>Review Request Period</w:t>
      </w:r>
      <w:r>
        <w:rPr>
          <w:rFonts w:ascii="Times New Roman" w:cs="Times New Roman" w:eastAsia="Times New Roman" w:hAnsi="Times New Roman"/>
          <w:sz w:val="16"/>
          <w:szCs w:val="16"/>
          <w:color w:val="auto"/>
        </w:rPr>
        <w:t>”), Parent shall permit, and shall cause its Subsidiaries to permit, an independent certified public accounting firm of nationally recognized standing selected by the Requesting Party and Parent (failing agreement on which each shall designate an independent public accounting firm of its own selection, which firms shall in turn appoint an independent public accounting firm for such purpose) (the “</w:t>
      </w:r>
      <w:r>
        <w:rPr>
          <w:rFonts w:ascii="Times New Roman" w:cs="Times New Roman" w:eastAsia="Times New Roman" w:hAnsi="Times New Roman"/>
          <w:sz w:val="16"/>
          <w:szCs w:val="16"/>
          <w:u w:val="single" w:color="auto"/>
          <w:color w:val="auto"/>
        </w:rPr>
        <w:t>Independent Accountan</w:t>
      </w:r>
      <w:r>
        <w:rPr>
          <w:rFonts w:ascii="Times New Roman" w:cs="Times New Roman" w:eastAsia="Times New Roman" w:hAnsi="Times New Roman"/>
          <w:sz w:val="16"/>
          <w:szCs w:val="16"/>
          <w:color w:val="auto"/>
        </w:rPr>
        <w:t>t”) to have access during normal business hours to such of the records of Parent as may be reasonably necessary to verify the accuracy of any Covered Revenues Statements delivered with respect to the Threshold Measuring Period most recently ended and the figures underlying the calculations set forth therein for any period within such Threshold Measuring Period, and subject to customary confidentiality provisions (it being understood that such review shall not include any matter addressed in Section 6.5(b) below). Parent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720"/>
          </w:cols>
          <w:pgMar w:left="1080" w:top="254" w:right="1099" w:bottom="1440" w:gutter="0" w:footer="0" w:header="0"/>
        </w:sectPr>
      </w:pPr>
    </w:p>
    <w:bookmarkStart w:id="213" w:name="page214"/>
    <w:bookmarkEnd w:id="213"/>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shall pay, or cause to be paid, the fees charged by the Independent Accountant;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the event that the Independent Accountant determines that the Covered Revenues included in the Covered Revenues Statements is either at least 95.5% of the Covered Revenues that should have been included in the Covered Revenues Statement or within $10,000,000 of the Covered Revenues that should have been included in the Covered Revenues Statement, the Holders shall pay, or cause to be paid, the fees charged by such Independent Accountant, which amount Parent may deduct from any future Covered Revenues Payments payable to Holders pursuant to this CVR Agreement. The Independent Accountant, acting as an expert and not as an arbitrator, shall be charged to come to a final determination as promptly as practicable (and in any event within 30 days) with respect to those specific items in the applicable Covered Revenues Statement that the Requesting Party and Parent disagree on and submit to it for resolution, and the scope of the disputes to be resolved by the Independent Accountant shall be limited to such specific items. If issues are submitted to the Independent Accountant for resolution, Parent shall, and shall cause its Subsidiaries to, furnish to the Independent Accountant such access, work papers and other documents and information related to those disputed issues as the Independent Accountant may request and as are available to Parent and subject to customary confidentiality provisions. The Independent Accountant shall disclose to the Requesting Party the amounts that the Independent Accountant believes to be due and payable by Parent and details concerning any discrepancy from the amount paid and the amount due, and shall disclose no other information revealed in such audit. The Independent Accountant shall provide Parent with a copy of all disclosures made to the Requesting Party.</w:t>
      </w:r>
    </w:p>
    <w:p>
      <w:pPr>
        <w:spacing w:after="0" w:line="174" w:lineRule="exact"/>
        <w:rPr>
          <w:sz w:val="20"/>
          <w:szCs w:val="20"/>
          <w:color w:val="auto"/>
        </w:rPr>
      </w:pPr>
    </w:p>
    <w:p>
      <w:pPr>
        <w:ind w:firstLine="397"/>
        <w:spacing w:after="0" w:line="249" w:lineRule="auto"/>
        <w:tabs>
          <w:tab w:leader="none" w:pos="61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Review Request Period, the Requesting Party may also provide notice in writing to Parent challenging Parent’s determination that a given activity does not generate Covered Revenue recognized in any Covered Revenues Measuring Period for which any Covered Revenues Statement has been delivered with respect to the Threshold Measuring Period most recently ended, which notice shall (i) identify in reasonable detail why the Requesting Party believes such activity generated Covered Revenue recognized in such Covered Revenues Measuring Period, including identifying the activity and the clause of “Covered Revenue” at issue (the “</w:t>
      </w:r>
      <w:r>
        <w:rPr>
          <w:rFonts w:ascii="Times New Roman" w:cs="Times New Roman" w:eastAsia="Times New Roman" w:hAnsi="Times New Roman"/>
          <w:sz w:val="16"/>
          <w:szCs w:val="16"/>
          <w:u w:val="single" w:color="auto"/>
          <w:color w:val="auto"/>
        </w:rPr>
        <w:t>Specified Dispute</w:t>
      </w:r>
      <w:r>
        <w:rPr>
          <w:rFonts w:ascii="Times New Roman" w:cs="Times New Roman" w:eastAsia="Times New Roman" w:hAnsi="Times New Roman"/>
          <w:sz w:val="16"/>
          <w:szCs w:val="16"/>
          <w:color w:val="auto"/>
        </w:rPr>
        <w:t>”), including with respect to challenges regarding Intellectual Property, identifying in reasonable detail the item(s) of Intellectual Property at issue and alleged infringing items (it being understood that such Specified Dispute shall not include any matter addressed in Section 6.5(a) above), and (ii) propose a relevant subject matter expert of nationally recognized standing to be appointed to resolve the Specified Dispute pursuant to the terms of this Section 6.5(b). Within 10 Business Days of the receipt of such notice, Parent shall either accept the appointment of such expert or shall propose in writing to the Requesting Party a different independent relevant subject matter expert of nationally recognized standing. For the next 15 Business Days thereafter, Parent and the Requesting Party shall discuss the selection of such expert and failing agreement, the experts proposed by Parent and the Requesting Party shall in turn appoint an independent relevant subject matter expert to resolve such dispute pursuant to the terms of this Section 6.5 (the “</w:t>
      </w:r>
      <w:r>
        <w:rPr>
          <w:rFonts w:ascii="Times New Roman" w:cs="Times New Roman" w:eastAsia="Times New Roman" w:hAnsi="Times New Roman"/>
          <w:sz w:val="16"/>
          <w:szCs w:val="16"/>
          <w:u w:val="single" w:color="auto"/>
          <w:color w:val="auto"/>
        </w:rPr>
        <w:t>Subject Matter Expert</w:t>
      </w:r>
      <w:r>
        <w:rPr>
          <w:rFonts w:ascii="Times New Roman" w:cs="Times New Roman" w:eastAsia="Times New Roman" w:hAnsi="Times New Roman"/>
          <w:sz w:val="16"/>
          <w:szCs w:val="16"/>
          <w:color w:val="auto"/>
        </w:rPr>
        <w:t>”), which expert shall be selected no later than the end of such 15-Business Day period. Within one month after the appointment of the Subject Matter Expert, each of Parent and the Requesting Party shall submit in writing to the Subject Matter Expert its arguments regarding the Specified Dispute. The Subject Matter Expert, acting as an expert and not as an arbitrator, shall be charged to come to a final determination with respect to the Specified Dispute as promptly as practicable (and in any event within one month) by adopting the position of either Parent or the Requesting Party. The Subject Matter Expert shall not be permitted to make any determination other than adopting the position of either Parent or the Requesting Party, and the scope of the disputes to be resolved by the Subject Matter Expert shall be limited to the Specified Dispute. Parent shall permit, and shall cause its Subsidiaries to permit, the Subject Matter Expert to have access during normal business hours to such of the records of Parent as may be reasonably necessary to resolve the Specified Dispute, subject to customary confidentiality provisions. Parent shall pay, or cause to be paid, the fees charged by the Subject Matter Expert; provided, that, in the event that the Subject Matter Expert determines that the Covered Revenues included in the Covered Revenues Statements is either at least 95.5% of the Covered Revenues that should have been included in the Covered Revenues Statement or within $10 million of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700"/>
          </w:cols>
          <w:pgMar w:left="1080" w:top="254" w:right="1119" w:bottom="1440" w:gutter="0" w:footer="0" w:header="0"/>
        </w:sectPr>
      </w:pPr>
    </w:p>
    <w:bookmarkStart w:id="214" w:name="page215"/>
    <w:bookmarkEnd w:id="214"/>
    <w:p>
      <w:pPr>
        <w:ind w:right="6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Covered Revenues that should have been included in the Covered Revenues Statement, the Holders shall pay, or cause to be paid, the fees charged by such Subject Matter Expert, which amount Parent may deduct from any future Covered Revenues Payments payable to Holders pursuant to this CVR Agreement. Parent shall, and shall cause its Subsidiaries to, furnish to the Subject Matter Expert such reasonable access, work papers and other documents and information related to disputed issues as the Subject Matter Expert may request and as are available to Parent, and subject to customary confidentiality provisions. The Subject Matter Expert shall disclose to the Requesting Party only the amounts that the Subject Matter Expert believes to be due and payable by Parent, details concerning any discrepancy from the amount paid and the amount due, and shall disclose no other information revealed in such audit. The Subject Matter Expert shall provide Parent with a copy of all disclosures made to the Requesting Party.</w:t>
      </w:r>
    </w:p>
    <w:p>
      <w:pPr>
        <w:spacing w:after="0" w:line="70" w:lineRule="exact"/>
        <w:rPr>
          <w:sz w:val="20"/>
          <w:szCs w:val="20"/>
          <w:color w:val="auto"/>
        </w:rPr>
      </w:pPr>
    </w:p>
    <w:p>
      <w:pPr>
        <w:ind w:right="240" w:firstLine="397"/>
        <w:spacing w:after="0" w:line="278" w:lineRule="auto"/>
        <w:tabs>
          <w:tab w:leader="none" w:pos="604"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only one, and not both, of the Holder Representative or the Majority Holders may provide notice requesting an audit pursuant to Sections 6.5(a) or 6.5(b) during each Review Request Period.</w:t>
      </w:r>
    </w:p>
    <w:p>
      <w:pPr>
        <w:spacing w:after="0" w:line="49" w:lineRule="exact"/>
        <w:rPr>
          <w:rFonts w:ascii="Times New Roman" w:cs="Times New Roman" w:eastAsia="Times New Roman" w:hAnsi="Times New Roman"/>
          <w:sz w:val="16"/>
          <w:szCs w:val="16"/>
          <w:color w:val="auto"/>
        </w:rPr>
      </w:pPr>
    </w:p>
    <w:p>
      <w:pPr>
        <w:ind w:firstLine="397"/>
        <w:spacing w:after="0" w:line="289" w:lineRule="auto"/>
        <w:tabs>
          <w:tab w:leader="none" w:pos="613"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items in the Covered Revenues Statement that the Requesting Party and Parent do not submit, prior to the end of the Review Request Period, to the Independent Accountant or to the Subject Matter Expert for resolution shall be deemed to be agreed by the Requesting Party and Parent and neither the Independent Accountant nor the Subject Matter Expert shall be charged with calculating or validating those agreed upon items.</w:t>
      </w:r>
    </w:p>
    <w:p>
      <w:pPr>
        <w:spacing w:after="0" w:line="43" w:lineRule="exact"/>
        <w:rPr>
          <w:rFonts w:ascii="Times New Roman" w:cs="Times New Roman" w:eastAsia="Times New Roman" w:hAnsi="Times New Roman"/>
          <w:sz w:val="15"/>
          <w:szCs w:val="15"/>
          <w:color w:val="auto"/>
        </w:rPr>
      </w:pPr>
    </w:p>
    <w:p>
      <w:pPr>
        <w:ind w:right="20" w:firstLine="397"/>
        <w:spacing w:after="0" w:line="253" w:lineRule="auto"/>
        <w:tabs>
          <w:tab w:leader="none" w:pos="604"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Independent Accountant or Subject Matter Expert concludes that any Covered Revenues Payment amount should have been greater than the Covered Revenues Payment set forth in an applicable Covered Revenues Statement (the difference being the “</w:t>
      </w:r>
      <w:r>
        <w:rPr>
          <w:rFonts w:ascii="Times New Roman" w:cs="Times New Roman" w:eastAsia="Times New Roman" w:hAnsi="Times New Roman"/>
          <w:sz w:val="16"/>
          <w:szCs w:val="16"/>
          <w:u w:val="single" w:color="auto"/>
          <w:color w:val="auto"/>
        </w:rPr>
        <w:t>CVR Shortfall</w:t>
      </w:r>
      <w:r>
        <w:rPr>
          <w:rFonts w:ascii="Times New Roman" w:cs="Times New Roman" w:eastAsia="Times New Roman" w:hAnsi="Times New Roman"/>
          <w:sz w:val="16"/>
          <w:szCs w:val="16"/>
          <w:color w:val="auto"/>
        </w:rPr>
        <w:t>”), Parent shall pay the CVR Shortfall within 60 days of the date the Requesting Party deliver to Parent the Independent Accountant’s or Subject Matter Expert’s written report (the “</w:t>
      </w:r>
      <w:r>
        <w:rPr>
          <w:rFonts w:ascii="Times New Roman" w:cs="Times New Roman" w:eastAsia="Times New Roman" w:hAnsi="Times New Roman"/>
          <w:sz w:val="16"/>
          <w:szCs w:val="16"/>
          <w:u w:val="single" w:color="auto"/>
          <w:color w:val="auto"/>
        </w:rPr>
        <w:t>Shortfall Report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CVR Shortfall amount shall bear interest at the Shortfall Interest Rate beginning from 30 days after the date the Requesting Party delivers to Parent the Shortfall Report until payment is made to the Trustee. The decision of such Independent Accountant and Subject Matter Expert shall be final, conclusive and binding on Parent and the Holders, shall be non-appealable and shall not be subject to further review.</w:t>
      </w:r>
    </w:p>
    <w:p>
      <w:pPr>
        <w:spacing w:after="0" w:line="70" w:lineRule="exact"/>
        <w:rPr>
          <w:rFonts w:ascii="Times New Roman" w:cs="Times New Roman" w:eastAsia="Times New Roman" w:hAnsi="Times New Roman"/>
          <w:sz w:val="16"/>
          <w:szCs w:val="16"/>
          <w:color w:val="auto"/>
        </w:rPr>
      </w:pPr>
    </w:p>
    <w:p>
      <w:pPr>
        <w:ind w:right="40" w:firstLine="397"/>
        <w:spacing w:after="0" w:line="255" w:lineRule="auto"/>
        <w:tabs>
          <w:tab w:leader="none" w:pos="586"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upon the expiration of the Review Request Period, neither the Holder Representative nor the Majority Holders have requested a review of the applicable Covered Revenues Statement in accordance with this Section 6.5, the calculation of the Covered Revenues Payment payable with respect to all Covered Revenues Measuring Periods within the applicable Threshold Measuring Period shall be conclusive and binding on each Holder, and Parent shall be released from any liability or accountability with respect to payments in respect of such Covered Revenues Measuring Periods in excess of such Covered Revenues Payment.</w:t>
      </w:r>
    </w:p>
    <w:p>
      <w:pPr>
        <w:spacing w:after="0" w:line="69" w:lineRule="exact"/>
        <w:rPr>
          <w:rFonts w:ascii="Times New Roman" w:cs="Times New Roman" w:eastAsia="Times New Roman" w:hAnsi="Times New Roman"/>
          <w:sz w:val="16"/>
          <w:szCs w:val="16"/>
          <w:color w:val="auto"/>
        </w:rPr>
      </w:pPr>
    </w:p>
    <w:p>
      <w:pPr>
        <w:ind w:right="160" w:firstLine="397"/>
        <w:spacing w:after="0" w:line="258" w:lineRule="auto"/>
        <w:tabs>
          <w:tab w:leader="none" w:pos="613"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seeking to receive information from Parent in connection with a review pursuant to this Section 6.5 shall enter into, and shall cause its accounting firm to enter into, a reasonable and mutually satisfactory confidentiality agreement with Parent or any Subsidiary obligating such party to retain all such financial information disclosed to such party in confidence pursuant to such confidentiality agreement and not use such information for any purpose other than the completion of such review.</w:t>
      </w:r>
    </w:p>
    <w:p>
      <w:pPr>
        <w:spacing w:after="0" w:line="65" w:lineRule="exact"/>
        <w:rPr>
          <w:rFonts w:ascii="Times New Roman" w:cs="Times New Roman" w:eastAsia="Times New Roman" w:hAnsi="Times New Roman"/>
          <w:sz w:val="16"/>
          <w:szCs w:val="16"/>
          <w:color w:val="auto"/>
        </w:rPr>
      </w:pPr>
    </w:p>
    <w:p>
      <w:pPr>
        <w:ind w:right="120" w:firstLine="397"/>
        <w:spacing w:after="0" w:line="255" w:lineRule="auto"/>
        <w:tabs>
          <w:tab w:leader="none" w:pos="613"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use, and shall cause its Affiliates to use, its (and their) commercially reasonable efforts to include a provision in any license or distribution agreement with any third party with respect to any Covered Product or Service that would allow any Independent Accountant appointed pursuant to this Section 6.5 such access to the records of the other party to such license or distribution agreement as may be reasonably necessary to perform its duties pursuant to this Section 6.5 provided, that this provision shall not apply if the underlying license agreement with Parent or Affiliates would not customarily include audit</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680"/>
          </w:cols>
          <w:pgMar w:left="1080" w:top="254" w:right="1139" w:bottom="1440" w:gutter="0" w:footer="0" w:header="0"/>
        </w:sectPr>
      </w:pPr>
    </w:p>
    <w:bookmarkStart w:id="215" w:name="page216"/>
    <w:bookmarkEnd w:id="215"/>
    <w:p>
      <w:pPr>
        <w:ind w:right="6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rights. The parties hereto agree that, if Parent or its Affiliates have exercised audit rights under any collaboration, license, sublicense or distribution agreement, or any agreement referred to in the final proviso of the definition of “Covered Revenues Payment”, prior to the Requesting Party’s request for an audit under this Section 6.5 and under such collaboration, license, sublicense, distribution or other agreement Parent and its Affiliates cannot request another audit, the results of Parent’s prior audit of the counterparty shall be used for purposes of the audit requested by the Requesting Party under this Section 6.5 and that Parent shall not have any further obligation to provide access to the Independent Accountant or Subject Matter Expert with respect to such counterparty until such time as Parent may again exercise its rights of audit under the collaboration, license, sublicense, distribution or other agreement with such counterparty.</w:t>
      </w:r>
    </w:p>
    <w:p>
      <w:pPr>
        <w:spacing w:after="0" w:line="70" w:lineRule="exact"/>
        <w:rPr>
          <w:sz w:val="20"/>
          <w:szCs w:val="20"/>
          <w:color w:val="auto"/>
        </w:rPr>
      </w:pPr>
    </w:p>
    <w:p>
      <w:pPr>
        <w:ind w:right="240" w:firstLine="397"/>
        <w:spacing w:after="0" w:line="263" w:lineRule="auto"/>
        <w:tabs>
          <w:tab w:leader="none" w:pos="578"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Requesting Party and Parent shall bear its own costs and expenses in connection with the reviews and audits provided for in this Section 6.5, except that the fees and expenses of the Independent Accountant and/or the Subject Matter Expert will be borne as provided in Section 6.5(a) and Section 6.5(b), respectively.</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6.6. </w:t>
      </w:r>
      <w:r>
        <w:rPr>
          <w:rFonts w:ascii="Times New Roman" w:cs="Times New Roman" w:eastAsia="Times New Roman" w:hAnsi="Times New Roman"/>
          <w:sz w:val="16"/>
          <w:szCs w:val="16"/>
          <w:u w:val="single" w:color="auto"/>
          <w:color w:val="auto"/>
        </w:rPr>
        <w:t>Certain Covenants and Acknowledgements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420" w:firstLine="397"/>
        <w:spacing w:after="0" w:line="263" w:lineRule="auto"/>
        <w:tabs>
          <w:tab w:leader="none" w:pos="604"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Covered Revenues Term, Parent shall operate its business and its Subsidiaries’ businesses in good faith and shall not take any action, and shall cause its Subsidiaries not to take any action, for the primary purpose of avoiding or reducing the amount of Covered Revenues Payments payable to the Holders.</w:t>
      </w:r>
    </w:p>
    <w:p>
      <w:pPr>
        <w:spacing w:after="0" w:line="61" w:lineRule="exact"/>
        <w:rPr>
          <w:rFonts w:ascii="Times New Roman" w:cs="Times New Roman" w:eastAsia="Times New Roman" w:hAnsi="Times New Roman"/>
          <w:sz w:val="16"/>
          <w:szCs w:val="16"/>
          <w:color w:val="auto"/>
        </w:rPr>
      </w:pPr>
    </w:p>
    <w:p>
      <w:pPr>
        <w:ind w:right="260" w:firstLine="397"/>
        <w:spacing w:after="0" w:line="263" w:lineRule="auto"/>
        <w:tabs>
          <w:tab w:leader="none" w:pos="613"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of the CVRs remain Outstanding, Parent shall not enter into any binding agreement, arrangement or understanding, which would, or would reasonably be expected to, delay or prevent Parent’s ability to timely make any Covered Revenues Payment that becomes due under this CVR Agreement.</w:t>
      </w:r>
    </w:p>
    <w:p>
      <w:pPr>
        <w:spacing w:after="0" w:line="61" w:lineRule="exact"/>
        <w:rPr>
          <w:rFonts w:ascii="Times New Roman" w:cs="Times New Roman" w:eastAsia="Times New Roman" w:hAnsi="Times New Roman"/>
          <w:sz w:val="16"/>
          <w:szCs w:val="16"/>
          <w:color w:val="auto"/>
        </w:rPr>
      </w:pPr>
    </w:p>
    <w:p>
      <w:pPr>
        <w:ind w:right="120" w:firstLine="397"/>
        <w:spacing w:after="0" w:line="254" w:lineRule="auto"/>
        <w:tabs>
          <w:tab w:leader="none" w:pos="604"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shall use, and shall cause its Subsidiaries to use, Diligent Efforts to obtain regulatory approval and clearance for the Existing Products;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however, that such obligation to use Diligent Efforts shall terminate upon the earlier of (i) the End Date and (ii) such time as the data generated in an appropriate clinical trial does not support further development of such Product. Parent shall use, and shall cause its Subsidiaries to use, Diligent Efforts to Sell and commercialize Products of Parent and its Subsidiaries that are included in the definition of Covered Products and Services, in each case in the Field utilizing any Methylation-based Technology;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obligation to use Diligent Efforts shall terminate upon the End Date.</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Without limiting the provisions of this Section 6.6, each of the Trustee and Holder Representative (by execution of this CVR Agreement) and the Holders (by their acceptance of the CVRs hereby) shall be deemed to have acknowledged that (i) Parent may make decisions regarding the operation of the businesses of Parent and its Subsidiaries, including the investment and allocation of resources, on the basis of the strategic objectives of Parent and its Affiliates taking into account any relevant factors (including technical, commercial, legal, scientific and/or medical factors), and that such decisions may adversely affect the amount of Covered Revenues Payments payable to the Holders, and (ii) it is Parent’s present intention to operate the Company business as a stand-alone division within Parent and Parent may in its discretion develop, package, distribute and sell products and services separately, in each case of (i) and (ii), so long as such actions taken or not taken do not conflict with or breach the provisions of this CVR Agreement, including this Section 6.6.</w:t>
      </w:r>
    </w:p>
    <w:p>
      <w:pPr>
        <w:spacing w:after="0" w:line="168" w:lineRule="exact"/>
        <w:rPr>
          <w:sz w:val="20"/>
          <w:szCs w:val="20"/>
          <w:color w:val="auto"/>
        </w:rPr>
      </w:pPr>
    </w:p>
    <w:p>
      <w:pPr>
        <w:ind w:right="26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6.7. </w:t>
      </w:r>
      <w:r>
        <w:rPr>
          <w:rFonts w:ascii="Times New Roman" w:cs="Times New Roman" w:eastAsia="Times New Roman" w:hAnsi="Times New Roman"/>
          <w:sz w:val="16"/>
          <w:szCs w:val="16"/>
          <w:u w:val="single" w:color="auto"/>
          <w:color w:val="auto"/>
        </w:rPr>
        <w:t>Notice of Default</w:t>
      </w:r>
      <w:r>
        <w:rPr>
          <w:rFonts w:ascii="Times New Roman" w:cs="Times New Roman" w:eastAsia="Times New Roman" w:hAnsi="Times New Roman"/>
          <w:sz w:val="16"/>
          <w:szCs w:val="16"/>
          <w:color w:val="auto"/>
        </w:rPr>
        <w:t>. Parent shall file with the Trustee written notice of the occurrence of any Event of Default or other default under this CVR Agreement within five Business Days of its becoming aware of any such default or Event of Default.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720"/>
          </w:cols>
          <w:pgMar w:left="1080" w:top="254" w:right="1099" w:bottom="1440" w:gutter="0" w:footer="0" w:header="0"/>
        </w:sectPr>
      </w:pPr>
    </w:p>
    <w:bookmarkStart w:id="216" w:name="page217"/>
    <w:bookmarkEnd w:id="216"/>
    <w:p>
      <w:pPr>
        <w:ind w:firstLine="388"/>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6.8. </w:t>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The Trustee, the Holder Representative and the Holders hereby agree that any confidential or non-public information (including Covered Revenues Statements) they receive from or on behalf of Parent or any Affiliate of Parent, which receipt arises out of the transactions contemplated by this CVR Agreement (the “</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shall: (a) not be used for any purpose other than for purposes permitted under this CVR Agreement; (b) not be used directly or indirectly in any way that is for competitive purposes; and (c) not be disclosed by, and be kept confidential by, the Trustee, the Holder Representative and the Holders and its directors, officers, members, managers, employees, affiliates, and agents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Confidential Information may be disclosed only to their Representatives (including the Independent Accountant) who (i) need to know such Confidential Information and (ii) are bound in writing to a non-disclosure agreement no less restrictive than this Section 6.8. It is understood that such Representatives shall be informed by the Trustee, the Holder Representative or the applicable Holder of the confidential nature of such Confidential Information, and that the Trustee, the Holder Representative or such Holder, as applicable, shall be responsible for any disclosure or use made by its Representatives in breach of obligations under this CVR Agreement to the same extent as if such disclosure or use had been made directly by the Trustee or such Holder, as applicable. Each of the Trustee, the Holder Representative and the Holders will promptly notify Parent of any breach of this CVR Agreement of which they become aware, and will use reasonable efforts to assist and cooperate with Parent in minimizing the consequences of such breach. “Confidential Information” shall not include any information that is (A) publicly available other than because of disclosure by the Trustee, the Holder Representative or the Holders or any of their respective Representatives or (B) is lawfully disclosed to the Trustee, the Holder Representative or Holders by sources (other than Parent or its Affiliates) rightfully in possession of the Confidential Information. If the Trustee, the Holder Representative, the Holders or their respective Representatives are legally required or requested to disclose any Confidential Information, they will in advance of such disclosure, unless otherwise prohibited by Law, promptly notify Parent of such request or requirement so that Parent may seek to avoid or minimize the required disclosure and/or obtain an appropriate protective order or other appropriate relief to ensure that any Confidential Information so disclosed is maintained in confidence to the maximum extent possible by the Person receiving the disclosure, or, in Parent’s discretion, to waive compliance with the provisions of this CVR Agreement. In any such case, the Trustee, the Holder Representative and the Holders agree to cooperate and use reasonable efforts to avoid or minimize the required disclosure and/or obtain such protective order or other relief. If, in the absence of a protective order or the receipt of a waiver hereunder, the Trustee, the Holder Representative, Holders or their respective Representatives are legally obligated to disclose any Confidential Information, they will disclose only so much thereof to the party compelling disclosure as they reasonably believe in good faith, on the basis of advice of counsel, is required by Law. The Trustee, the Holder Representative and Holders shall give Parent prior written notice of the specific Confidential Information that they believe they are required to disclose under such circumstances. All Confidential Information disclosed by or on behalf of Parent or any of its Affiliates shall be, and shall remain, the property of Parent or such Affiliate.</w:t>
      </w:r>
    </w:p>
    <w:p>
      <w:pPr>
        <w:spacing w:after="0" w:line="177" w:lineRule="exact"/>
        <w:rPr>
          <w:sz w:val="20"/>
          <w:szCs w:val="20"/>
          <w:color w:val="auto"/>
        </w:rPr>
      </w:pPr>
    </w:p>
    <w:p>
      <w:pPr>
        <w:jc w:val="both"/>
        <w:ind w:right="100" w:firstLine="388"/>
        <w:spacing w:after="0" w:line="263" w:lineRule="auto"/>
        <w:rPr>
          <w:sz w:val="20"/>
          <w:szCs w:val="20"/>
          <w:color w:val="auto"/>
        </w:rPr>
      </w:pPr>
      <w:r>
        <w:rPr>
          <w:rFonts w:ascii="Times New Roman" w:cs="Times New Roman" w:eastAsia="Times New Roman" w:hAnsi="Times New Roman"/>
          <w:sz w:val="16"/>
          <w:szCs w:val="16"/>
          <w:color w:val="auto"/>
        </w:rPr>
        <w:t xml:space="preserve">Section 6.9. </w:t>
      </w:r>
      <w:r>
        <w:rPr>
          <w:rFonts w:ascii="Times New Roman" w:cs="Times New Roman" w:eastAsia="Times New Roman" w:hAnsi="Times New Roman"/>
          <w:sz w:val="16"/>
          <w:szCs w:val="16"/>
          <w:u w:val="single" w:color="auto"/>
          <w:color w:val="auto"/>
        </w:rPr>
        <w:t>Non-Use of Name</w:t>
      </w:r>
      <w:r>
        <w:rPr>
          <w:rFonts w:ascii="Times New Roman" w:cs="Times New Roman" w:eastAsia="Times New Roman" w:hAnsi="Times New Roman"/>
          <w:sz w:val="16"/>
          <w:szCs w:val="16"/>
          <w:color w:val="auto"/>
        </w:rPr>
        <w:t>. None of the Trustee, the Holder Representative or the Holders shall use the name, trademark, trade name, or logo of Parent, its Affiliates, or their respective employees in any publicity or news release relating to this CVR Agreement or its subject matter, without the prior express written permission of Parent.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720"/>
          </w:cols>
          <w:pgMar w:left="1080" w:top="254" w:right="109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7</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REMEDIES OF THE TRUSTEE AND HOLDER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ON EVENT OF DEFAULT</w:t>
      </w:r>
    </w:p>
    <w:p>
      <w:pPr>
        <w:spacing w:after="0" w:line="199" w:lineRule="exact"/>
        <w:rPr>
          <w:sz w:val="20"/>
          <w:szCs w:val="20"/>
          <w:color w:val="auto"/>
        </w:rPr>
      </w:pPr>
    </w:p>
    <w:p>
      <w:pPr>
        <w:ind w:right="20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u w:val="single" w:color="auto"/>
          <w:color w:val="auto"/>
        </w:rPr>
        <w:t>Event of Default Defined; Waiver of Default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 with respect to the CVRs,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6" w:lineRule="exact"/>
        <w:rPr>
          <w:sz w:val="20"/>
          <w:szCs w:val="20"/>
          <w:color w:val="auto"/>
        </w:rPr>
      </w:pPr>
    </w:p>
    <w:p>
      <w:pPr>
        <w:ind w:right="200" w:firstLine="397"/>
        <w:spacing w:after="0" w:line="278" w:lineRule="auto"/>
        <w:tabs>
          <w:tab w:leader="none" w:pos="604"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all or any part of any Covered Revenues Payment after a period of 10 Business Days after such Covered Revenues Payment shall become due and payable on a Payment Date or otherwise; or</w:t>
      </w:r>
    </w:p>
    <w:p>
      <w:pPr>
        <w:spacing w:after="0" w:line="49" w:lineRule="exact"/>
        <w:rPr>
          <w:rFonts w:ascii="Times New Roman" w:cs="Times New Roman" w:eastAsia="Times New Roman" w:hAnsi="Times New Roman"/>
          <w:sz w:val="16"/>
          <w:szCs w:val="16"/>
          <w:color w:val="auto"/>
        </w:rPr>
      </w:pPr>
    </w:p>
    <w:p>
      <w:pPr>
        <w:ind w:firstLine="397"/>
        <w:spacing w:after="0" w:line="255" w:lineRule="auto"/>
        <w:tabs>
          <w:tab w:leader="none" w:pos="61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default in the performance, or breach in any material respect, of any covenant or warranty of Parent in respect of the CVRs (other than a covenant or warranty in respect of the CVRs, a default in whose performance or whose breach is elsewhere in this Section 7.1 specifically dealt with), and continuance of such default or breach for a period of 90 days after there has been given, by registered or certified mail, to Parent by the Trustee or to Parent and the Trustee by the Majority Holders, a written notice specifying such default or breach and requiring it to be remedied and stating that such notice is a “Notice of Default” hereunder; or</w:t>
      </w:r>
    </w:p>
    <w:p>
      <w:pPr>
        <w:spacing w:after="0" w:line="69" w:lineRule="exact"/>
        <w:rPr>
          <w:rFonts w:ascii="Times New Roman" w:cs="Times New Roman" w:eastAsia="Times New Roman" w:hAnsi="Times New Roman"/>
          <w:sz w:val="16"/>
          <w:szCs w:val="16"/>
          <w:color w:val="auto"/>
        </w:rPr>
      </w:pPr>
    </w:p>
    <w:p>
      <w:pPr>
        <w:ind w:right="260" w:firstLine="397"/>
        <w:spacing w:after="0" w:line="258" w:lineRule="auto"/>
        <w:tabs>
          <w:tab w:leader="none" w:pos="604"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having jurisdiction in the premises shall enter a decree or order for relief in respect of Parent in an involuntary case under any applicable bankruptcy, insolvency or other similar Law now or hereafter in effect, or appointing a receiver, liquidator, assignee, custodian, Trustee or sequestrator (or similar official) of Parent or for any substantial part of its property or ordering the winding up or liquidation of its affairs, and such decree or order shall remain unstayed and in effect for a period of 90 consecutive days; or</w:t>
      </w:r>
    </w:p>
    <w:p>
      <w:pPr>
        <w:spacing w:after="0" w:line="65" w:lineRule="exact"/>
        <w:rPr>
          <w:rFonts w:ascii="Times New Roman" w:cs="Times New Roman" w:eastAsia="Times New Roman" w:hAnsi="Times New Roman"/>
          <w:sz w:val="16"/>
          <w:szCs w:val="16"/>
          <w:color w:val="auto"/>
        </w:rPr>
      </w:pPr>
    </w:p>
    <w:p>
      <w:pPr>
        <w:ind w:right="20" w:firstLine="397"/>
        <w:spacing w:after="0" w:line="258" w:lineRule="auto"/>
        <w:tabs>
          <w:tab w:leader="none" w:pos="61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Parent or for any substantial part of its property, or make any general assignment for the benefit of creditors.</w:t>
      </w:r>
    </w:p>
    <w:p>
      <w:pPr>
        <w:spacing w:after="0" w:line="161" w:lineRule="exact"/>
        <w:rPr>
          <w:sz w:val="20"/>
          <w:szCs w:val="20"/>
          <w:color w:val="auto"/>
        </w:rPr>
      </w:pPr>
    </w:p>
    <w:p>
      <w:pPr>
        <w:ind w:right="40" w:firstLine="388"/>
        <w:spacing w:after="0" w:line="258" w:lineRule="auto"/>
        <w:rPr>
          <w:sz w:val="20"/>
          <w:szCs w:val="20"/>
          <w:color w:val="auto"/>
        </w:rPr>
      </w:pPr>
      <w:r>
        <w:rPr>
          <w:rFonts w:ascii="Times New Roman" w:cs="Times New Roman" w:eastAsia="Times New Roman" w:hAnsi="Times New Roman"/>
          <w:sz w:val="16"/>
          <w:szCs w:val="16"/>
          <w:color w:val="auto"/>
        </w:rPr>
        <w:t>Except where authorization and/or appearance of each of the Holders is required by applicable Law, if an Event of Default described above occurs and is continuing, then, and in each and every such case, either the Trustee or the Trustee upon the written request of the Majority Holders by notice in writing to Parent (and to the Trustee if given by the Majority Holders), shall bring suit to protect the rights of the Holders, including to obtain payment for any amounts then due and payable, which amounts shall bear interest at the Default Interest Rate until payment is made to the Trustee.</w:t>
      </w:r>
    </w:p>
    <w:p>
      <w:pPr>
        <w:spacing w:after="0" w:line="161" w:lineRule="exact"/>
        <w:rPr>
          <w:sz w:val="20"/>
          <w:szCs w:val="20"/>
          <w:color w:val="auto"/>
        </w:rPr>
      </w:pPr>
    </w:p>
    <w:p>
      <w:pPr>
        <w:ind w:right="40" w:firstLine="388"/>
        <w:spacing w:after="0" w:line="252" w:lineRule="auto"/>
        <w:rPr>
          <w:sz w:val="20"/>
          <w:szCs w:val="20"/>
          <w:color w:val="auto"/>
        </w:rPr>
      </w:pPr>
      <w:r>
        <w:rPr>
          <w:rFonts w:ascii="Times New Roman" w:cs="Times New Roman" w:eastAsia="Times New Roman" w:hAnsi="Times New Roman"/>
          <w:sz w:val="16"/>
          <w:szCs w:val="16"/>
          <w:color w:val="auto"/>
        </w:rPr>
        <w:t>The foregoing provisions, however, are subject to the condition that if, at any time after the Trustee shall have begun such suit, and before any judgment or decree for the payment of the moneys due shall have been obtained or entered as hereinafter provided, Parent shall pay or shall deposit with the Trustee a sum sufficient to pay all amounts which shall have become due (with interest upon such overdue amount at the Default Interest Rate to the date of such payment or deposit) and such amount as shall be sufficient to cover reasonable compensation to the Trustee, its agents, attorneys and counsel, and all other expenses and liabilities incurred and all advances made, by the Trustee, and if any and all Events of Default under this CVR Agreement shall have been cured, waived or otherwise remedied as provided herein, then and in every such case the Majority Holders, by written notice to Parent and to the Trustee, may waive all defaults with respect to the CVRs, but no such waiver or rescission and annulment shall extend to or shall affect any subsequent default or shall impair any right consequent thereof.</w:t>
      </w:r>
    </w:p>
    <w:p>
      <w:pPr>
        <w:spacing w:after="0" w:line="168" w:lineRule="exact"/>
        <w:rPr>
          <w:sz w:val="20"/>
          <w:szCs w:val="20"/>
          <w:color w:val="auto"/>
        </w:rPr>
      </w:pPr>
    </w:p>
    <w:p>
      <w:pPr>
        <w:jc w:val="both"/>
        <w:ind w:right="100" w:firstLine="388"/>
        <w:spacing w:after="0" w:line="263" w:lineRule="auto"/>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u w:val="single" w:color="auto"/>
          <w:color w:val="auto"/>
        </w:rPr>
        <w:t>Collection by the Trustee; the Trustee May Prove Payment Obligations</w:t>
      </w:r>
      <w:r>
        <w:rPr>
          <w:rFonts w:ascii="Times New Roman" w:cs="Times New Roman" w:eastAsia="Times New Roman" w:hAnsi="Times New Roman"/>
          <w:sz w:val="16"/>
          <w:szCs w:val="16"/>
          <w:color w:val="auto"/>
        </w:rPr>
        <w:t>. Parent covenants that in the case default shall be made in the payment of all or any part of the CVRs when the same shall have become due and payable, whether at a Payment Date or otherwise, then upon demand of the Trustee, Parent will pay to the Trustee for the benefit of the Holders the whole amount that then shall</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720"/>
          </w:cols>
          <w:pgMar w:left="1080" w:top="252" w:right="1099" w:bottom="1440" w:gutter="0" w:footer="0" w:header="0"/>
        </w:sectPr>
      </w:pPr>
    </w:p>
    <w:bookmarkStart w:id="218" w:name="page219"/>
    <w:bookmarkEnd w:id="218"/>
    <w:p>
      <w:pPr>
        <w:ind w:right="280"/>
        <w:spacing w:after="0" w:line="28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have become due and payable on all CVRs (with interest from the date due and payable to the date of such payment upon the overdue amount at the Default Interest Rate);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bad faith or willful misconduct.</w:t>
      </w:r>
    </w:p>
    <w:p>
      <w:pPr>
        <w:spacing w:after="0" w:line="144" w:lineRule="exact"/>
        <w:rPr>
          <w:sz w:val="20"/>
          <w:szCs w:val="20"/>
          <w:color w:val="auto"/>
        </w:rPr>
      </w:pPr>
    </w:p>
    <w:p>
      <w:pPr>
        <w:ind w:right="40" w:firstLine="388"/>
        <w:spacing w:after="0" w:line="263" w:lineRule="auto"/>
        <w:rPr>
          <w:sz w:val="20"/>
          <w:szCs w:val="20"/>
          <w:color w:val="auto"/>
        </w:rPr>
      </w:pPr>
      <w:r>
        <w:rPr>
          <w:rFonts w:ascii="Times New Roman" w:cs="Times New Roman" w:eastAsia="Times New Roman" w:hAnsi="Times New Roman"/>
          <w:sz w:val="16"/>
          <w:szCs w:val="16"/>
          <w:color w:val="auto"/>
        </w:rPr>
        <w:t>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CVR Agreement or in aid of the exercise of any power granted herein, or to enforce any other remedy.</w:t>
      </w:r>
    </w:p>
    <w:p>
      <w:pPr>
        <w:spacing w:after="0" w:line="157"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In case Parent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Parent or other obligor upon such CVRs and collect in the manner provided by Law out of the property of Parent or other obligor upon such CVRs, wherever situated, the moneys adjudged or decreed to be payable.</w:t>
      </w:r>
    </w:p>
    <w:p>
      <w:pPr>
        <w:spacing w:after="0" w:line="165" w:lineRule="exact"/>
        <w:rPr>
          <w:sz w:val="20"/>
          <w:szCs w:val="20"/>
          <w:color w:val="auto"/>
        </w:rPr>
      </w:pPr>
    </w:p>
    <w:p>
      <w:pPr>
        <w:ind w:right="240" w:firstLine="388"/>
        <w:spacing w:after="0" w:line="278" w:lineRule="auto"/>
        <w:rPr>
          <w:sz w:val="20"/>
          <w:szCs w:val="20"/>
          <w:color w:val="auto"/>
        </w:rPr>
      </w:pPr>
      <w:r>
        <w:rPr>
          <w:rFonts w:ascii="Times New Roman" w:cs="Times New Roman" w:eastAsia="Times New Roman" w:hAnsi="Times New Roman"/>
          <w:sz w:val="16"/>
          <w:szCs w:val="16"/>
          <w:color w:val="auto"/>
        </w:rPr>
        <w:t>In any judicial proceedings relative to Parent or other obligor upon the CVRs, irrespective of whether any amount is then due and payable with respect to the CVRs, the Trustee is authorized:</w:t>
      </w:r>
    </w:p>
    <w:p>
      <w:pPr>
        <w:spacing w:after="0" w:line="50" w:lineRule="exact"/>
        <w:rPr>
          <w:sz w:val="20"/>
          <w:szCs w:val="20"/>
          <w:color w:val="auto"/>
        </w:rPr>
      </w:pPr>
    </w:p>
    <w:p>
      <w:pPr>
        <w:ind w:right="100" w:firstLine="397"/>
        <w:spacing w:after="0" w:line="255" w:lineRule="auto"/>
        <w:tabs>
          <w:tab w:leader="none" w:pos="604"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and prove a claim or claims for the whole amount owing and unpaid in respect of the CVRs,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bad faith or willful misconduct) and of the Holders allowed in any judicial proceedings relative to Parent or other obligor upon the CVRs, or to their respective property;</w:t>
      </w:r>
    </w:p>
    <w:p>
      <w:pPr>
        <w:spacing w:after="0" w:line="69" w:lineRule="exact"/>
        <w:rPr>
          <w:rFonts w:ascii="Times New Roman" w:cs="Times New Roman" w:eastAsia="Times New Roman" w:hAnsi="Times New Roman"/>
          <w:sz w:val="16"/>
          <w:szCs w:val="16"/>
          <w:color w:val="auto"/>
        </w:rPr>
      </w:pPr>
    </w:p>
    <w:p>
      <w:pPr>
        <w:ind w:right="180" w:firstLine="397"/>
        <w:spacing w:after="0" w:line="263" w:lineRule="auto"/>
        <w:tabs>
          <w:tab w:leader="none" w:pos="61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prohibited by, and only to the extent required by, applicable Law, to vote on behalf of the Holders in any election of a Trustee or a standby Trustee in arrangement, reorganization, liquidation or other bankruptcy or insolvency proceedings or a Person performing similar functions in comparable proceedings; and</w:t>
      </w:r>
    </w:p>
    <w:p>
      <w:pPr>
        <w:spacing w:after="0" w:line="61" w:lineRule="exact"/>
        <w:rPr>
          <w:rFonts w:ascii="Times New Roman" w:cs="Times New Roman" w:eastAsia="Times New Roman" w:hAnsi="Times New Roman"/>
          <w:sz w:val="16"/>
          <w:szCs w:val="16"/>
          <w:color w:val="auto"/>
        </w:rPr>
      </w:pPr>
    </w:p>
    <w:p>
      <w:pPr>
        <w:ind w:right="20" w:firstLine="397"/>
        <w:spacing w:after="0" w:line="251" w:lineRule="auto"/>
        <w:tabs>
          <w:tab w:leader="none" w:pos="604"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collect and receive any moneys or other property payable or deliverable on any such claims, and to distribute all amounts received with respect to the claims of the Holders and of the Trustee on their behalf; and any Trustee, receiver, or liquidator, custodian or other similar official is hereby authorized by each of the Holders to make payments to the Trustee, and, in the event that the Trustee shall consent to the making of payments directly to the 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its negligence, bad faith or willful misconduct, and all other amounts due to the Trustee or any predecessor Trustee pursuant to Section 3.6. To the extent that such payment of reasonable compensation, expenses, disbursements, advances and other amounts out of the estate in any such proceedings shall be denied for any reason, payment of the same shall be secured by a lien on, and shall be paid out of, any and all distributions, dividends, moneys, securities and other property which the Holders may be entitled to receive in such proceedings, whether in liquidation or under any plan of reorganization or arrangement or otherwise.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720"/>
          </w:cols>
          <w:pgMar w:left="1080" w:top="254" w:right="1099" w:bottom="1440" w:gutter="0" w:footer="0" w:header="0"/>
        </w:sectPr>
      </w:pPr>
    </w:p>
    <w:bookmarkStart w:id="219" w:name="page220"/>
    <w:bookmarkEnd w:id="219"/>
    <w:p>
      <w:pPr>
        <w:ind w:right="20" w:firstLine="388"/>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Nothing herein contained shall be deemed to authorize the Trustee to authorize or consent to or vote for or accept or adopt on behalf of any Holder any plan of reorganization, arrangement, adjustment or composition affecting the CVRs, or the rights of any Holder thereof, or to authorize the Trustee to vote in respect of the claim of any Holder in any such proceeding except, as aforesaid, to vote for the election of a Trustee in bankruptcy or similar person.</w:t>
      </w:r>
    </w:p>
    <w:p>
      <w:pPr>
        <w:spacing w:after="0" w:line="161" w:lineRule="exact"/>
        <w:rPr>
          <w:sz w:val="20"/>
          <w:szCs w:val="20"/>
          <w:color w:val="auto"/>
        </w:rPr>
      </w:pPr>
    </w:p>
    <w:p>
      <w:pPr>
        <w:ind w:right="80" w:firstLine="388"/>
        <w:spacing w:after="0" w:line="258" w:lineRule="auto"/>
        <w:rPr>
          <w:sz w:val="20"/>
          <w:szCs w:val="20"/>
          <w:color w:val="auto"/>
        </w:rPr>
      </w:pPr>
      <w:r>
        <w:rPr>
          <w:rFonts w:ascii="Times New Roman" w:cs="Times New Roman" w:eastAsia="Times New Roman" w:hAnsi="Times New Roman"/>
          <w:sz w:val="16"/>
          <w:szCs w:val="16"/>
          <w:color w:val="auto"/>
        </w:rPr>
        <w:t>All rights of action and of asserting claims under this CVR Agreement, or under any of the CVRs, may be enforced by the Trustee without the possession of any of the CVRs or the production thereof and any trial or other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w:t>
      </w:r>
    </w:p>
    <w:p>
      <w:pPr>
        <w:spacing w:after="0" w:line="161" w:lineRule="exact"/>
        <w:rPr>
          <w:sz w:val="20"/>
          <w:szCs w:val="20"/>
          <w:color w:val="auto"/>
        </w:rPr>
      </w:pPr>
    </w:p>
    <w:p>
      <w:pPr>
        <w:ind w:right="40" w:firstLine="388"/>
        <w:spacing w:after="0" w:line="263" w:lineRule="auto"/>
        <w:rPr>
          <w:sz w:val="20"/>
          <w:szCs w:val="20"/>
          <w:color w:val="auto"/>
        </w:rPr>
      </w:pPr>
      <w:r>
        <w:rPr>
          <w:rFonts w:ascii="Times New Roman" w:cs="Times New Roman" w:eastAsia="Times New Roman" w:hAnsi="Times New Roman"/>
          <w:sz w:val="16"/>
          <w:szCs w:val="16"/>
          <w:color w:val="auto"/>
        </w:rPr>
        <w:t>In any proceedings brought by the Trustee (and also any proceedings involving the interpretation of any provision of this CVR Agreement to which the Trustee shall be a party) the Trustee shall be held to represent all the Holders, and it shall not be necessary to make any Holders of such CVRs parties to any such proceedings (unless required by applicable Law).</w:t>
      </w:r>
    </w:p>
    <w:p>
      <w:pPr>
        <w:spacing w:after="0" w:line="157"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u w:val="single" w:color="auto"/>
          <w:color w:val="auto"/>
        </w:rPr>
        <w:t>Application of Proceeds</w:t>
      </w:r>
      <w:r>
        <w:rPr>
          <w:rFonts w:ascii="Times New Roman" w:cs="Times New Roman" w:eastAsia="Times New Roman" w:hAnsi="Times New Roman"/>
          <w:sz w:val="16"/>
          <w:szCs w:val="16"/>
          <w:color w:val="auto"/>
        </w:rPr>
        <w:t>. Any monies collected by the Trustee pursuant to this Article 7 in respect of any CVRs shall be applied in the following order at the date or dates fixed by the Trustee upon presentation of the several CVRs in respect of which monies have been collected and stamping (or otherwise noting) thereon the payment in exchange for the presented CVRs if only partially paid or upon surrender thereof if fully paid:</w:t>
      </w:r>
    </w:p>
    <w:p>
      <w:pPr>
        <w:spacing w:after="0" w:line="157" w:lineRule="exact"/>
        <w:rPr>
          <w:sz w:val="20"/>
          <w:szCs w:val="20"/>
          <w:color w:val="auto"/>
        </w:rPr>
      </w:pPr>
    </w:p>
    <w:p>
      <w:pPr>
        <w:ind w:left="400" w:firstLine="373"/>
        <w:spacing w:after="0" w:line="254" w:lineRule="auto"/>
        <w:rPr>
          <w:sz w:val="20"/>
          <w:szCs w:val="20"/>
          <w:color w:val="auto"/>
        </w:rPr>
      </w:pPr>
      <w:r>
        <w:rPr>
          <w:rFonts w:ascii="Times New Roman" w:cs="Times New Roman" w:eastAsia="Times New Roman" w:hAnsi="Times New Roman"/>
          <w:sz w:val="16"/>
          <w:szCs w:val="16"/>
          <w:color w:val="auto"/>
        </w:rPr>
        <w:t>FIRST: To the payment of costs and expenses in respect of which monies have been collected, including reasonable compensation to the Trustee and Holder Representative and each predecessor Trustee and predecessor Holder Representative, as applicable, and their respective agents and attorneys and of all expenses and liabilities incurred, and all advances made, by the Trustee and Holder Representative and each predecessor Trustee and predecessor Holder Representative, as applicable, except as a result of their respective negligence, bad faith or willful misconduct, and all other amounts due to the Trustee and Holder Representative or any predecessor Trustee or predecessor Holder Representative pursuant to Section 3.5;</w:t>
      </w:r>
    </w:p>
    <w:p>
      <w:pPr>
        <w:spacing w:after="0" w:line="165" w:lineRule="exact"/>
        <w:rPr>
          <w:sz w:val="20"/>
          <w:szCs w:val="20"/>
          <w:color w:val="auto"/>
        </w:rPr>
      </w:pPr>
    </w:p>
    <w:p>
      <w:pPr>
        <w:ind w:left="400" w:right="180" w:firstLine="373"/>
        <w:spacing w:after="0" w:line="258" w:lineRule="auto"/>
        <w:rPr>
          <w:sz w:val="20"/>
          <w:szCs w:val="20"/>
          <w:color w:val="auto"/>
        </w:rPr>
      </w:pPr>
      <w:r>
        <w:rPr>
          <w:rFonts w:ascii="Times New Roman" w:cs="Times New Roman" w:eastAsia="Times New Roman" w:hAnsi="Times New Roman"/>
          <w:sz w:val="16"/>
          <w:szCs w:val="16"/>
          <w:color w:val="auto"/>
        </w:rPr>
        <w:t>SECOND: To the payment of the whole amount then owing and unpaid upon all the CVRs, with interest at the Default Interest Rate on all such amounts, and in case such monies shall be insufficient to pay in full the whole amount so due and unpaid upon the CVRs, then to the payment of such amounts without preference or priority of any security over any other CVR, ratably to the aggregate of such amounts due and payable; and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THIRD: To the payment of the remainder, if any, to Parent or any other Person lawfully entitled thereto.</w:t>
      </w:r>
    </w:p>
    <w:p>
      <w:pPr>
        <w:spacing w:after="0" w:line="197" w:lineRule="exact"/>
        <w:rPr>
          <w:sz w:val="20"/>
          <w:szCs w:val="20"/>
          <w:color w:val="auto"/>
        </w:rPr>
      </w:pPr>
    </w:p>
    <w:p>
      <w:pPr>
        <w:ind w:right="22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u w:val="single" w:color="auto"/>
          <w:color w:val="auto"/>
        </w:rPr>
        <w:t>Suits for Enforcement</w:t>
      </w:r>
      <w:r>
        <w:rPr>
          <w:rFonts w:ascii="Times New Roman" w:cs="Times New Roman" w:eastAsia="Times New Roman" w:hAnsi="Times New Roman"/>
          <w:sz w:val="16"/>
          <w:szCs w:val="16"/>
          <w:color w:val="auto"/>
        </w:rPr>
        <w:t>. In case an Event of Default has occurred, has not been waived and is continuing, the Trustee may in its discretion proceed to protect and enforce the rights vested in it by this CVR Agreement by such appropriate judicial proceedings as the Trustee shall deem most effectual to protect and enforce any of such rights (unless authorization and/or appearance of each of the Holders is required by applicable Law), either at Law or in equity or in bankruptcy or otherwise, whether for the specific enforcement of any covenant or agreement contained in this CVR Agreement or in aid of the exercise of any power granted in this CVR Agreement or to enforce any other legal or equitable right vested in the Trustee by this CVR Agreement or by Law.</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720"/>
          </w:cols>
          <w:pgMar w:left="1080" w:top="254" w:right="1099" w:bottom="1440" w:gutter="0" w:footer="0" w:header="0"/>
        </w:sectPr>
      </w:pPr>
    </w:p>
    <w:bookmarkStart w:id="220" w:name="page221"/>
    <w:bookmarkEnd w:id="220"/>
    <w:p>
      <w:pPr>
        <w:ind w:right="60" w:firstLine="388"/>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7.5. </w:t>
      </w:r>
      <w:r>
        <w:rPr>
          <w:rFonts w:ascii="Times New Roman" w:cs="Times New Roman" w:eastAsia="Times New Roman" w:hAnsi="Times New Roman"/>
          <w:sz w:val="16"/>
          <w:szCs w:val="16"/>
          <w:u w:val="single" w:color="auto"/>
          <w:color w:val="auto"/>
        </w:rPr>
        <w:t>Restoration of Rights on Abandonment of Proceedings</w:t>
      </w:r>
      <w:r>
        <w:rPr>
          <w:rFonts w:ascii="Times New Roman" w:cs="Times New Roman" w:eastAsia="Times New Roman" w:hAnsi="Times New Roman"/>
          <w:sz w:val="16"/>
          <w:szCs w:val="16"/>
          <w:color w:val="auto"/>
        </w:rPr>
        <w:t>. In case the Trustee or any Holder shall have proceeded to enforce any right under this CVR Agreement and such proceedings shall have been discontinued or abandoned for any reason, or shall have been determined adversely to the Trustee or to such Holder, then and in every such case Parent and the Trustee and the Holders shall be restored respectively to their former positions and rights hereunder, and all rights, remedies and powers of Parent, the Trustee and the Holders shall continue as though no such proceedings had been taken.</w:t>
      </w:r>
    </w:p>
    <w:p>
      <w:pPr>
        <w:spacing w:after="0" w:line="165" w:lineRule="exact"/>
        <w:rPr>
          <w:sz w:val="20"/>
          <w:szCs w:val="20"/>
          <w:color w:val="auto"/>
        </w:rPr>
      </w:pPr>
    </w:p>
    <w:p>
      <w:pPr>
        <w:ind w:firstLine="388"/>
        <w:spacing w:after="0" w:line="251" w:lineRule="auto"/>
        <w:rPr>
          <w:sz w:val="20"/>
          <w:szCs w:val="20"/>
          <w:color w:val="auto"/>
        </w:rPr>
      </w:pPr>
      <w:r>
        <w:rPr>
          <w:rFonts w:ascii="Times New Roman" w:cs="Times New Roman" w:eastAsia="Times New Roman" w:hAnsi="Times New Roman"/>
          <w:sz w:val="16"/>
          <w:szCs w:val="16"/>
          <w:color w:val="auto"/>
        </w:rPr>
        <w:t xml:space="preserve">Section 7.6. </w:t>
      </w:r>
      <w:r>
        <w:rPr>
          <w:rFonts w:ascii="Times New Roman" w:cs="Times New Roman" w:eastAsia="Times New Roman" w:hAnsi="Times New Roman"/>
          <w:sz w:val="16"/>
          <w:szCs w:val="16"/>
          <w:u w:val="single" w:color="auto"/>
          <w:color w:val="auto"/>
        </w:rPr>
        <w:t>Limitations on Suits by Holders</w:t>
      </w:r>
      <w:r>
        <w:rPr>
          <w:rFonts w:ascii="Times New Roman" w:cs="Times New Roman" w:eastAsia="Times New Roman" w:hAnsi="Times New Roman"/>
          <w:sz w:val="16"/>
          <w:szCs w:val="16"/>
          <w:color w:val="auto"/>
        </w:rPr>
        <w:t>. Subject to the right of the Holder Representative and the Majority Holders under Section 6.5, no Holder of any CVR shall have any right by virtue or by availing itself of any provision of this CVR Agreement to institute any Action at law or in equity or in bankruptcy or otherwise upon or under or with respect to this CVR Agreement, or for the appointment of a trustee, receiver, liquidator, custodian or other similar official or for any other remedy hereunder, unless (a) such Holder previously shall have given to the Trustee written notice of default and of the continuance thereof, as hereinbefore provided; (b) the Majority Holders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(c) the Trustee for 15 days after its receipt of the latter of such notice, request and offer of indemnity shall have failed to institute any such action or proceeding and no direction inconsistent with such written request shall have been given to the Trustee pursuant to Section 7.9. For the protection and enforcement of the provisions of this Section 7.6, each and every Holder and the Trustee shall be entitled to such relief as can be given either at Law or in equity.</w:t>
      </w:r>
    </w:p>
    <w:p>
      <w:pPr>
        <w:spacing w:after="0" w:line="170" w:lineRule="exact"/>
        <w:rPr>
          <w:sz w:val="20"/>
          <w:szCs w:val="20"/>
          <w:color w:val="auto"/>
        </w:rPr>
      </w:pPr>
    </w:p>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u w:val="single" w:color="auto"/>
          <w:color w:val="auto"/>
        </w:rPr>
        <w:t>Unconditional Right of Holders to Institute Certain Suits</w:t>
      </w:r>
      <w:r>
        <w:rPr>
          <w:rFonts w:ascii="Times New Roman" w:cs="Times New Roman" w:eastAsia="Times New Roman" w:hAnsi="Times New Roman"/>
          <w:sz w:val="16"/>
          <w:szCs w:val="16"/>
          <w:color w:val="auto"/>
        </w:rPr>
        <w:t>. Notwithstanding any other provision in this CVR Agreement and any provision of any CVR, the right of any Holder of any CVR to receive payment of the amounts payable in respect of such CVR on or after the respective due dates expressed in such CVR, or to institute suit for the enforcement of any such payment on or after such respective dates, shall not be impaired or affected without the consent of such Holder.</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u w:val="single" w:color="auto"/>
          <w:color w:val="auto"/>
        </w:rPr>
        <w:t>Powers and Remedies Cumulative; Delay or Omission Not Waiver of Default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220" w:firstLine="397"/>
        <w:spacing w:after="0" w:line="258" w:lineRule="auto"/>
        <w:tabs>
          <w:tab w:leader="none" w:pos="604"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Section 7.6,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65" w:lineRule="exact"/>
        <w:rPr>
          <w:rFonts w:ascii="Times New Roman" w:cs="Times New Roman" w:eastAsia="Times New Roman" w:hAnsi="Times New Roman"/>
          <w:sz w:val="16"/>
          <w:szCs w:val="16"/>
          <w:color w:val="auto"/>
        </w:rPr>
      </w:pPr>
    </w:p>
    <w:p>
      <w:pPr>
        <w:ind w:right="40" w:firstLine="397"/>
        <w:spacing w:after="0" w:line="258" w:lineRule="auto"/>
        <w:tabs>
          <w:tab w:leader="none" w:pos="61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delay or omission of the Trustee or of any Holder to exercise any right or power accruing upon any Event of Default occurring and continuing as aforesaid shall impair any such right or power or shall be construed to be a waiver of any such Event of Default or an acquiescence therein; and, subject to Section 7.6, every power and remedy given by this CVR Agreement or by Law to the Trustee or to the Holders may be exercised from time to time, and as often as shall be deemed expedient, by the Trustee or by the Holders.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7.9. </w:t>
      </w:r>
      <w:r>
        <w:rPr>
          <w:rFonts w:ascii="Times New Roman" w:cs="Times New Roman" w:eastAsia="Times New Roman" w:hAnsi="Times New Roman"/>
          <w:sz w:val="16"/>
          <w:szCs w:val="16"/>
          <w:u w:val="single" w:color="auto"/>
          <w:color w:val="auto"/>
        </w:rPr>
        <w:t>Control by Holders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right="100" w:firstLine="397"/>
        <w:spacing w:after="0" w:line="258" w:lineRule="auto"/>
        <w:tabs>
          <w:tab w:leader="none" w:pos="604"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Majority Holders shall have the right to direct the time, method, and place of conducting any proceeding for any remedy available to the Trustee, or exercising any power conferred on the Trustee with respect to the CVRs by this CVR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direction shall not be otherwise than in accordance with Law and the provisions of this CVR Agreement;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(subject to the provisions of Section 3.1) the Trustee shall have the right to decline to follow any such</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720"/>
          </w:cols>
          <w:pgMar w:left="1080" w:top="254" w:right="1099" w:bottom="1440" w:gutter="0" w:footer="0" w:header="0"/>
        </w:sectPr>
      </w:pPr>
    </w:p>
    <w:bookmarkStart w:id="221" w:name="page222"/>
    <w:bookmarkEnd w:id="221"/>
    <w:p>
      <w:pPr>
        <w:spacing w:after="0" w:line="28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direction if (i) the Trustee, being advised by counsel, shall determine that the action or proceeding so directed may not lawfully be taken or if the Trustee in good faith by its board of directors, the executive committee, (ii) a committee of directors or Responsible Officers of the Trustee shall determine that the action or proceedings so directed would involve the Trustee in personal liability or (iii) the Trustee in good faith shall so determine that the actions or forbearances specified in or pursuant to such direction would be unduly prejudicial to the interests of Holders not joining in the giving of said direction.</w:t>
      </w:r>
    </w:p>
    <w:p>
      <w:pPr>
        <w:spacing w:after="0" w:line="49" w:lineRule="exact"/>
        <w:rPr>
          <w:sz w:val="20"/>
          <w:szCs w:val="20"/>
          <w:color w:val="auto"/>
        </w:rPr>
      </w:pPr>
    </w:p>
    <w:p>
      <w:pPr>
        <w:ind w:right="380" w:firstLine="397"/>
        <w:spacing w:after="0" w:line="278" w:lineRule="auto"/>
        <w:tabs>
          <w:tab w:leader="none" w:pos="613"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CVR Agreement shall impair the right of the Trustee in its discretion to take any action deemed proper by the Trustee and which is not inconsistent with such direction or directions by Holders.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u w:val="single" w:color="auto"/>
          <w:color w:val="auto"/>
        </w:rPr>
        <w:t>Waiver of Past Defaults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220" w:firstLine="397"/>
        <w:spacing w:after="0" w:line="255" w:lineRule="auto"/>
        <w:tabs>
          <w:tab w:leader="none" w:pos="604"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default or an Event of Default specified in clause (b), (c) or (d) of Section 7.1, the Majority Holders may waive any such default or Event of Default, and its consequences except a default in respect of a covenant or provisions hereof which cannot be modified or amended without the consent of the Holder of each CVR affected. In the case of any such waiver, Parent, the Trustee and the Holders shall be restored to their former positions and rights hereunder, respectively; but no such waiver shall extend to any subsequent or other default or impair any right consequent thereon.</w:t>
      </w:r>
    </w:p>
    <w:p>
      <w:pPr>
        <w:spacing w:after="0" w:line="69" w:lineRule="exact"/>
        <w:rPr>
          <w:rFonts w:ascii="Times New Roman" w:cs="Times New Roman" w:eastAsia="Times New Roman" w:hAnsi="Times New Roman"/>
          <w:sz w:val="16"/>
          <w:szCs w:val="16"/>
          <w:color w:val="auto"/>
        </w:rPr>
      </w:pPr>
    </w:p>
    <w:p>
      <w:pPr>
        <w:ind w:right="100" w:firstLine="397"/>
        <w:spacing w:after="0" w:line="263" w:lineRule="auto"/>
        <w:tabs>
          <w:tab w:leader="none" w:pos="613"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such waiver, such default shall cease to exist and be deemed to have been cured and not to have occurred, and any Event of Default arising therefrom shall be deemed to have been cured, and not to have occurred for every purpose of this CVR Agreement; but no such waiver shall extend to any subsequent or other default or Event of Default or impair any right consequent thereon.</w:t>
      </w:r>
    </w:p>
    <w:p>
      <w:pPr>
        <w:spacing w:after="0" w:line="157"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u w:val="single" w:color="auto"/>
          <w:color w:val="auto"/>
        </w:rPr>
        <w:t>The Trustee to Give Notice of Default, But May Withhold in Certain Circumstances</w:t>
      </w:r>
      <w:r>
        <w:rPr>
          <w:rFonts w:ascii="Times New Roman" w:cs="Times New Roman" w:eastAsia="Times New Roman" w:hAnsi="Times New Roman"/>
          <w:sz w:val="16"/>
          <w:szCs w:val="16"/>
          <w:color w:val="auto"/>
        </w:rPr>
        <w:t xml:space="preserve">. The Trustee shall transmit to the Holders, as the names and addresses of such Holders appear on the CVR Register (as provided under Section 313(c) of the Trust Indenture Act, if applicable), notice by mail of all defaults which have occurred and are known to the Trustee, such notice to be transmitted within 90 days after the occurrence thereof, unless such defaults shall have been cured before the giving of such notice (the term “default” for the purposes of this Section 7.11 being hereby defined to mean any event or condition which is, or with notice or lapse of time or both would become, an Event of Default);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except in the case of default in the payment of the amounts payable in respect of any of the CVRs,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Holders.</w:t>
      </w:r>
    </w:p>
    <w:p>
      <w:pPr>
        <w:spacing w:after="0" w:line="168" w:lineRule="exact"/>
        <w:rPr>
          <w:sz w:val="20"/>
          <w:szCs w:val="20"/>
          <w:color w:val="auto"/>
        </w:rPr>
      </w:pPr>
    </w:p>
    <w:p>
      <w:pPr>
        <w:ind w:right="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u w:val="single" w:color="auto"/>
          <w:color w:val="auto"/>
        </w:rPr>
        <w:t>Right of Court to Require Filing of Undertaking to Pay Costs</w:t>
      </w:r>
      <w:r>
        <w:rPr>
          <w:rFonts w:ascii="Times New Roman" w:cs="Times New Roman" w:eastAsia="Times New Roman" w:hAnsi="Times New Roman"/>
          <w:sz w:val="16"/>
          <w:szCs w:val="16"/>
          <w:color w:val="auto"/>
        </w:rPr>
        <w:t>. All Parties to this CVR Agreement agree, and each Holder of any CVR by his or her acceptance thereof shall be deemed to have agreed, that any court may in its discretion require, in any suit for the enforcement of any right or remedy under this CVR Agreement or in any suit against the Trustee for any action taken, suffered or omitted by it as the Trustee, the filing by any party litigant in such suit of an undertaking to pay the costs of such suit, and that such court may in its discretion assess reasonable costs, including attorneys’ fees, against any party litigant in such suit, having due regard to the merits and good faith of the claims or defenses made by such party litigant; but the provisions of this Section 7.12 shall not apply to any suit instituted by the Trustee, to any suit instituted by any Holder or group of Holders holding in the aggregate more than 10% of the CVRs Outstanding or to any suit instituted by any Holder for the enforcement of the payment of any CVR on or after the due date expressed in such CVR.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720"/>
          </w:cols>
          <w:pgMar w:left="1080" w:top="254" w:right="109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8</w:t>
      </w:r>
    </w:p>
    <w:p>
      <w:pPr>
        <w:spacing w:after="0" w:line="19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CONSOLIDATION, MERGER, SALE OR CONVEYANCE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8.1. </w:t>
      </w:r>
      <w:r>
        <w:rPr>
          <w:rFonts w:ascii="Times New Roman" w:cs="Times New Roman" w:eastAsia="Times New Roman" w:hAnsi="Times New Roman"/>
          <w:sz w:val="16"/>
          <w:szCs w:val="16"/>
          <w:u w:val="single" w:color="auto"/>
          <w:color w:val="auto"/>
        </w:rPr>
        <w:t>Parent May Consolidate, etc., on Certain Terms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20" w:right="20" w:firstLine="397"/>
        <w:spacing w:after="0" w:line="273" w:lineRule="auto"/>
        <w:tabs>
          <w:tab w:leader="none" w:pos="584"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not merge or consolidate with or into any other Person, or sell or convey all of its assets to any Person (other than a wholly owned Subsidiary of Parent), unless (i) Parent shall be the continuing Person, or the successor Person or the Person which acquires by sale or conveyance all the assets of Parent (including the shares of the Company), Parent shall be a Person organized under the Laws of the United States of America or any State thereof and shall expressly assume by an instrument supplemental hereto, executed and delivered to the Trustee, in form satisfactory to the Trustee, the due and punctual payment of the CVRs, according to their tenor, and the due and punctual performance and observance of all of the covenants and conditions of this CVR Agreement to be performed or observed by Parent and (ii) Parent, or such successor Person, as the case may be, shall not, immediately after such merger or consolidation, or such sale or conveyance, be in default in the performance of any such covenant or condition.</w:t>
      </w:r>
    </w:p>
    <w:p>
      <w:pPr>
        <w:spacing w:after="0" w:line="54" w:lineRule="exact"/>
        <w:rPr>
          <w:rFonts w:ascii="Times New Roman" w:cs="Times New Roman" w:eastAsia="Times New Roman" w:hAnsi="Times New Roman"/>
          <w:sz w:val="15"/>
          <w:szCs w:val="15"/>
          <w:color w:val="auto"/>
        </w:rPr>
      </w:pPr>
    </w:p>
    <w:p>
      <w:pPr>
        <w:ind w:left="-20" w:firstLine="397"/>
        <w:spacing w:after="0" w:line="267" w:lineRule="auto"/>
        <w:tabs>
          <w:tab w:leader="none" w:pos="593"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in Section 8.1(a) or in a Minority Transaction, Parent and its Subsidiaries shall not consummate a Disposition of their respective rights in and to Applicable Products to any third party (including the sale of substantially all, but not all, the assets of Parent), except in a bona fide transaction and unless Parent obtains the agreement of the transferee to (i) (x) at all times after any such Disposition, include such Applicable Products (or Services or other assets and rights included in such Disposition, if applicable) in the calculation of Covered Revenues, in accordance with the terms hereunder (with the transferee substituted for Parent as necessary) as if such transferee was Parent and (y) include in the contract for such Disposition appropriate provisions for such treatment and a requirement that the transferee comply with the covenants in this Section 8.1(b) to the same extent as Parent, and (ii) adjust the dollar amounts set forth in the definition of “Covered Revenues Payment” as agreed upon by Parent and the Holder Representative as a result of such transaction to apportion such thresholds between the portion of the business retained by Parent and its Subsidiaries and the portion of the business attributable to the Applicable Products (and Services and such other assets and rights, if applicable) acquired by the transferee (which apportionment shall be based on the relative percentage of projected Covered Revenues transferred and the percentage of projected Covered Revenues retained for the period from the closing of the transaction to the End Date) (any transaction in which the transferee agrees to such inclusions, a “</w:t>
      </w:r>
      <w:r>
        <w:rPr>
          <w:rFonts w:ascii="Times New Roman" w:cs="Times New Roman" w:eastAsia="Times New Roman" w:hAnsi="Times New Roman"/>
          <w:sz w:val="15"/>
          <w:szCs w:val="15"/>
          <w:u w:val="single" w:color="auto"/>
          <w:color w:val="auto"/>
        </w:rPr>
        <w:t>Specified Asset Sale</w:t>
      </w:r>
      <w:r>
        <w:rPr>
          <w:rFonts w:ascii="Times New Roman" w:cs="Times New Roman" w:eastAsia="Times New Roman" w:hAnsi="Times New Roman"/>
          <w:sz w:val="15"/>
          <w:szCs w:val="15"/>
          <w:color w:val="auto"/>
        </w:rPr>
        <w:t>”). For purposes of clarification, this Section 8.1(b) will not apply to (A) Sales of Products or Services made by Parent or its wholly owned Subsidiaries or (B) ordinary course licensing arrangements between Parent and its Subsidiaries, on the one hand, and third party licensees, on the other hand, in each case of clauses (A) and (B) in the ordinary course of business and which are taken into account in the calculation of Net Sales in accordance with the terms of this CVR Agreement. If any transaction covered by this Section 8.1(b) also involves the Disposition of assets or other rights other than Applicable Products, any commercial arrangement between Parent or any of its Affiliates, on the one hand, and the acquirer or any Affiliate of the acquirer on the other hand, or any other consideration paid or deemed paid by Parent to the transferee in such Disposition, then the Consideration allocated to the Applicable Products, assets or other rights included in Covered Revenues shall be calculated based on their actual value in proportion to the aggregate value of such Applicable Products, assets or other rights taking into account the value of all components of such transaction (the “</w:t>
      </w:r>
      <w:r>
        <w:rPr>
          <w:rFonts w:ascii="Times New Roman" w:cs="Times New Roman" w:eastAsia="Times New Roman" w:hAnsi="Times New Roman"/>
          <w:sz w:val="15"/>
          <w:szCs w:val="15"/>
          <w:u w:val="single" w:color="auto"/>
          <w:color w:val="auto"/>
        </w:rPr>
        <w:t>Appropriate Allocation</w:t>
      </w:r>
      <w:r>
        <w:rPr>
          <w:rFonts w:ascii="Times New Roman" w:cs="Times New Roman" w:eastAsia="Times New Roman" w:hAnsi="Times New Roman"/>
          <w:sz w:val="15"/>
          <w:szCs w:val="15"/>
          <w:color w:val="auto"/>
        </w:rPr>
        <w:t>”). If a Product or Service that was a Bundled Product or Service ceases to be a Bundled Product or Service, then effective as of the date on which such Product or Service ceases to be a Bundled Product or Service, it will not be an Applicable Product for purposes of this Section 8.1(b) for so long as it is not a Bundled Product or Service and does not and would not generate Covered Revenues on a standalone basis.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700"/>
          </w:cols>
          <w:pgMar w:left="1100" w:top="252" w:right="1099" w:bottom="1440" w:gutter="0" w:footer="0" w:header="0"/>
        </w:sectPr>
      </w:pPr>
    </w:p>
    <w:bookmarkStart w:id="223" w:name="page224"/>
    <w:bookmarkEnd w:id="223"/>
    <w:p>
      <w:pPr>
        <w:ind w:left="-20" w:right="20" w:firstLine="397"/>
        <w:spacing w:after="0" w:line="252" w:lineRule="auto"/>
        <w:tabs>
          <w:tab w:leader="none" w:pos="584"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Except as otherwise provided in Section 8.1(a), Section 8.1(b), this Section 8.1(c) or in a Minority Transaction, Parent and its Subsidiaries shall not consummate a Disposition of their respective assets or rights in and to the business of Parent and its Subsidiaries that generate Covered Revenues to any third party without the prior written consent of the Majority Holders or the Holder Representative, such consent not to be unreasonably withheld, conditioned or delayed. Section 8.1(b) and this Section 8.1(c) shall not apply with respect to the Disposition of assets that are ancillary to and are not required for the generation of Covered Revenues (e.g., real property);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Covered Products and Services, Data described in the definition of “Sale of Data”, Samples described in clause (d) of the definition of “Covered Revenues”, and any assets in the Field utilizing Existing IP (and, in each case, any rights therein) and/or any assets that are integral thereto, shall not be deemed or considered ancillary for this purpose and shall be covered by Section 8.1(b) and the first sentence of this Section 8.1(c).</w:t>
      </w:r>
    </w:p>
    <w:p>
      <w:pPr>
        <w:spacing w:after="0" w:line="72" w:lineRule="exact"/>
        <w:rPr>
          <w:rFonts w:ascii="Times New Roman" w:cs="Times New Roman" w:eastAsia="Times New Roman" w:hAnsi="Times New Roman"/>
          <w:sz w:val="16"/>
          <w:szCs w:val="16"/>
          <w:color w:val="auto"/>
        </w:rPr>
      </w:pPr>
    </w:p>
    <w:p>
      <w:pPr>
        <w:ind w:left="-20" w:firstLine="397"/>
        <w:spacing w:after="0" w:line="250" w:lineRule="auto"/>
        <w:tabs>
          <w:tab w:leader="none" w:pos="593"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Parent and Holder Representative are unable to agree on any matters that are the subject of Section 8.1(b) (including (i) whether a given transaction is a “Minority Transaction”, (ii) whether a particular transaction is subject to Section 8.1(b), (iii) whether the proceeds of any particular transaction constitute Covered Revenues (including any Appropriate Allocation, as applicable) or (iv) the applicable adjustments described in Section 8.1(b)(ii)), within 30 days of notice from one party to the other, either Parent or Holder Representative may provide written notice to the other of its (x) election to have such disagreement resolved by a Subject Matter Expert and (y) its proposal of the applicable Subject Matter Expert. Within 10 Business Days of the receipt of such notice, the receiving party shall either accept the proposal of such Subject Matter Expert or shall propose in writing to the other party a Subject Matter Expert. For the next 15 Business Days thereafter, Parent and the Holder Representative shall discuss the selection of such expert and failing agreement, the experts proposed by Parent and the Holder Representative shall in turn appoint an independent relevant Subject Matter Expert to resolve such dispute, which expert shall be selected no later than the end of such 15-Business Day period. Within one month after the appointment of the Subject Matter Expert, each of Parent and the Holder Representative shall submit in writing to the Subject Matter Expert its arguments for such disputed matter(s). The Subject Matter Expert, acting as an expert and not as an arbitrator, shall be charged to come to a final determination with respect to the proposed adjustment as promptly as practicable (and in any event within one month) by adopting the position of either Parent or the Holder Representative. The Subject Matter Expert shall not be permitted to make any determination other than adopting the position of either Parent or the Holder Representative, and the scope of the disputes to be resolved by the Subject Matter Expert shall be limited to the disputed matter(s). Parent shall permit, and shall cause its Subsidiaries to permit, the Subject Matter Expert to have access during normal business hours to such of the records of Parent as may be reasonably necessary to resolve the disputed matter(s). The person whose position was not adopted by the Subject Matter Expert shall pay, or cause to be paid, the fees charged by the Subject Matter Expert. Parent shall, and shall cause its Subsidiaries to, furnish to the Subject Matter Expert such access, work papers and other documents and information related to the adjustment dispute as the Subject Matter Expert may request and as are available to Parent.</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8.2. </w:t>
      </w:r>
      <w:r>
        <w:rPr>
          <w:rFonts w:ascii="Times New Roman" w:cs="Times New Roman" w:eastAsia="Times New Roman" w:hAnsi="Times New Roman"/>
          <w:sz w:val="16"/>
          <w:szCs w:val="16"/>
          <w:u w:val="single" w:color="auto"/>
          <w:color w:val="auto"/>
        </w:rPr>
        <w:t>Successor Person Substituted</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20" w:firstLine="397"/>
        <w:spacing w:after="0" w:line="253" w:lineRule="auto"/>
        <w:tabs>
          <w:tab w:leader="none" w:pos="584"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any such consolidation, merger, sale or conveyance, and following such an assumption by the successor Person in accordance with the terms of this CVR Agreement, Parent shall be discharged from all obligations and covenants under this CVR Agreement solely with respect to the business and assets transferred in such bona fide consolidation, merger, sale or conveyance, but, for the avoidance of doubt, Parent will remain bound by all obligations and covenants with respect to any business or assets retained by Parent or its Subsidiaries that generate Covered Revenues, and such successor Person shall succeed to and be substituted for Parent with the same effect as if it had been named herein (it being understood, for the avoidance of doubt, that the calculations of Covered Revenues and Net Sales shall not include any revenue or Sales of any Affiliates of the successor Person other than the revenue and Sales of the business and assets of Parent and its Subsidiaries). Such successor Person may cause to be signed,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680"/>
          </w:cols>
          <w:pgMar w:left="1100" w:top="254" w:right="1119" w:bottom="1440" w:gutter="0" w:footer="0" w:header="0"/>
        </w:sectPr>
      </w:pPr>
    </w:p>
    <w:bookmarkStart w:id="224" w:name="page225"/>
    <w:bookmarkEnd w:id="224"/>
    <w:p>
      <w:pPr>
        <w:ind w:right="2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may issue either in its own name or in the name of Parent prior to such succession any or all of the CVRs issuable hereunder which theretofore shall not have been signed by Parent and delivered to the Trustee, and, upon the order of such successor corporation instead of Parent and subject to all the terms, conditions and limitations in this CVR Agreement prescribed, the Trustee shall authenticate and shall deliver any CVRs which previously shall have been signed and delivered to the Trustee for authentication, and any CVRs which such successor corporation thereafter shall cause to be signed and delivered to the Trustee for that purpose. All of the CVRs so issued shall in all respects have the same legal rank and benefit under this CVR Agreement as the CVRs theretofore or thereafter issued in accordance with the terms of this CVR Agreement as though all of such CVRs had been issued at the date of the execution hereof.</w:t>
      </w:r>
    </w:p>
    <w:p>
      <w:pPr>
        <w:spacing w:after="0" w:line="70" w:lineRule="exact"/>
        <w:rPr>
          <w:sz w:val="20"/>
          <w:szCs w:val="20"/>
          <w:color w:val="auto"/>
        </w:rPr>
      </w:pPr>
    </w:p>
    <w:p>
      <w:pPr>
        <w:ind w:right="80" w:firstLine="397"/>
        <w:spacing w:after="0" w:line="258" w:lineRule="auto"/>
        <w:tabs>
          <w:tab w:leader="none" w:pos="613"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any such consolidation, merger, sale or conveyance, such changes in phraseology and form (but not in substance) may be made in the CVRs thereafter to be issued as may be appropriate. The successor entity to such consolidation, merger, sale or conveyance may satisfy the obligations of Section 4.4(a)(i)(A) and (B) of this CVR Agreement by providing copies of such successor entity’s Exchange Act Documents in the case of Section 4.4(a)(i)(A) or such successor entity’s financial information in the case of Section 4.4(a)(i)(B).</w:t>
      </w:r>
    </w:p>
    <w:p>
      <w:pPr>
        <w:spacing w:after="0" w:line="65" w:lineRule="exact"/>
        <w:rPr>
          <w:rFonts w:ascii="Times New Roman" w:cs="Times New Roman" w:eastAsia="Times New Roman" w:hAnsi="Times New Roman"/>
          <w:sz w:val="16"/>
          <w:szCs w:val="16"/>
          <w:color w:val="auto"/>
        </w:rPr>
      </w:pPr>
    </w:p>
    <w:p>
      <w:pPr>
        <w:jc w:val="both"/>
        <w:ind w:right="180" w:firstLine="397"/>
        <w:spacing w:after="0" w:line="263" w:lineRule="auto"/>
        <w:tabs>
          <w:tab w:leader="none" w:pos="604"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any such sale, transfer or conveyance (other than a conveyance by way of lease) Parent or any Person which shall theretofore have become such in the manner described in this Article 8 shall be discharged from all obligations and covenants under this CVR Agreement and the CVRs and may be liquidated and dissolved.</w:t>
      </w:r>
    </w:p>
    <w:p>
      <w:pPr>
        <w:spacing w:after="0" w:line="157" w:lineRule="exact"/>
        <w:rPr>
          <w:sz w:val="20"/>
          <w:szCs w:val="20"/>
          <w:color w:val="auto"/>
        </w:rPr>
      </w:pPr>
    </w:p>
    <w:p>
      <w:pPr>
        <w:ind w:right="20" w:firstLine="388"/>
        <w:spacing w:after="0" w:line="255" w:lineRule="auto"/>
        <w:rPr>
          <w:sz w:val="20"/>
          <w:szCs w:val="20"/>
          <w:color w:val="auto"/>
        </w:rPr>
      </w:pPr>
      <w:r>
        <w:rPr>
          <w:rFonts w:ascii="Times New Roman" w:cs="Times New Roman" w:eastAsia="Times New Roman" w:hAnsi="Times New Roman"/>
          <w:sz w:val="16"/>
          <w:szCs w:val="16"/>
          <w:color w:val="auto"/>
        </w:rPr>
        <w:t xml:space="preserve">Section 8.3. </w:t>
      </w:r>
      <w:r>
        <w:rPr>
          <w:rFonts w:ascii="Times New Roman" w:cs="Times New Roman" w:eastAsia="Times New Roman" w:hAnsi="Times New Roman"/>
          <w:sz w:val="16"/>
          <w:szCs w:val="16"/>
          <w:u w:val="single" w:color="auto"/>
          <w:color w:val="auto"/>
        </w:rPr>
        <w:t>Opinion of Counsel to the Trustee</w:t>
      </w:r>
      <w:r>
        <w:rPr>
          <w:rFonts w:ascii="Times New Roman" w:cs="Times New Roman" w:eastAsia="Times New Roman" w:hAnsi="Times New Roman"/>
          <w:sz w:val="16"/>
          <w:szCs w:val="16"/>
          <w:color w:val="auto"/>
        </w:rPr>
        <w:t>. The Trustee, subject to the provisions of Sections 3.1 and 3.2, shall receive an Officer’s Certificate and Opinion of Counsel, prepared in accordance with Sections 1.3 and 1.4, as conclusive evidence that any such consolidation, merger, sale or conveyance, and any such assumption, and any such liquidation or dissolution, complies with the applicable provisions of this CVR Agreement, and if a supplemental agreement is required in connection with such transaction, such supplemental agreement complies with this Article 8 and that there has been compliance with all conditions precedent herein provided for or relating to such transaction.</w:t>
      </w:r>
    </w:p>
    <w:p>
      <w:pPr>
        <w:spacing w:after="0" w:line="165" w:lineRule="exact"/>
        <w:rPr>
          <w:sz w:val="20"/>
          <w:szCs w:val="20"/>
          <w:color w:val="auto"/>
        </w:rPr>
      </w:pPr>
    </w:p>
    <w:p>
      <w:pPr>
        <w:ind w:right="80" w:firstLine="388"/>
        <w:spacing w:after="0" w:line="255" w:lineRule="auto"/>
        <w:rPr>
          <w:sz w:val="20"/>
          <w:szCs w:val="20"/>
          <w:color w:val="auto"/>
        </w:rPr>
      </w:pPr>
      <w:r>
        <w:rPr>
          <w:rFonts w:ascii="Times New Roman" w:cs="Times New Roman" w:eastAsia="Times New Roman" w:hAnsi="Times New Roman"/>
          <w:sz w:val="16"/>
          <w:szCs w:val="16"/>
          <w:color w:val="auto"/>
        </w:rPr>
        <w:t xml:space="preserve">Section 8.4. </w:t>
      </w: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 xml:space="preserve">. All covenants, provisions and agreements in this CVR Agreement by or for the benefit of Parent, the Trustee, the Holder Representative or the Holders shall bind and inure to the benefit of their respective permitted successors, assigns, heirs and personal representatives, whether so expressed or not. Parent may assign this CVR Agreement without the prior written consent of the other Parties to this CVR Agreement to one or more of its direct or indirect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of any such assignment Parent shall remain subject to its obligations and covenants hereunder, including, but not limited to, its obligation to make any Covered Revenues Payments.</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9</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REDEMPTION OF SECURITIES</w:t>
      </w:r>
    </w:p>
    <w:p>
      <w:pPr>
        <w:spacing w:after="0" w:line="199" w:lineRule="exact"/>
        <w:rPr>
          <w:sz w:val="20"/>
          <w:szCs w:val="20"/>
          <w:color w:val="auto"/>
        </w:rPr>
      </w:pPr>
    </w:p>
    <w:p>
      <w:pPr>
        <w:ind w:firstLine="388"/>
        <w:spacing w:after="0" w:line="281" w:lineRule="auto"/>
        <w:rPr>
          <w:sz w:val="20"/>
          <w:szCs w:val="20"/>
          <w:color w:val="auto"/>
        </w:rPr>
      </w:pPr>
      <w:r>
        <w:rPr>
          <w:rFonts w:ascii="Times New Roman" w:cs="Times New Roman" w:eastAsia="Times New Roman" w:hAnsi="Times New Roman"/>
          <w:sz w:val="15"/>
          <w:szCs w:val="15"/>
          <w:color w:val="auto"/>
        </w:rPr>
        <w:t xml:space="preserve">Section 9.1. </w:t>
      </w:r>
      <w:r>
        <w:rPr>
          <w:rFonts w:ascii="Times New Roman" w:cs="Times New Roman" w:eastAsia="Times New Roman" w:hAnsi="Times New Roman"/>
          <w:sz w:val="15"/>
          <w:szCs w:val="15"/>
          <w:u w:val="single" w:color="auto"/>
          <w:color w:val="auto"/>
        </w:rPr>
        <w:t>Notice to Trustee</w:t>
      </w:r>
      <w:r>
        <w:rPr>
          <w:rFonts w:ascii="Times New Roman" w:cs="Times New Roman" w:eastAsia="Times New Roman" w:hAnsi="Times New Roman"/>
          <w:sz w:val="15"/>
          <w:szCs w:val="15"/>
          <w:color w:val="auto"/>
        </w:rPr>
        <w:t>. If Parent elects to redeem CVRs pursuant to the optional redemption provisions of Section 9.5 hereof, it shall furnish to the Trustee, at least 45 days (unless a shorter period shall be agreed to by the Trustee) but not more than 60 days before a redemption date (but in any event prior to the notice provided pursuant to Section 9.2 hereof), an Officer’s Certificate setting forth (i) the clause of this CVR Agreement pursuant to which the redemption shall occur, (ii) the redemption date, (iii) the amount of CVRs to be redeemed and (iv) the Redemption Price.</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700"/>
          </w:cols>
          <w:pgMar w:left="1080" w:top="254" w:right="1119" w:bottom="1440" w:gutter="0" w:footer="0" w:header="0"/>
        </w:sectPr>
      </w:pPr>
    </w:p>
    <w:bookmarkStart w:id="225" w:name="page226"/>
    <w:bookmarkEnd w:id="225"/>
    <w:p>
      <w:pPr>
        <w:jc w:val="both"/>
        <w:ind w:right="100" w:firstLine="388"/>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9.2. </w:t>
      </w:r>
      <w:r>
        <w:rPr>
          <w:rFonts w:ascii="Times New Roman" w:cs="Times New Roman" w:eastAsia="Times New Roman" w:hAnsi="Times New Roman"/>
          <w:sz w:val="16"/>
          <w:szCs w:val="16"/>
          <w:u w:val="single" w:color="auto"/>
          <w:color w:val="auto"/>
        </w:rPr>
        <w:t>Notice of Redemption</w:t>
      </w:r>
      <w:r>
        <w:rPr>
          <w:rFonts w:ascii="Times New Roman" w:cs="Times New Roman" w:eastAsia="Times New Roman" w:hAnsi="Times New Roman"/>
          <w:sz w:val="16"/>
          <w:szCs w:val="16"/>
          <w:color w:val="auto"/>
        </w:rPr>
        <w:t>. At least 30 days but not more than 60 days before a redemption date, Parent shall mail or cause to be mailed, by first-class mail, a notice of redemption to each Holder whose CVRs are to be redeemed at its registered address. The notice (the “</w:t>
      </w:r>
      <w:r>
        <w:rPr>
          <w:rFonts w:ascii="Times New Roman" w:cs="Times New Roman" w:eastAsia="Times New Roman" w:hAnsi="Times New Roman"/>
          <w:sz w:val="16"/>
          <w:szCs w:val="16"/>
          <w:u w:val="single" w:color="auto"/>
          <w:color w:val="auto"/>
        </w:rPr>
        <w:t>Call Notice</w:t>
      </w:r>
      <w:r>
        <w:rPr>
          <w:rFonts w:ascii="Times New Roman" w:cs="Times New Roman" w:eastAsia="Times New Roman" w:hAnsi="Times New Roman"/>
          <w:sz w:val="16"/>
          <w:szCs w:val="16"/>
          <w:color w:val="auto"/>
        </w:rPr>
        <w:t>”) shall identify the amount of CVRs to be redeemed and shall state:</w:t>
      </w:r>
    </w:p>
    <w:p>
      <w:pPr>
        <w:spacing w:after="0" w:line="62" w:lineRule="exact"/>
        <w:rPr>
          <w:sz w:val="20"/>
          <w:szCs w:val="20"/>
          <w:color w:val="auto"/>
        </w:rPr>
      </w:pPr>
    </w:p>
    <w:p>
      <w:pPr>
        <w:ind w:left="620" w:hanging="223"/>
        <w:spacing w:after="0"/>
        <w:tabs>
          <w:tab w:leader="none" w:pos="6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w:t>
      </w:r>
    </w:p>
    <w:p>
      <w:pPr>
        <w:spacing w:after="0" w:line="10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w:t>
      </w:r>
    </w:p>
    <w:p>
      <w:pPr>
        <w:spacing w:after="0" w:line="10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w:t>
      </w:r>
    </w:p>
    <w:p>
      <w:pPr>
        <w:spacing w:after="0" w:line="10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CVRs called for redemption must be surrendered to the Paying Agent to collect the Redemption Price;</w:t>
      </w:r>
    </w:p>
    <w:p>
      <w:pPr>
        <w:spacing w:after="0" w:line="101" w:lineRule="exact"/>
        <w:rPr>
          <w:rFonts w:ascii="Times New Roman" w:cs="Times New Roman" w:eastAsia="Times New Roman" w:hAnsi="Times New Roman"/>
          <w:sz w:val="16"/>
          <w:szCs w:val="16"/>
          <w:color w:val="auto"/>
        </w:rPr>
      </w:pPr>
    </w:p>
    <w:p>
      <w:pPr>
        <w:ind w:firstLine="397"/>
        <w:spacing w:after="0" w:line="313" w:lineRule="auto"/>
        <w:tabs>
          <w:tab w:leader="none" w:pos="604"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unless Parent defaults in making such redemption payment, all right title and interest in and to the CVRs and any Covered Revenues Payment or any other amounts due under this CVR Agreement, if any, on CVRs called for redemption ceases to accrue on and after the redemption date;</w:t>
      </w:r>
    </w:p>
    <w:p>
      <w:pPr>
        <w:spacing w:after="0" w:line="26" w:lineRule="exact"/>
        <w:rPr>
          <w:rFonts w:ascii="Times New Roman" w:cs="Times New Roman" w:eastAsia="Times New Roman" w:hAnsi="Times New Roman"/>
          <w:sz w:val="15"/>
          <w:szCs w:val="15"/>
          <w:color w:val="auto"/>
        </w:rPr>
      </w:pPr>
    </w:p>
    <w:p>
      <w:pPr>
        <w:ind w:left="600" w:hanging="203"/>
        <w:spacing w:after="0"/>
        <w:tabs>
          <w:tab w:leader="none" w:pos="60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clause of this CVR Agreement pursuant to which the CVRs called for redemption are being redeemed; and</w:t>
      </w:r>
    </w:p>
    <w:p>
      <w:pPr>
        <w:spacing w:after="0" w:line="101" w:lineRule="exact"/>
        <w:rPr>
          <w:rFonts w:ascii="Times New Roman" w:cs="Times New Roman" w:eastAsia="Times New Roman" w:hAnsi="Times New Roman"/>
          <w:sz w:val="16"/>
          <w:szCs w:val="16"/>
          <w:color w:val="auto"/>
        </w:rPr>
      </w:pPr>
    </w:p>
    <w:p>
      <w:pPr>
        <w:ind w:left="620" w:hanging="223"/>
        <w:spacing w:after="0"/>
        <w:tabs>
          <w:tab w:leader="none" w:pos="62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representation is made as to the correctness or accuracy of the CUSIP and ISIN number, if any, listed in such notice or printed on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6"/>
          <w:szCs w:val="16"/>
          <w:color w:val="auto"/>
        </w:rPr>
        <w:t xml:space="preserve">At Parent’s request, the Trustee shall give the notice of redemption in Parent’s name and at its expense;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Parent shall have delivered to the Trustee at least 45 days (unless a shorter period shall be agreed to by the Trustee) but not more than 60 days prior to the redemption date, an Officer’s Certificate requesting that the Trustee give such notice and setting forth the information to be stated in such notice as provided in the preceding paragraph.</w:t>
      </w:r>
    </w:p>
    <w:p>
      <w:pPr>
        <w:spacing w:after="0" w:line="66" w:lineRule="exact"/>
        <w:rPr>
          <w:sz w:val="20"/>
          <w:szCs w:val="20"/>
          <w:color w:val="auto"/>
        </w:rPr>
      </w:pPr>
    </w:p>
    <w:p>
      <w:pPr>
        <w:ind w:right="12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9.3. </w:t>
      </w:r>
      <w:r>
        <w:rPr>
          <w:rFonts w:ascii="Times New Roman" w:cs="Times New Roman" w:eastAsia="Times New Roman" w:hAnsi="Times New Roman"/>
          <w:sz w:val="16"/>
          <w:szCs w:val="16"/>
          <w:u w:val="single" w:color="auto"/>
          <w:color w:val="auto"/>
        </w:rPr>
        <w:t>Effect of Notice of Redemption</w:t>
      </w:r>
      <w:r>
        <w:rPr>
          <w:rFonts w:ascii="Times New Roman" w:cs="Times New Roman" w:eastAsia="Times New Roman" w:hAnsi="Times New Roman"/>
          <w:sz w:val="16"/>
          <w:szCs w:val="16"/>
          <w:color w:val="auto"/>
        </w:rPr>
        <w:t>. Once notice of redemption is mailed in accordance with Section 9.2 hereof, CVRs called for redemption shall become irrevocably due and payable on the redemption date at the Redemption Price. A notice of redemption shall be deemed to be given when mailed, whether or not the Holder receives the notice. In any event, failure to give such notice, or any defect in such notice, shall not affect the validity of the proceedings for the redemption of the CVRs held by Holders to whom such notice was properly given.</w:t>
      </w:r>
    </w:p>
    <w:p>
      <w:pPr>
        <w:spacing w:after="0" w:line="66" w:lineRule="exact"/>
        <w:rPr>
          <w:sz w:val="20"/>
          <w:szCs w:val="20"/>
          <w:color w:val="auto"/>
        </w:rPr>
      </w:pPr>
    </w:p>
    <w:p>
      <w:pPr>
        <w:jc w:val="both"/>
        <w:ind w:right="12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9.4. </w:t>
      </w:r>
      <w:r>
        <w:rPr>
          <w:rFonts w:ascii="Times New Roman" w:cs="Times New Roman" w:eastAsia="Times New Roman" w:hAnsi="Times New Roman"/>
          <w:sz w:val="16"/>
          <w:szCs w:val="16"/>
          <w:u w:val="single" w:color="auto"/>
          <w:color w:val="auto"/>
        </w:rPr>
        <w:t>Deposit of Redemption Price</w:t>
      </w:r>
      <w:r>
        <w:rPr>
          <w:rFonts w:ascii="Times New Roman" w:cs="Times New Roman" w:eastAsia="Times New Roman" w:hAnsi="Times New Roman"/>
          <w:sz w:val="16"/>
          <w:szCs w:val="16"/>
          <w:color w:val="auto"/>
        </w:rPr>
        <w:t>. On or one Business Day prior to the redemption date, Parent shall deposit with the Trustee or with the Paying Agent (if different from the Trustee) money sufficient to pay the Redemption Price of all CVRs to be redeemed on that date. The Trustee or the paying agent shall promptly return to Parent any money deposited with the Trustee or the paying agent by Parent in excess of the amounts necessary to pay the Redemption Price of all CVRs to be redeemed.</w:t>
      </w:r>
    </w:p>
    <w:p>
      <w:pPr>
        <w:spacing w:after="0" w:line="16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If Parent complies with the provisions of the preceding paragraph, on and after the redemption or purchase date, as applicable, all right title and interest of a Holder to any Covered Revenues Payment, if any, shall cease to accrue on the CVRs called for redemption or subject to purchase. If any CVR called for redemption or subject to purchase shall not be so paid upon surrender for redemption or purchase because of the failure of Parent to comply with the preceding paragraph, interest shall be paid on the unpaid redemption price from the redemption date or purchase date, as applicable, until such redemption price is paid at the Default Interest Rate.</w:t>
      </w:r>
    </w:p>
    <w:p>
      <w:pPr>
        <w:spacing w:after="0" w:line="165" w:lineRule="exact"/>
        <w:rPr>
          <w:sz w:val="20"/>
          <w:szCs w:val="20"/>
          <w:color w:val="auto"/>
        </w:rPr>
      </w:pPr>
    </w:p>
    <w:p>
      <w:pPr>
        <w:ind w:right="18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9.5. </w:t>
      </w:r>
      <w:r>
        <w:rPr>
          <w:rFonts w:ascii="Times New Roman" w:cs="Times New Roman" w:eastAsia="Times New Roman" w:hAnsi="Times New Roman"/>
          <w:sz w:val="16"/>
          <w:szCs w:val="16"/>
          <w:u w:val="single" w:color="auto"/>
          <w:color w:val="auto"/>
        </w:rPr>
        <w:t>Optional Redemption by Parent</w:t>
      </w:r>
      <w:r>
        <w:rPr>
          <w:rFonts w:ascii="Times New Roman" w:cs="Times New Roman" w:eastAsia="Times New Roman" w:hAnsi="Times New Roman"/>
          <w:sz w:val="16"/>
          <w:szCs w:val="16"/>
          <w:color w:val="auto"/>
        </w:rPr>
        <w:t>. Parent may, at any time on and after the Redemption Eligibility Date, redeem all (but not less than all) of the outstanding CVRs at the Redemption Price.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700"/>
          </w:cols>
          <w:pgMar w:left="1080" w:top="254" w:right="1119" w:bottom="1440" w:gutter="0" w:footer="0" w:header="0"/>
        </w:sectPr>
      </w:pPr>
    </w:p>
    <w:bookmarkStart w:id="226" w:name="page227"/>
    <w:bookmarkEnd w:id="226"/>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10</w:t>
      </w:r>
    </w:p>
    <w:p>
      <w:pPr>
        <w:spacing w:after="0" w:line="19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HOLDER REPRESENTATIVE</w:t>
      </w:r>
    </w:p>
    <w:p>
      <w:pPr>
        <w:spacing w:after="0" w:line="199" w:lineRule="exact"/>
        <w:rPr>
          <w:sz w:val="20"/>
          <w:szCs w:val="20"/>
          <w:color w:val="auto"/>
        </w:rPr>
      </w:pPr>
    </w:p>
    <w:p>
      <w:pPr>
        <w:ind w:left="391"/>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u w:val="single" w:color="auto"/>
          <w:color w:val="auto"/>
        </w:rPr>
        <w:t>Authority and Rights of the Holder Representative; Limitations on Liability</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9" w:firstLine="397"/>
        <w:spacing w:after="0" w:line="268" w:lineRule="auto"/>
        <w:tabs>
          <w:tab w:leader="none" w:pos="595"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Holder Representative shall have such powers and authority as are necessary to carry out the functions, on behalf of the Holders, assigned to it under this CVR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Holder Representative shall have no obligation to act, except as expressly provided herein. Without limiting the generality of the foregoing, each Holder agrees that the Holder Representative has full power, authority and discretion, on behalf of each Holder and his, her or its successors and assigns, to (a) interpret the terms and provisions of this CVR Agreement and the documents to be executed and delivered by the Holders in connection herewith, (b) execute and deliver and receive deliveries of all agreements, certificates, statements, notices, approvals, extensions, waivers, undertakings, amendments and other documents required or permitted to be given by it under this CVR Agreement,</w:t>
      </w:r>
    </w:p>
    <w:p>
      <w:pPr>
        <w:spacing w:after="0" w:line="3" w:lineRule="exact"/>
        <w:rPr>
          <w:rFonts w:ascii="Times New Roman" w:cs="Times New Roman" w:eastAsia="Times New Roman" w:hAnsi="Times New Roman"/>
          <w:sz w:val="15"/>
          <w:szCs w:val="15"/>
          <w:color w:val="auto"/>
        </w:rPr>
      </w:pPr>
    </w:p>
    <w:p>
      <w:pPr>
        <w:ind w:left="-9" w:right="40" w:firstLine="9"/>
        <w:spacing w:after="0" w:line="248" w:lineRule="auto"/>
        <w:tabs>
          <w:tab w:leader="none" w:pos="207"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receive service of process in connection with any claims under this CVR Agreement or any document or agreement contemplated to be executed or delivered in connection with this CVR Agreement, (d) agree to, negotiate and enter into settlements and compromises of, and assume the defense of, claims, and demand arbitration and comply with Orders and awards of arbitrators with respect to such claims, and take all actions necessary or appropriate in the judgement of the Holder Representative for the accomplishment of the foregoing (e) give and receive notices and communications as provided under this CVR Agreement and (f) take all actions necessary or appropriate in the judgment of the Holder Representative on behalf of the Holders in carrying out the provisions of this CVR Agreement applicable to the Holders. All actions taken by the Holder Representative under this CVR Agreement shall be binding upon the Holders and their successors as if expressly confirmed and ratified in writing by each of them. The Holder Representative shall, in its capacity as such, have no liability to any Holder with respect to actions taken or omitted to be taken in their capacity as the Holder Representative, except that the Holder Representative will be liable for its willful misconduct or actual fraud, as finally determined by a court of competent jurisdiction from which no further appeal may be taken. The Holder Representative shall at all times be entitled to rely on any directions received from the Majority Holders;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Holder Representative shall not be required to follow any such direction, and shall be under no obligation to take any action in its capacity as the Holder Representative, unless the Holder Representative has been provided with other funds, security or indemnities which, in the sole determination of the Holder Representative, are sufficient to protect the Holder Representative against the costs, expenses and liabilities which may be incurred by the Holder Representative in responding to such direction or taking such action. At no cost to Parent, the Company or the Trustee, the Holder Representative shall be entitled to engage such counsel, experts and other agents and consultants as it shall deem necessary in connection with exercising its powers and performing its function hereunder and the Holders (including any permitted transferees) agree by their acceptance of the CVRs that the Holder Representative shall be entitled to (in the absence of bad faith on the part of the Holder Representative) conclusively rely on the opinions and advice of such Persons. The Holder Representative shall be entitled to reimbursement for all reasonable expenses incurred or reasonably estimated to be incurred, disbursements and advances (including fees and disbursements of their counsel, experts and other agents and consultants) incurred by the Holder Representative in such capacity, and in the event of an Event of Default, and upon notice to the Trustee, such reimbursement shall be paid to the Holder Representative in accordance with Section 7.3 (it being understood that none of Parent, the Company or their respective Affiliates shall be responsible for such reimbursement). The Holder Representative shall be entitled to indemnification from the Holders against any loss, liability or expenses arising out of actions taken or omitted to be taken in its capacity as the Holder Representative (except for</w:t>
      </w:r>
    </w:p>
    <w:p>
      <w:pPr>
        <w:spacing w:after="0" w:line="12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711"/>
          </w:cols>
          <w:pgMar w:left="1089" w:top="252" w:right="1099" w:bottom="1440" w:gutter="0" w:footer="0" w:header="0"/>
        </w:sectPr>
      </w:pPr>
    </w:p>
    <w:bookmarkStart w:id="227" w:name="page228"/>
    <w:bookmarkEnd w:id="227"/>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those arising out of the Holder Representative’s gross negligence or willful misconduct), including the costs and expenses of investigation and defense of claims. Parent and the Company shall be able to rely conclusively (without liability) on any instructions given and actions taken by the Holder Representative as the instruction and decision of each Holder in all matters applicable to the Holder referred to herein. No Holder shall have any cause of action against Parent, the Company or the Trustee for any action taken by Parent, the Company or the Trustee in reliance upon the written instructions or decisions of the Holder Representative, or otherwise on account of payments or distributions made by or on behalf of Parent or the Trustee in accordance with the instructions of the Holder Representative. Each Holder by accepting the CVR, including any permitted transferee, acknowledges and agrees to the terms and conditions of this Section 10.1.</w:t>
      </w:r>
    </w:p>
    <w:p>
      <w:pPr>
        <w:spacing w:after="0" w:line="70" w:lineRule="exact"/>
        <w:rPr>
          <w:sz w:val="20"/>
          <w:szCs w:val="20"/>
          <w:color w:val="auto"/>
        </w:rPr>
      </w:pPr>
    </w:p>
    <w:p>
      <w:pPr>
        <w:jc w:val="both"/>
        <w:ind w:right="340" w:firstLine="397"/>
        <w:spacing w:after="0" w:line="263" w:lineRule="auto"/>
        <w:tabs>
          <w:tab w:leader="none" w:pos="613"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any action that may be taken by the Holder Representative (including the making of any consents or other agreements) under this CVR Agreement may instead by taken by the Majority Holders and in such case Parent shall be entitled to conclusively rely on the agreement or consent of the Majority Holders.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700"/>
          </w:cols>
          <w:pgMar w:left="1080" w:top="254" w:right="1119" w:bottom="1440" w:gutter="0" w:footer="0" w:header="0"/>
        </w:sectPr>
      </w:pPr>
    </w:p>
    <w:bookmarkStart w:id="228" w:name="page229"/>
    <w:bookmarkEnd w:id="228"/>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Parties hereto have caused this CVR Agreement to be duly executed, all as of the day and year first above written.</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ILLUMINA, INC.</w:t>
      </w:r>
    </w:p>
    <w:p>
      <w:pPr>
        <w:spacing w:after="0" w:line="1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as the Trustee</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as the Holder Representative</w:t>
      </w:r>
    </w:p>
    <w:p>
      <w:pPr>
        <w:spacing w:after="0" w:line="19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280"/>
          </w:cols>
          <w:pgMar w:left="1440" w:top="254" w:right="117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ANNEX A</w:t>
      </w:r>
    </w:p>
    <w:p>
      <w:pPr>
        <w:spacing w:after="0" w:line="199" w:lineRule="exact"/>
        <w:rPr>
          <w:sz w:val="20"/>
          <w:szCs w:val="20"/>
          <w:color w:val="auto"/>
        </w:rPr>
      </w:pPr>
    </w:p>
    <w:p>
      <w:pPr>
        <w:ind w:right="20" w:firstLine="388"/>
        <w:spacing w:after="0" w:line="258" w:lineRule="auto"/>
        <w:rPr>
          <w:sz w:val="20"/>
          <w:szCs w:val="20"/>
          <w:color w:val="auto"/>
        </w:rPr>
      </w:pPr>
      <w:r>
        <w:rPr>
          <w:rFonts w:ascii="Times New Roman" w:cs="Times New Roman" w:eastAsia="Times New Roman" w:hAnsi="Times New Roman"/>
          <w:sz w:val="16"/>
          <w:szCs w:val="16"/>
          <w:color w:val="auto"/>
        </w:rPr>
        <w:t>THIS CVR MAY NOT BE SOLD, ASSIGNED, TRANSFERRED, PLEDGED, ENCUMBERED OR IN ANY OTHER MANNER TRANSFERRED OR DISPOSED OF, IN WHOLE OR IN PART, OTHER THAN THROUGH A “PERMITTED TRANSFER” (AS DEFINED IN THE CVR AGREEMENT REFERRED TO HEREIN) IN COMPLIANCE WITH THE TERMS OF THE CVR CERTIFICATE AND APPLICABLE UNITED STATES FEDERAL AND STATE SECURITIES LAWS.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2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ILLUMINA, INC.</w:t>
            </w:r>
          </w:p>
        </w:tc>
        <w:tc>
          <w:tcPr>
            <w:tcW w:w="2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640" w:type="dxa"/>
            <w:vAlign w:val="bottom"/>
          </w:tcPr>
          <w:p>
            <w:pPr>
              <w:spacing w:after="0"/>
              <w:rPr>
                <w:sz w:val="18"/>
                <w:szCs w:val="18"/>
                <w:color w:val="auto"/>
              </w:rPr>
            </w:pPr>
          </w:p>
        </w:tc>
        <w:tc>
          <w:tcPr>
            <w:tcW w:w="46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Certificate for</w:t>
            </w:r>
          </w:p>
        </w:tc>
        <w:tc>
          <w:tcPr>
            <w:tcW w:w="29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w w:val="96"/>
              </w:rPr>
              <w:t>Contingent Value Rights</w:t>
            </w:r>
          </w:p>
        </w:tc>
      </w:tr>
      <w:tr>
        <w:trPr>
          <w:trHeight w:val="345"/>
        </w:trPr>
        <w:tc>
          <w:tcPr>
            <w:tcW w:w="15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This certifies that</w:t>
            </w:r>
          </w:p>
        </w:tc>
        <w:tc>
          <w:tcPr>
            <w:tcW w:w="640" w:type="dxa"/>
            <w:vAlign w:val="bottom"/>
          </w:tcPr>
          <w:p>
            <w:pPr>
              <w:spacing w:after="0"/>
              <w:rPr>
                <w:sz w:val="24"/>
                <w:szCs w:val="24"/>
                <w:color w:val="auto"/>
              </w:rPr>
            </w:pPr>
          </w:p>
        </w:tc>
        <w:tc>
          <w:tcPr>
            <w:tcW w:w="75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 or registered assigns (the “Holder”), is the registered holder of the number of Contingent Value Rights (“CVRs”) set</w:t>
            </w: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forth above. Each CVR entitles the Holder, subject to the provisions contained herein and in the CVR Agreement referred to on the reverse hereof, to payments from Illumina,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in an amounts and in the forms determined pursuant to the provisions set forth on the reverse hereof and as more fully described in the CVR Agreement referred to on the reverse hereof. Such payments shall be made on a Payment Date, as defined in the CVR Agreement referred to on the reverse hereof.</w:t>
      </w:r>
    </w:p>
    <w:p>
      <w:pPr>
        <w:spacing w:after="0" w:line="161" w:lineRule="exact"/>
        <w:rPr>
          <w:sz w:val="20"/>
          <w:szCs w:val="20"/>
          <w:color w:val="auto"/>
        </w:rPr>
      </w:pPr>
    </w:p>
    <w:p>
      <w:pPr>
        <w:ind w:right="140" w:firstLine="388"/>
        <w:spacing w:after="0" w:line="255" w:lineRule="auto"/>
        <w:rPr>
          <w:sz w:val="20"/>
          <w:szCs w:val="20"/>
          <w:color w:val="auto"/>
        </w:rPr>
      </w:pPr>
      <w:r>
        <w:rPr>
          <w:rFonts w:ascii="Times New Roman" w:cs="Times New Roman" w:eastAsia="Times New Roman" w:hAnsi="Times New Roman"/>
          <w:sz w:val="16"/>
          <w:szCs w:val="16"/>
          <w:color w:val="auto"/>
        </w:rPr>
        <w:t xml:space="preserve">Payment of any amounts pursuant to this CVR Certificate shall be made only to the registered Holder (as defined in the CVR Agreement) of this CVR Certificate. Such payment shall be made in the Borough of Manhattan, The City of New York, or at any other office or agency maintained by Parent for such purpose, in such coin or currency of the United States of America as at the time is legal tender for the payment of public and private debts;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Parent may pay such amounts by wire transfer or check payable in such money. [TRUSTEE] has been initially appointed as Paying Agent at its office or agency in the Borough of Manhattan, The City of New York.</w:t>
      </w:r>
    </w:p>
    <w:p>
      <w:pPr>
        <w:spacing w:after="0" w:line="165" w:lineRule="exact"/>
        <w:rPr>
          <w:sz w:val="20"/>
          <w:szCs w:val="20"/>
          <w:color w:val="auto"/>
        </w:rPr>
      </w:pPr>
    </w:p>
    <w:p>
      <w:pPr>
        <w:ind w:right="260" w:firstLine="388"/>
        <w:spacing w:after="0" w:line="278" w:lineRule="auto"/>
        <w:rPr>
          <w:sz w:val="20"/>
          <w:szCs w:val="20"/>
          <w:color w:val="auto"/>
        </w:rPr>
      </w:pPr>
      <w:r>
        <w:rPr>
          <w:rFonts w:ascii="Times New Roman" w:cs="Times New Roman" w:eastAsia="Times New Roman" w:hAnsi="Times New Roman"/>
          <w:sz w:val="16"/>
          <w:szCs w:val="16"/>
          <w:color w:val="auto"/>
        </w:rPr>
        <w:t>Reference is hereby made to the further provisions of this CVR Certificate set forth on the reverse hereof, which further provisions shall for all purposes have the same effect as if set forth at this place.</w:t>
      </w:r>
    </w:p>
    <w:p>
      <w:pPr>
        <w:spacing w:after="0" w:line="145" w:lineRule="exact"/>
        <w:rPr>
          <w:sz w:val="20"/>
          <w:szCs w:val="20"/>
          <w:color w:val="auto"/>
        </w:rPr>
      </w:pPr>
    </w:p>
    <w:p>
      <w:pPr>
        <w:ind w:right="240" w:firstLine="388"/>
        <w:spacing w:after="0" w:line="278" w:lineRule="auto"/>
        <w:rPr>
          <w:sz w:val="20"/>
          <w:szCs w:val="20"/>
          <w:color w:val="auto"/>
        </w:rPr>
      </w:pPr>
      <w:r>
        <w:rPr>
          <w:rFonts w:ascii="Times New Roman" w:cs="Times New Roman" w:eastAsia="Times New Roman" w:hAnsi="Times New Roman"/>
          <w:sz w:val="16"/>
          <w:szCs w:val="16"/>
          <w:color w:val="auto"/>
        </w:rPr>
        <w:t>Unless the certificate of authentication hereon has been duly executed by the Trustee referred to on the reverse hereof by manual signature, this CVR Certificate shall not be entitled to any benefit under the CVR Agreement, or be valid or obligatory for any purpose.</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WITNESS WHEREOF, Parent has caused this instrument to be duly executed.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Dated:</w:t>
            </w:r>
          </w:p>
        </w:tc>
        <w:tc>
          <w:tcPr>
            <w:tcW w:w="53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380" w:type="dxa"/>
            <w:vAlign w:val="bottom"/>
          </w:tcPr>
          <w:p>
            <w:pPr>
              <w:spacing w:after="0"/>
              <w:rPr>
                <w:sz w:val="17"/>
                <w:szCs w:val="17"/>
                <w:color w:val="auto"/>
              </w:rPr>
            </w:pPr>
          </w:p>
        </w:tc>
        <w:tc>
          <w:tcPr>
            <w:tcW w:w="53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By:</w:t>
            </w:r>
          </w:p>
        </w:tc>
      </w:tr>
      <w:tr>
        <w:trPr>
          <w:trHeight w:val="178"/>
        </w:trPr>
        <w:tc>
          <w:tcPr>
            <w:tcW w:w="4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3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6"/>
                <w:szCs w:val="16"/>
                <w:color w:val="auto"/>
              </w:rPr>
              <w:t>Name:</w:t>
            </w:r>
          </w:p>
        </w:tc>
      </w:tr>
      <w:tr>
        <w:trPr>
          <w:trHeight w:val="207"/>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Attest:</w:t>
            </w:r>
          </w:p>
        </w:tc>
        <w:tc>
          <w:tcPr>
            <w:tcW w:w="9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r>
      <w:tr>
        <w:trPr>
          <w:trHeight w:val="199"/>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Signature</w:t>
            </w:r>
          </w:p>
        </w:tc>
        <w:tc>
          <w:tcPr>
            <w:tcW w:w="980" w:type="dxa"/>
            <w:vAlign w:val="bottom"/>
          </w:tcPr>
          <w:p>
            <w:pPr>
              <w:spacing w:after="0"/>
              <w:rPr>
                <w:sz w:val="17"/>
                <w:szCs w:val="17"/>
                <w:color w:val="auto"/>
              </w:rPr>
            </w:pPr>
          </w:p>
        </w:tc>
        <w:tc>
          <w:tcPr>
            <w:tcW w:w="4360" w:type="dxa"/>
            <w:vAlign w:val="bottom"/>
          </w:tcPr>
          <w:p>
            <w:pPr>
              <w:spacing w:after="0"/>
              <w:rPr>
                <w:sz w:val="17"/>
                <w:szCs w:val="17"/>
                <w:color w:val="auto"/>
              </w:rPr>
            </w:pPr>
          </w:p>
        </w:tc>
      </w:tr>
    </w:tbl>
    <w:p>
      <w:pPr>
        <w:sectPr>
          <w:pgSz w:w="11900" w:h="16838" w:orient="portrait"/>
          <w:cols w:equalWidth="0" w:num="1">
            <w:col w:w="9720"/>
          </w:cols>
          <w:pgMar w:left="1080" w:top="252" w:right="109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[Form of Reverse of CVR Certificate]</w:t>
      </w:r>
    </w:p>
    <w:p>
      <w:pPr>
        <w:spacing w:after="0" w:line="197" w:lineRule="exact"/>
        <w:rPr>
          <w:sz w:val="20"/>
          <w:szCs w:val="20"/>
          <w:color w:val="auto"/>
        </w:rPr>
      </w:pPr>
    </w:p>
    <w:p>
      <w:pPr>
        <w:ind w:left="-40" w:right="20" w:firstLine="397"/>
        <w:spacing w:after="0" w:line="252" w:lineRule="auto"/>
        <w:tabs>
          <w:tab w:leader="none" w:pos="507"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CVR Certificate is issued under and in accordance with the Contingent Value Rights Agreement, dated as of [•] (the “</w:t>
      </w:r>
      <w:r>
        <w:rPr>
          <w:rFonts w:ascii="Times New Roman" w:cs="Times New Roman" w:eastAsia="Times New Roman" w:hAnsi="Times New Roman"/>
          <w:sz w:val="16"/>
          <w:szCs w:val="16"/>
          <w:u w:val="single" w:color="auto"/>
          <w:color w:val="auto"/>
        </w:rPr>
        <w:t>CVR Agreement</w:t>
      </w:r>
      <w:r>
        <w:rPr>
          <w:rFonts w:ascii="Times New Roman" w:cs="Times New Roman" w:eastAsia="Times New Roman" w:hAnsi="Times New Roman"/>
          <w:sz w:val="16"/>
          <w:szCs w:val="16"/>
          <w:color w:val="auto"/>
        </w:rPr>
        <w:t>”), among Parent and [•], a national banking association, as trustee (the “</w:t>
      </w:r>
      <w:r>
        <w:rPr>
          <w:rFonts w:ascii="Times New Roman" w:cs="Times New Roman" w:eastAsia="Times New Roman" w:hAnsi="Times New Roman"/>
          <w:sz w:val="16"/>
          <w:szCs w:val="16"/>
          <w:u w:val="single" w:color="auto"/>
          <w:color w:val="auto"/>
        </w:rPr>
        <w:t>Trustee</w:t>
      </w:r>
      <w:r>
        <w:rPr>
          <w:rFonts w:ascii="Times New Roman" w:cs="Times New Roman" w:eastAsia="Times New Roman" w:hAnsi="Times New Roman"/>
          <w:sz w:val="16"/>
          <w:szCs w:val="16"/>
          <w:color w:val="auto"/>
        </w:rPr>
        <w:t>,” which term includes any successor Trustee under the CVR Agreement), and [•], a [•], as Holder Representative (the “</w:t>
      </w:r>
      <w:r>
        <w:rPr>
          <w:rFonts w:ascii="Times New Roman" w:cs="Times New Roman" w:eastAsia="Times New Roman" w:hAnsi="Times New Roman"/>
          <w:sz w:val="16"/>
          <w:szCs w:val="16"/>
          <w:u w:val="single" w:color="auto"/>
          <w:color w:val="auto"/>
        </w:rPr>
        <w:t>Holder Representative</w:t>
      </w:r>
      <w:r>
        <w:rPr>
          <w:rFonts w:ascii="Times New Roman" w:cs="Times New Roman" w:eastAsia="Times New Roman" w:hAnsi="Times New Roman"/>
          <w:sz w:val="16"/>
          <w:szCs w:val="16"/>
          <w:color w:val="auto"/>
        </w:rPr>
        <w:t>”), and is subject to the terms and provisions contained in the CVR Agreement, to all of which terms and provisions the Holder of this CVR Certificate consents by acceptance hereof. The CVR Agreement is hereby incorporated herein by reference and made a part hereof. Reference is hereby made to the CVR Agreement for a full statement of the respective rights, limitations of rights, duties, obligations and immunities thereunder of Parent, the Trustee and the Holders of the CVRs. All capitalized terms used in this CVR Certificate without definition shall have the respective meanings ascribed to them in the CVR Agreement. Copies of the CVR Agreement can be obtained by contacting the Trustee.</w:t>
      </w:r>
    </w:p>
    <w:p>
      <w:pPr>
        <w:spacing w:after="0" w:line="168" w:lineRule="exact"/>
        <w:rPr>
          <w:rFonts w:ascii="Times New Roman" w:cs="Times New Roman" w:eastAsia="Times New Roman" w:hAnsi="Times New Roman"/>
          <w:sz w:val="16"/>
          <w:szCs w:val="16"/>
          <w:color w:val="auto"/>
        </w:rPr>
      </w:pPr>
    </w:p>
    <w:p>
      <w:pPr>
        <w:ind w:left="-40" w:right="180" w:firstLine="397"/>
        <w:spacing w:after="0" w:line="263" w:lineRule="auto"/>
        <w:tabs>
          <w:tab w:leader="none" w:pos="507"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each Covered Revenues Payment Date, Parent shall pay to the Holder hereof, for each CVR represented hereby, a Pro Rata Portion of the Covered Revenues Payment, if any, with respect to the Covered Revenues Measuring Period ended immediately prior to such Covered Revenues Payment Date.</w:t>
      </w:r>
    </w:p>
    <w:p>
      <w:pPr>
        <w:spacing w:after="0" w:line="156" w:lineRule="exact"/>
        <w:rPr>
          <w:rFonts w:ascii="Times New Roman" w:cs="Times New Roman" w:eastAsia="Times New Roman" w:hAnsi="Times New Roman"/>
          <w:sz w:val="16"/>
          <w:szCs w:val="16"/>
          <w:color w:val="auto"/>
        </w:rPr>
      </w:pPr>
    </w:p>
    <w:p>
      <w:pPr>
        <w:ind w:left="520" w:hanging="163"/>
        <w:spacing w:after="0"/>
        <w:tabs>
          <w:tab w:leader="none" w:pos="5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any conflict between this CVR Certificate and the CVR Agreement, the CVR Agreement shall govern and prevail.</w:t>
      </w:r>
    </w:p>
    <w:p>
      <w:pPr>
        <w:spacing w:after="0" w:line="196" w:lineRule="exact"/>
        <w:rPr>
          <w:rFonts w:ascii="Times New Roman" w:cs="Times New Roman" w:eastAsia="Times New Roman" w:hAnsi="Times New Roman"/>
          <w:sz w:val="16"/>
          <w:szCs w:val="16"/>
          <w:color w:val="auto"/>
        </w:rPr>
      </w:pPr>
    </w:p>
    <w:p>
      <w:pPr>
        <w:jc w:val="both"/>
        <w:ind w:left="-40" w:firstLine="397"/>
        <w:spacing w:after="0" w:line="258" w:lineRule="auto"/>
        <w:tabs>
          <w:tab w:leader="none" w:pos="507"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Covered Revenues Payment, if any, and interest thereon, if any, shall be payable by Parent in such coin or currency of the United States of America as at the time is legal tender for the payment of public and private debts; provided, however, Parent may pay such amounts by its check or wire transfer payable in such money. [TRUSTEE] has been initially appointed as Paying Agent at its office or agency in the Borough of Manhattan, The City of New York.</w:t>
      </w:r>
    </w:p>
    <w:p>
      <w:pPr>
        <w:spacing w:after="0" w:line="160" w:lineRule="exact"/>
        <w:rPr>
          <w:rFonts w:ascii="Times New Roman" w:cs="Times New Roman" w:eastAsia="Times New Roman" w:hAnsi="Times New Roman"/>
          <w:sz w:val="16"/>
          <w:szCs w:val="16"/>
          <w:color w:val="auto"/>
        </w:rPr>
      </w:pPr>
    </w:p>
    <w:p>
      <w:pPr>
        <w:jc w:val="both"/>
        <w:ind w:left="-40" w:right="120" w:firstLine="397"/>
        <w:spacing w:after="0" w:line="281" w:lineRule="auto"/>
        <w:tabs>
          <w:tab w:leader="none" w:pos="507"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where authorization and/or appearance of each of the Holders is required by applicable Law, if an Event of Default described above occurs and is continuing, then, and in each and every such case, either the Trustee or the Trustee upon the written request of the Majority Holders by notice in writing to Parent (and to the Trustee if given by the Majority Holders), shall bring suit to protect the rights of the Holders, including to obtain payment for any amounts then due and payable, which amounts shall bear interest at the Default Interest Rate until payment is made to the Trustee.</w:t>
      </w:r>
    </w:p>
    <w:p>
      <w:pPr>
        <w:spacing w:after="0" w:line="144" w:lineRule="exact"/>
        <w:rPr>
          <w:rFonts w:ascii="Times New Roman" w:cs="Times New Roman" w:eastAsia="Times New Roman" w:hAnsi="Times New Roman"/>
          <w:sz w:val="15"/>
          <w:szCs w:val="15"/>
          <w:color w:val="auto"/>
        </w:rPr>
      </w:pPr>
    </w:p>
    <w:p>
      <w:pPr>
        <w:ind w:left="-40" w:right="140" w:firstLine="397"/>
        <w:spacing w:after="0" w:line="263" w:lineRule="auto"/>
        <w:tabs>
          <w:tab w:leader="none" w:pos="507"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may not be sold, assigned, transferred, pledged, encumbered or in any other manner transferred or disposed of, in whole or in part, other than through a Permitted Transfer in compliance with the terms of the CVR Agreement and applicable United States federal and state securities Laws.</w:t>
      </w:r>
    </w:p>
    <w:p>
      <w:pPr>
        <w:spacing w:after="0" w:line="156" w:lineRule="exact"/>
        <w:rPr>
          <w:rFonts w:ascii="Times New Roman" w:cs="Times New Roman" w:eastAsia="Times New Roman" w:hAnsi="Times New Roman"/>
          <w:sz w:val="16"/>
          <w:szCs w:val="16"/>
          <w:color w:val="auto"/>
        </w:rPr>
      </w:pPr>
    </w:p>
    <w:p>
      <w:pPr>
        <w:ind w:left="-40" w:right="20" w:firstLine="397"/>
        <w:spacing w:after="0" w:line="252" w:lineRule="auto"/>
        <w:tabs>
          <w:tab w:leader="none" w:pos="507"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provided in the CVR Agreement and subject to certain limitations therein set forth, every request made to transfer a CVR must be in writing and accompanied by a written instrument of transfer and other requested documentation in form reasonably satisfactory to the Trustee and Parent, duly executed by the Holder thereof, and setting forth in reasonable detail the circumstances relating to the transfer. Upon receipt of such written notice and surrender for registration of transfer of the CVR Certificates, the Trustee shall, subject to its reasonable determination that the transfer instrument is in proper form, notify Parent that it has received such written notice. Upon receipt of such notice from the Trustee, Parent shall determine whether the transfer otherwise complies with the other terms and conditions of the CVR Agreement (including the provisions of Section 2.2(c) of the CVR Agreement), and if it determines that it does so comply, Parent shall instruct the Trustee in writing to, and the Trustee shall, upon surrender for registration of transfer of such CVR Certificate at the Corporate Trust Office, authenticate and deliver,</w:t>
      </w:r>
    </w:p>
    <w:p>
      <w:pPr>
        <w:sectPr>
          <w:pgSz w:w="11900" w:h="16838" w:orient="portrait"/>
          <w:cols w:equalWidth="0" w:num="1">
            <w:col w:w="9640"/>
          </w:cols>
          <w:pgMar w:left="1120" w:top="254" w:right="1139" w:bottom="1440" w:gutter="0" w:footer="0" w:header="0"/>
        </w:sectPr>
      </w:pPr>
    </w:p>
    <w:bookmarkStart w:id="231" w:name="page232"/>
    <w:bookmarkEnd w:id="231"/>
    <w:p>
      <w:pPr>
        <w:spacing w:after="0" w:line="28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the name of the designated transferee or transferees, one or more new CVR Certificates representing the same aggregate number of CVRs represented by the CVR Certificate so surrendered that are to be transferred and Parent shall execute and the Trustee shall authenticate and deliver, in the name of the transferor, one new CVR Certificate representing the aggregate number of CVRs represented by such CVR Certificate that are not to be transferred.</w:t>
      </w:r>
    </w:p>
    <w:p>
      <w:pPr>
        <w:spacing w:after="0" w:line="138" w:lineRule="exact"/>
        <w:rPr>
          <w:sz w:val="20"/>
          <w:szCs w:val="20"/>
          <w:color w:val="auto"/>
        </w:rPr>
      </w:pPr>
    </w:p>
    <w:p>
      <w:pPr>
        <w:ind w:right="60" w:firstLine="397"/>
        <w:spacing w:after="0" w:line="255" w:lineRule="auto"/>
        <w:tabs>
          <w:tab w:leader="none" w:pos="547"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option of the Holder, CVR Certificates may be exchanged for other CVR Certificates that represent in the aggregate the same number of CVRs as the CVR Certificates surrendered at the Corporate Trust Office. Every CVR presented or surrendered for exchange shall (if so required by Parent or the Trustee) be duly endorsed, or be accompanied by a written instrument of exchange in form satisfactory to Parent and the Trustee. Whenever any CVR Certificates are so surrendered for exchange, Parent shall execute, and the Trustee shall authenticate and deliver, the CVR Certificates which the Holder making the exchange is entitled to receive.</w:t>
      </w:r>
    </w:p>
    <w:p>
      <w:pPr>
        <w:spacing w:after="0" w:line="164" w:lineRule="exact"/>
        <w:rPr>
          <w:rFonts w:ascii="Times New Roman" w:cs="Times New Roman" w:eastAsia="Times New Roman" w:hAnsi="Times New Roman"/>
          <w:sz w:val="16"/>
          <w:szCs w:val="16"/>
          <w:color w:val="auto"/>
        </w:rPr>
      </w:pPr>
    </w:p>
    <w:p>
      <w:pPr>
        <w:ind w:right="220" w:firstLine="397"/>
        <w:spacing w:after="0" w:line="276" w:lineRule="auto"/>
        <w:tabs>
          <w:tab w:leader="none" w:pos="547"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the Trustee may require payment of a sum sufficient to cover any stamp or other Tax or charge that is imposed in connection with any such registration of transfer or exchange as provided for in Sections 2.6(b) and 2.6(c) of the CVR Agreement and described in clauses (7) and</w:t>
      </w:r>
    </w:p>
    <w:p>
      <w:pPr>
        <w:spacing w:after="0" w:line="1" w:lineRule="exact"/>
        <w:rPr>
          <w:rFonts w:ascii="Times New Roman" w:cs="Times New Roman" w:eastAsia="Times New Roman" w:hAnsi="Times New Roman"/>
          <w:sz w:val="15"/>
          <w:szCs w:val="15"/>
          <w:color w:val="auto"/>
        </w:rPr>
      </w:pPr>
    </w:p>
    <w:p>
      <w:pPr>
        <w:ind w:right="540" w:firstLine="9"/>
        <w:spacing w:after="0" w:line="256" w:lineRule="auto"/>
        <w:tabs>
          <w:tab w:leader="none" w:pos="225"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The Trustee shall have no duty or obligation to take any action under any section of the CVR Agreement that requires the payment of applicable Taxes or charges unless and until the Trustee is satisfied that all such Taxes or charges have been paid.</w:t>
      </w:r>
    </w:p>
    <w:p>
      <w:pPr>
        <w:spacing w:after="0" w:line="161" w:lineRule="exact"/>
        <w:rPr>
          <w:rFonts w:ascii="Times New Roman" w:cs="Times New Roman" w:eastAsia="Times New Roman" w:hAnsi="Times New Roman"/>
          <w:sz w:val="16"/>
          <w:szCs w:val="16"/>
          <w:color w:val="auto"/>
        </w:rPr>
      </w:pPr>
    </w:p>
    <w:p>
      <w:pPr>
        <w:jc w:val="both"/>
        <w:ind w:right="140" w:firstLine="397"/>
        <w:spacing w:after="0" w:line="263" w:lineRule="auto"/>
        <w:tabs>
          <w:tab w:leader="none" w:pos="626"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CVRs issued upon any registration of transfer or exchange of CVRs as provided for in the CVR Agreement shall be the valid obligations of Parent, evidencing the same rights, and entitled to the same benefits under the CVR Agreement, as the CVRs surrendered upon such registration of transfer or exchange.</w:t>
      </w:r>
    </w:p>
    <w:p>
      <w:pPr>
        <w:spacing w:after="0" w:line="156" w:lineRule="exact"/>
        <w:rPr>
          <w:rFonts w:ascii="Times New Roman" w:cs="Times New Roman" w:eastAsia="Times New Roman" w:hAnsi="Times New Roman"/>
          <w:sz w:val="16"/>
          <w:szCs w:val="16"/>
          <w:color w:val="auto"/>
        </w:rPr>
      </w:pPr>
    </w:p>
    <w:p>
      <w:pPr>
        <w:ind w:right="240" w:firstLine="397"/>
        <w:spacing w:after="0" w:line="278" w:lineRule="auto"/>
        <w:tabs>
          <w:tab w:leader="none" w:pos="62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Parent nor the Trustee has any duty or obligation to the holder of this CVR Certificate, except as expressly set forth herein or in the CVR Agreement.</w:t>
      </w:r>
    </w:p>
    <w:p>
      <w:pPr>
        <w:spacing w:after="0" w:line="144" w:lineRule="exact"/>
        <w:rPr>
          <w:rFonts w:ascii="Times New Roman" w:cs="Times New Roman" w:eastAsia="Times New Roman" w:hAnsi="Times New Roman"/>
          <w:sz w:val="16"/>
          <w:szCs w:val="16"/>
          <w:color w:val="auto"/>
        </w:rPr>
      </w:pPr>
    </w:p>
    <w:p>
      <w:pPr>
        <w:ind w:left="640" w:hanging="243"/>
        <w:spacing w:after="0"/>
        <w:tabs>
          <w:tab w:leader="none" w:pos="640" w:val="left"/>
        </w:tabs>
        <w:numPr>
          <w:ilvl w:val="1"/>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ind w:right="100" w:firstLine="883"/>
        <w:spacing w:after="0" w:line="276" w:lineRule="auto"/>
        <w:tabs>
          <w:tab w:leader="none" w:pos="1089" w:val="left"/>
        </w:tabs>
        <w:numPr>
          <w:ilvl w:val="2"/>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to Trustee</w:t>
      </w:r>
      <w:r>
        <w:rPr>
          <w:rFonts w:ascii="Times New Roman" w:cs="Times New Roman" w:eastAsia="Times New Roman" w:hAnsi="Times New Roman"/>
          <w:sz w:val="15"/>
          <w:szCs w:val="15"/>
          <w:color w:val="auto"/>
        </w:rPr>
        <w:t>. If Parent elects to redeem CVRs pursuant to the optional redemption provisions of Section 9.5 of the CVR Agreement, it shall furnish to the Trustee, at least forty five (45) days (unless a shorter period shall be agreed to by the Trustee) but not more than sixty</w:t>
      </w:r>
    </w:p>
    <w:p>
      <w:pPr>
        <w:spacing w:after="0" w:line="1" w:lineRule="exact"/>
        <w:rPr>
          <w:rFonts w:ascii="Times New Roman" w:cs="Times New Roman" w:eastAsia="Times New Roman" w:hAnsi="Times New Roman"/>
          <w:sz w:val="15"/>
          <w:szCs w:val="15"/>
          <w:color w:val="auto"/>
        </w:rPr>
      </w:pPr>
    </w:p>
    <w:p>
      <w:pPr>
        <w:ind w:right="140" w:firstLine="9"/>
        <w:spacing w:after="0" w:line="252" w:lineRule="auto"/>
        <w:tabs>
          <w:tab w:leader="none" w:pos="304"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before a redemption date (but in any event prior to the notice provided pursuant to Section 9.2 of the CVR Agreement), an Officer’s Certificate setting forth (i) the clause of the CVR Agreement pursuant to which the redemption shall occur, (ii) the redemption date, (iii) the amount of CVRs to be redeemed and (iv) the redemption price.</w:t>
      </w:r>
    </w:p>
    <w:p>
      <w:pPr>
        <w:spacing w:after="0" w:line="69" w:lineRule="exact"/>
        <w:rPr>
          <w:rFonts w:ascii="Times New Roman" w:cs="Times New Roman" w:eastAsia="Times New Roman" w:hAnsi="Times New Roman"/>
          <w:sz w:val="16"/>
          <w:szCs w:val="16"/>
          <w:color w:val="auto"/>
        </w:rPr>
      </w:pPr>
    </w:p>
    <w:p>
      <w:pPr>
        <w:ind w:right="120" w:firstLine="883"/>
        <w:spacing w:after="0" w:line="263" w:lineRule="auto"/>
        <w:tabs>
          <w:tab w:leader="none" w:pos="1098" w:val="left"/>
        </w:tabs>
        <w:numPr>
          <w:ilvl w:val="2"/>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of Redemption. At least thirty (30) days but not more than sixty (60) days before a redemption date, Parent shall mail or cause to be mailed, by first-class mail, a notice of redemption to each Holder whose CVRs are to be redeemed at its registered address. The notice shall identify the amount of CVRs to be redeemed and shall state:</w:t>
      </w:r>
    </w:p>
    <w:p>
      <w:pPr>
        <w:spacing w:after="0" w:line="61" w:lineRule="exact"/>
        <w:rPr>
          <w:rFonts w:ascii="Times New Roman" w:cs="Times New Roman" w:eastAsia="Times New Roman" w:hAnsi="Times New Roman"/>
          <w:sz w:val="16"/>
          <w:szCs w:val="16"/>
          <w:color w:val="auto"/>
        </w:rPr>
      </w:pPr>
    </w:p>
    <w:p>
      <w:pPr>
        <w:ind w:left="1420" w:hanging="184"/>
        <w:spacing w:after="0"/>
        <w:tabs>
          <w:tab w:leader="none" w:pos="1420" w:val="left"/>
        </w:tabs>
        <w:numPr>
          <w:ilvl w:val="3"/>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date;</w:t>
      </w:r>
    </w:p>
    <w:p>
      <w:pPr>
        <w:spacing w:after="0" w:line="101" w:lineRule="exact"/>
        <w:rPr>
          <w:rFonts w:ascii="Times New Roman" w:cs="Times New Roman" w:eastAsia="Times New Roman" w:hAnsi="Times New Roman"/>
          <w:sz w:val="16"/>
          <w:szCs w:val="16"/>
          <w:color w:val="auto"/>
        </w:rPr>
      </w:pPr>
    </w:p>
    <w:p>
      <w:pPr>
        <w:ind w:left="1460" w:hanging="224"/>
        <w:spacing w:after="0"/>
        <w:tabs>
          <w:tab w:leader="none" w:pos="1460" w:val="left"/>
        </w:tabs>
        <w:numPr>
          <w:ilvl w:val="3"/>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price;</w:t>
      </w:r>
    </w:p>
    <w:p>
      <w:pPr>
        <w:spacing w:after="0" w:line="101" w:lineRule="exact"/>
        <w:rPr>
          <w:rFonts w:ascii="Times New Roman" w:cs="Times New Roman" w:eastAsia="Times New Roman" w:hAnsi="Times New Roman"/>
          <w:sz w:val="16"/>
          <w:szCs w:val="16"/>
          <w:color w:val="auto"/>
        </w:rPr>
      </w:pPr>
    </w:p>
    <w:p>
      <w:pPr>
        <w:ind w:left="1520" w:hanging="284"/>
        <w:spacing w:after="0"/>
        <w:tabs>
          <w:tab w:leader="none" w:pos="1520" w:val="left"/>
        </w:tabs>
        <w:numPr>
          <w:ilvl w:val="3"/>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w:t>
      </w:r>
    </w:p>
    <w:p>
      <w:pPr>
        <w:spacing w:after="0" w:line="101" w:lineRule="exact"/>
        <w:rPr>
          <w:rFonts w:ascii="Times New Roman" w:cs="Times New Roman" w:eastAsia="Times New Roman" w:hAnsi="Times New Roman"/>
          <w:sz w:val="16"/>
          <w:szCs w:val="16"/>
          <w:color w:val="auto"/>
        </w:rPr>
      </w:pPr>
    </w:p>
    <w:p>
      <w:pPr>
        <w:ind w:left="1500" w:hanging="264"/>
        <w:spacing w:after="0"/>
        <w:tabs>
          <w:tab w:leader="none" w:pos="1500" w:val="left"/>
        </w:tabs>
        <w:numPr>
          <w:ilvl w:val="3"/>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CVRs called for redemption must be surrendered to the Paying Agent to collect the redemption price;</w:t>
      </w:r>
    </w:p>
    <w:p>
      <w:pPr>
        <w:sectPr>
          <w:pgSz w:w="11900" w:h="16838" w:orient="portrait"/>
          <w:cols w:equalWidth="0" w:num="1">
            <w:col w:w="9700"/>
          </w:cols>
          <w:pgMar w:left="1080" w:top="254" w:right="1119" w:bottom="1440" w:gutter="0" w:footer="0" w:header="0"/>
        </w:sectPr>
      </w:pPr>
    </w:p>
    <w:bookmarkStart w:id="232" w:name="page233"/>
    <w:bookmarkEnd w:id="232"/>
    <w:p>
      <w:pPr>
        <w:jc w:val="both"/>
        <w:ind w:left="880" w:right="140" w:firstLine="356"/>
        <w:spacing w:after="0" w:line="263" w:lineRule="auto"/>
        <w:tabs>
          <w:tab w:leader="none" w:pos="1458"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that, unless Parent defaults in making such redemption payment, all right title and interest in and to the CVRs and any Covered Revenues Payment or any other amounts due under this CVR Agreement, if any, on CVRs called for redemption ceases to accrue on and after the redemption date;</w:t>
      </w:r>
    </w:p>
    <w:p>
      <w:pPr>
        <w:spacing w:after="0" w:line="61" w:lineRule="exact"/>
        <w:rPr>
          <w:rFonts w:ascii="Times New Roman" w:cs="Times New Roman" w:eastAsia="Times New Roman" w:hAnsi="Times New Roman"/>
          <w:sz w:val="16"/>
          <w:szCs w:val="16"/>
          <w:color w:val="auto"/>
        </w:rPr>
      </w:pPr>
    </w:p>
    <w:p>
      <w:pPr>
        <w:ind w:left="1500" w:hanging="264"/>
        <w:spacing w:after="0"/>
        <w:tabs>
          <w:tab w:leader="none" w:pos="150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clause of this CVR Agreement pursuant to which the CVRs called for redemption are being redeemed; and</w:t>
      </w:r>
    </w:p>
    <w:p>
      <w:pPr>
        <w:spacing w:after="0" w:line="101" w:lineRule="exact"/>
        <w:rPr>
          <w:rFonts w:ascii="Times New Roman" w:cs="Times New Roman" w:eastAsia="Times New Roman" w:hAnsi="Times New Roman"/>
          <w:sz w:val="16"/>
          <w:szCs w:val="16"/>
          <w:color w:val="auto"/>
        </w:rPr>
      </w:pPr>
    </w:p>
    <w:p>
      <w:pPr>
        <w:ind w:left="880" w:right="180" w:firstLine="356"/>
        <w:spacing w:after="0" w:line="278" w:lineRule="auto"/>
        <w:tabs>
          <w:tab w:leader="none" w:pos="1546"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representation is made as to the correctness or accuracy of the CUSIP and ISIN number, if any, listed in such notice or printed on the CVRs.</w:t>
      </w:r>
    </w:p>
    <w:p>
      <w:pPr>
        <w:spacing w:after="0" w:line="1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 xml:space="preserve">At Parent’s request, the Trustee shall give the notice of redemption in Parent’s name and at its expense;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Parent shall have delivered to the Trustee at least forty five (45) days (unless a shorter period shall be agreed to by the Trustee) but not more than sixty (60) days prior to the redemption date, an Officer’s Certificate requesting that the Trustee give such notice and setting forth the information to be stated in such notice as provided in the preceding paragraph.</w:t>
      </w:r>
    </w:p>
    <w:p>
      <w:pPr>
        <w:spacing w:after="0" w:line="66" w:lineRule="exact"/>
        <w:rPr>
          <w:sz w:val="20"/>
          <w:szCs w:val="20"/>
          <w:color w:val="auto"/>
        </w:rPr>
      </w:pPr>
    </w:p>
    <w:p>
      <w:pPr>
        <w:ind w:firstLine="883"/>
        <w:spacing w:after="0" w:line="258" w:lineRule="auto"/>
        <w:tabs>
          <w:tab w:leader="none" w:pos="1089"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Notice of Redemption</w:t>
      </w:r>
      <w:r>
        <w:rPr>
          <w:rFonts w:ascii="Times New Roman" w:cs="Times New Roman" w:eastAsia="Times New Roman" w:hAnsi="Times New Roman"/>
          <w:sz w:val="16"/>
          <w:szCs w:val="16"/>
          <w:color w:val="auto"/>
        </w:rPr>
        <w:t>. Once notice of redemption is mailed in accordance with Section 9.2 of the CVR Agreement, CVRs called for redemption shall become irrevocably due and payable on the redemption date at the redemption price. A notice of redemption shall be deemed to be given when mailed, whether or not the Holder receives the notice. In any event, failure to give such notice, or any defect in such notice, shall not affect the validity of the proceedings for the redemption of the CVRs held by Holders to whom such notice was properly given.</w:t>
      </w:r>
    </w:p>
    <w:p>
      <w:pPr>
        <w:spacing w:after="0" w:line="65" w:lineRule="exact"/>
        <w:rPr>
          <w:rFonts w:ascii="Times New Roman" w:cs="Times New Roman" w:eastAsia="Times New Roman" w:hAnsi="Times New Roman"/>
          <w:sz w:val="16"/>
          <w:szCs w:val="16"/>
          <w:color w:val="auto"/>
        </w:rPr>
      </w:pPr>
    </w:p>
    <w:p>
      <w:pPr>
        <w:jc w:val="both"/>
        <w:ind w:right="40" w:firstLine="883"/>
        <w:spacing w:after="0" w:line="258" w:lineRule="auto"/>
        <w:tabs>
          <w:tab w:leader="none" w:pos="1098"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Deposit of Redemption Price</w:t>
      </w:r>
      <w:r>
        <w:rPr>
          <w:rFonts w:ascii="Times New Roman" w:cs="Times New Roman" w:eastAsia="Times New Roman" w:hAnsi="Times New Roman"/>
          <w:sz w:val="16"/>
          <w:szCs w:val="16"/>
          <w:color w:val="auto"/>
        </w:rPr>
        <w:t>. On or one (1) Business Day prior to the redemption date, Parent shall deposit with the Trustee or with the Paying Agent (if different from the Trustee) money sufficient to pay the redemption price of all CVRs to be redeemed on that date. The Trustee or the paying agent shall promptly return to Parent any money deposited with the Trustee or the paying agent by Parent in excess of the amounts necessary to pay the redemption price of all CVRs to be redeemed.</w:t>
      </w:r>
    </w:p>
    <w:p>
      <w:pPr>
        <w:spacing w:after="0" w:line="16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If Parent complies with the provisions of the preceding paragraph, on and after the redemption or purchase date, as applicable, all right title and interest of a Holder to any Covered Revenues Payment, if any, shall cease to accrue on the CVRs called for redemption or subject to purchase. If any CVR called for redemption or subject to purchase shall not be so paid upon surrender for redemption or purchase because of the failure of Parent to comply with the preceding paragraph, interest shall be paid on the unpaid redemption price from the redemption date or purchase date, as applicable, until such redemption price is paid at the Default Interest Rate.</w:t>
      </w:r>
    </w:p>
    <w:p>
      <w:pPr>
        <w:spacing w:after="0" w:line="70" w:lineRule="exact"/>
        <w:rPr>
          <w:sz w:val="20"/>
          <w:szCs w:val="20"/>
          <w:color w:val="auto"/>
        </w:rPr>
      </w:pPr>
    </w:p>
    <w:p>
      <w:pPr>
        <w:ind w:right="20" w:firstLine="883"/>
        <w:spacing w:after="0" w:line="278" w:lineRule="auto"/>
        <w:tabs>
          <w:tab w:leader="none" w:pos="1089"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Optional Redemption by Parent</w:t>
      </w:r>
      <w:r>
        <w:rPr>
          <w:rFonts w:ascii="Times New Roman" w:cs="Times New Roman" w:eastAsia="Times New Roman" w:hAnsi="Times New Roman"/>
          <w:sz w:val="16"/>
          <w:szCs w:val="16"/>
          <w:color w:val="auto"/>
        </w:rPr>
        <w:t>. Parent may, at any time on and after the Redemption Eligibility Date, redeem all (but not less than all) of the outstanding CVRs at a cash redemption price equal to the Redemption Price.</w:t>
      </w:r>
    </w:p>
    <w:p>
      <w:pPr>
        <w:spacing w:after="0" w:line="145" w:lineRule="exact"/>
        <w:rPr>
          <w:sz w:val="20"/>
          <w:szCs w:val="20"/>
          <w:color w:val="auto"/>
        </w:rPr>
      </w:pPr>
    </w:p>
    <w:p>
      <w:pPr>
        <w:ind w:right="100" w:firstLine="883"/>
        <w:spacing w:after="0" w:line="278" w:lineRule="auto"/>
        <w:tabs>
          <w:tab w:leader="none" w:pos="1112"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including any permitted transferee, (by their acceptance of this CVR hereby) shall be deemed to have acknowledged the rights and privileges of the Holder Representative set forth in the CVR Agreement.</w:t>
      </w:r>
    </w:p>
    <w:p>
      <w:pPr>
        <w:sectPr>
          <w:pgSz w:w="11900" w:h="16838" w:orient="portrait"/>
          <w:cols w:equalWidth="0" w:num="1">
            <w:col w:w="9700"/>
          </w:cols>
          <w:pgMar w:left="1080" w:top="254" w:right="1119" w:bottom="1440" w:gutter="0" w:footer="0" w:header="0"/>
        </w:sectPr>
      </w:pPr>
    </w:p>
    <w:bookmarkStart w:id="233" w:name="page234"/>
    <w:bookmarkEnd w:id="233"/>
    <w:p>
      <w:pPr>
        <w:ind w:left="29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TRUSTEE’S CERTIFICATE OF AUTHENTICATION</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This is one of the CVR Certificates referred to in the within-mentioned CVR Agreement.</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as Trustee</w:t>
      </w:r>
    </w:p>
    <w:p>
      <w:pPr>
        <w:spacing w:after="0" w:line="180"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14605</wp:posOffset>
            </wp:positionV>
            <wp:extent cx="277304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73045" cy="7620"/>
                    </a:xfrm>
                    <a:prstGeom prst="rect">
                      <a:avLst/>
                    </a:prstGeom>
                    <a:noFill/>
                  </pic:spPr>
                </pic:pic>
              </a:graphicData>
            </a:graphic>
          </wp:anchor>
        </w:drawing>
      </w:r>
    </w:p>
    <w:p>
      <w:pPr>
        <w:spacing w:after="0" w:line="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color w:val="auto"/>
        </w:rPr>
        <w:t>Authorized Signatory</w:t>
      </w:r>
    </w:p>
    <w:p>
      <w:pPr>
        <w:sectPr>
          <w:pgSz w:w="11900" w:h="16838" w:orient="portrait"/>
          <w:cols w:equalWidth="0" w:num="1">
            <w:col w:w="9379"/>
          </w:cols>
          <w:pgMar w:left="1080" w:top="252" w:right="1440"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Conditions for Reporting Intended Tax Treatment</w:t>
      </w:r>
    </w:p>
    <w:p>
      <w:pPr>
        <w:spacing w:after="0" w:line="221" w:lineRule="exact"/>
        <w:rPr>
          <w:sz w:val="20"/>
          <w:szCs w:val="20"/>
          <w:color w:val="auto"/>
        </w:rPr>
      </w:pPr>
    </w:p>
    <w:p>
      <w:pPr>
        <w:ind w:left="380" w:right="180" w:hanging="371"/>
        <w:spacing w:after="0" w:line="263" w:lineRule="auto"/>
        <w:tabs>
          <w:tab w:leader="none" w:pos="3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and the Company has provided to Tax Counsel representations and warranties that the parties agree are customarily provided in connection with an opinion that a transaction is more likely than not to qualify as a “reorganization” within the meaning of Section 368(a)(1)(A) of the Code.</w:t>
      </w:r>
    </w:p>
    <w:p>
      <w:pPr>
        <w:spacing w:after="0" w:line="73" w:lineRule="exact"/>
        <w:rPr>
          <w:rFonts w:ascii="Times New Roman" w:cs="Times New Roman" w:eastAsia="Times New Roman" w:hAnsi="Times New Roman"/>
          <w:sz w:val="16"/>
          <w:szCs w:val="16"/>
          <w:color w:val="auto"/>
        </w:rPr>
      </w:pPr>
    </w:p>
    <w:p>
      <w:pPr>
        <w:ind w:left="380" w:hanging="371"/>
        <w:spacing w:after="0"/>
        <w:tabs>
          <w:tab w:leader="none" w:pos="3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Consideration Percentage is equal to or greater than 40%.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purposes of this Exhibit D:</w:t>
      </w:r>
    </w:p>
    <w:p>
      <w:pPr>
        <w:spacing w:after="0" w:line="102"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 Consideration Percentage</w:t>
      </w:r>
      <w:r>
        <w:rPr>
          <w:rFonts w:ascii="Times New Roman" w:cs="Times New Roman" w:eastAsia="Times New Roman" w:hAnsi="Times New Roman"/>
          <w:sz w:val="16"/>
          <w:szCs w:val="16"/>
          <w:color w:val="auto"/>
        </w:rPr>
        <w:t>” means the fraction, expressed as a percentage, the numerator of which is the Total Share Consideration and the denominator of which is the Total Consideration.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Share Consideration</w:t>
      </w:r>
      <w:r>
        <w:rPr>
          <w:rFonts w:ascii="Times New Roman" w:cs="Times New Roman" w:eastAsia="Times New Roman" w:hAnsi="Times New Roman"/>
          <w:sz w:val="16"/>
          <w:szCs w:val="16"/>
          <w:color w:val="auto"/>
        </w:rPr>
        <w:t xml:space="preserve">” means the Parent-owned Stock Consideration Value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Shareholder-owned Stock Consideration Value.</w:t>
      </w:r>
    </w:p>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Total Consideration</w:t>
      </w:r>
      <w:r>
        <w:rPr>
          <w:rFonts w:ascii="Times New Roman" w:cs="Times New Roman" w:eastAsia="Times New Roman" w:hAnsi="Times New Roman"/>
          <w:sz w:val="16"/>
          <w:szCs w:val="16"/>
          <w:color w:val="auto"/>
        </w:rPr>
        <w:t xml:space="preserve">” means (i) the Total Share Consideration,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 the number of CVRs issued pursuant to Section 2.04(a) in respect of Shareholder-owned Company Stock times the CVR Value,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(iii) the aggregate Cash Consideration issued pursuant to Section 2.04(a) in respect of Shareholder-Owned Company Stock,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(iv) the value of Alternative Consideration (other than the Parent Common Stock, if any, included in the Alternative Consideration) issued pursuant to Section 2.04(a) in respect of Shareholder-owned Company Stock,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(v) the number of Parent-owned New Stock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Deemed Company Stock Value,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(vi) the number of Appraisal Shares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Deemed Company Stock Value, </w:t>
      </w:r>
      <w:r>
        <w:rPr>
          <w:rFonts w:ascii="Times New Roman" w:cs="Times New Roman" w:eastAsia="Times New Roman" w:hAnsi="Times New Roman"/>
          <w:sz w:val="16"/>
          <w:szCs w:val="16"/>
          <w:i w:val="1"/>
          <w:iCs w:val="1"/>
          <w:color w:val="auto"/>
        </w:rPr>
        <w:t xml:space="preserve">plus </w:t>
      </w:r>
      <w:r>
        <w:rPr>
          <w:rFonts w:ascii="Times New Roman" w:cs="Times New Roman" w:eastAsia="Times New Roman" w:hAnsi="Times New Roman"/>
          <w:sz w:val="16"/>
          <w:szCs w:val="16"/>
          <w:color w:val="auto"/>
        </w:rPr>
        <w:t>(vii) the aggregate amount of the Continuation Payments made pursuant to Section 9.04.</w:t>
      </w:r>
    </w:p>
    <w:p>
      <w:pPr>
        <w:spacing w:after="0" w:line="167"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Outstanding Company Stock</w:t>
      </w:r>
      <w:r>
        <w:rPr>
          <w:rFonts w:ascii="Times New Roman" w:cs="Times New Roman" w:eastAsia="Times New Roman" w:hAnsi="Times New Roman"/>
          <w:sz w:val="16"/>
          <w:szCs w:val="16"/>
          <w:color w:val="auto"/>
        </w:rPr>
        <w:t>” means the Company Stock issued and outstanding immediately prior to the Effective Time (other than any shares of Company Stock to be canceled or converted pursuant to Section 2.04(c)).</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Parent-owned Company Stock</w:t>
      </w:r>
      <w:r>
        <w:rPr>
          <w:rFonts w:ascii="Times New Roman" w:cs="Times New Roman" w:eastAsia="Times New Roman" w:hAnsi="Times New Roman"/>
          <w:sz w:val="16"/>
          <w:szCs w:val="16"/>
          <w:color w:val="auto"/>
        </w:rPr>
        <w:t>” means the Company Stock owned by Parent immediately prior to the Effective Time.</w:t>
      </w:r>
    </w:p>
    <w:p>
      <w:pPr>
        <w:spacing w:after="0" w:line="197"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Parent-owned New Stock</w:t>
      </w:r>
      <w:r>
        <w:rPr>
          <w:rFonts w:ascii="Times New Roman" w:cs="Times New Roman" w:eastAsia="Times New Roman" w:hAnsi="Times New Roman"/>
          <w:sz w:val="16"/>
          <w:szCs w:val="16"/>
          <w:color w:val="auto"/>
        </w:rPr>
        <w:t>” means 11,746,280 shares of Company Series D Preferred Stock purchased by Parent from the Company on April 17, 2020, and owned by Parent immediately prior to the Effective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Parent-owned Old Stock</w:t>
      </w:r>
      <w:r>
        <w:rPr>
          <w:rFonts w:ascii="Times New Roman" w:cs="Times New Roman" w:eastAsia="Times New Roman" w:hAnsi="Times New Roman"/>
          <w:sz w:val="16"/>
          <w:szCs w:val="16"/>
          <w:color w:val="auto"/>
        </w:rPr>
        <w:t>” means the Parent-owned Company Stock other than the Parent-owned New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68008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3" w:lineRule="exact"/>
        <w:rPr>
          <w:sz w:val="20"/>
          <w:szCs w:val="20"/>
          <w:color w:val="auto"/>
        </w:rPr>
      </w:pPr>
    </w:p>
    <w:p>
      <w:pPr>
        <w:ind w:left="380" w:right="80" w:hanging="371"/>
        <w:spacing w:after="0" w:line="207" w:lineRule="auto"/>
        <w:tabs>
          <w:tab w:leader="none" w:pos="380" w:val="left"/>
        </w:tabs>
        <w:numPr>
          <w:ilvl w:val="0"/>
          <w:numId w:val="2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This term is intended to exclude any shares of Company Stock owned or deemed to be owned or received by any person by reason of holding any Company Equity Award.</w:t>
      </w:r>
    </w:p>
    <w:p>
      <w:pPr>
        <w:sectPr>
          <w:pgSz w:w="11900" w:h="16838" w:orient="portrait"/>
          <w:cols w:equalWidth="0" w:num="1">
            <w:col w:w="9720"/>
          </w:cols>
          <w:pgMar w:left="1080" w:top="254" w:right="10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Shareholder-owned Company Stock</w:t>
      </w:r>
      <w:r>
        <w:rPr>
          <w:rFonts w:ascii="Times New Roman" w:cs="Times New Roman" w:eastAsia="Times New Roman" w:hAnsi="Times New Roman"/>
          <w:sz w:val="16"/>
          <w:szCs w:val="16"/>
          <w:color w:val="auto"/>
        </w:rPr>
        <w:t>” means the Outstanding Company Stock other than the Parent-owned Company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Parent-owned Stock Consideration Value</w:t>
      </w:r>
      <w:r>
        <w:rPr>
          <w:rFonts w:ascii="Times New Roman" w:cs="Times New Roman" w:eastAsia="Times New Roman" w:hAnsi="Times New Roman"/>
          <w:sz w:val="16"/>
          <w:szCs w:val="16"/>
          <w:color w:val="auto"/>
        </w:rPr>
        <w:t xml:space="preserve">” means the number of shares of Parent-owned Old Stock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Deemed Company Stock Value.</w:t>
      </w:r>
    </w:p>
    <w:p>
      <w:pPr>
        <w:spacing w:after="0" w:line="19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Shareholder-owned Stock Consideration Value</w:t>
      </w:r>
      <w:r>
        <w:rPr>
          <w:rFonts w:ascii="Times New Roman" w:cs="Times New Roman" w:eastAsia="Times New Roman" w:hAnsi="Times New Roman"/>
          <w:sz w:val="16"/>
          <w:szCs w:val="16"/>
          <w:color w:val="auto"/>
        </w:rPr>
        <w:t xml:space="preserve">” means (i) the aggregate number of shares of Parent Common Stock issued pursuant to Section 2.04(a) (including shares of Parent Stock, if any, issued as Alternative Consideration) in respect of Shareholder-owned Company Stock, without regard to Section 3.02(e),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(ii) the Parent Stock Price.</w:t>
      </w:r>
    </w:p>
    <w:p>
      <w:pPr>
        <w:spacing w:after="0" w:line="15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Deemed Company Stock Value</w:t>
      </w:r>
      <w:r>
        <w:rPr>
          <w:rFonts w:ascii="Times New Roman" w:cs="Times New Roman" w:eastAsia="Times New Roman" w:hAnsi="Times New Roman"/>
          <w:sz w:val="16"/>
          <w:szCs w:val="16"/>
          <w:color w:val="auto"/>
        </w:rPr>
        <w:t>” means the value of the Cash &amp; Stock Consideration (valuing Parent Common Stock at the Parent Stock Price), without regard to Section 3.02(e).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Value</w:t>
      </w:r>
      <w:r>
        <w:rPr>
          <w:rFonts w:ascii="Times New Roman" w:cs="Times New Roman" w:eastAsia="Times New Roman" w:hAnsi="Times New Roman"/>
          <w:sz w:val="16"/>
          <w:szCs w:val="16"/>
          <w:color w:val="auto"/>
        </w:rPr>
        <w:t>” means the fair market value of a CVR as of the Closing Date, as determined by Parent for purposes of Parent’s financial statements.</w:t>
      </w:r>
    </w:p>
    <w:p>
      <w:pPr>
        <w:spacing w:after="0" w:line="19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Stock Price</w:t>
      </w:r>
      <w:r>
        <w:rPr>
          <w:rFonts w:ascii="Times New Roman" w:cs="Times New Roman" w:eastAsia="Times New Roman" w:hAnsi="Times New Roman"/>
          <w:sz w:val="16"/>
          <w:szCs w:val="16"/>
          <w:color w:val="auto"/>
        </w:rPr>
        <w:t>” means the average of the volume weighted averages of the trading prices of Parent Common Stock on the NASDAQ (as reported by Bloomberg L.P. or, if not reported therein, in another authoritative source mutually selected by the parties) on the Closing Date (rounded to four decimal places).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Counsel</w:t>
      </w:r>
      <w:r>
        <w:rPr>
          <w:rFonts w:ascii="Times New Roman" w:cs="Times New Roman" w:eastAsia="Times New Roman" w:hAnsi="Times New Roman"/>
          <w:sz w:val="16"/>
          <w:szCs w:val="16"/>
          <w:color w:val="auto"/>
        </w:rPr>
        <w:t>” means Cravath, Swaine &amp; Moore LLP or any other nationally recognized law firm or accounting firm retained by Parent.</w:t>
      </w:r>
    </w:p>
    <w:p>
      <w:pPr>
        <w:sectPr>
          <w:pgSz w:w="11900" w:h="16838" w:orient="portrait"/>
          <w:cols w:equalWidth="0" w:num="1">
            <w:col w:w="9720"/>
          </w:cols>
          <w:pgMar w:left="1080" w:top="254" w:right="109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[GRAIL LETTERHEAD]</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2020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NOTICE OF EXERCISE OF THE DRAG-ALONG RIGHT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AMENDED AND RESTATED VOTING AGREEMENT</w:t>
      </w:r>
    </w:p>
    <w:p>
      <w:pPr>
        <w:spacing w:after="0" w:line="18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6"/>
          <w:szCs w:val="16"/>
          <w:color w:val="auto"/>
        </w:rPr>
        <w:t>Notice is hereby given to stockholders of GRAIL,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that at a meeting held on September 20, 2020, the Board of Directors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including both Preferred Directors (as defined in the certificate of incorporation of the Company), approved and declared advisable the entry by the Company into an Agreement and Plan of Merger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Illumina, Inc. (“</w:t>
      </w:r>
      <w:r>
        <w:rPr>
          <w:rFonts w:ascii="Times New Roman" w:cs="Times New Roman" w:eastAsia="Times New Roman" w:hAnsi="Times New Roman"/>
          <w:sz w:val="16"/>
          <w:szCs w:val="16"/>
          <w:u w:val="single" w:color="auto"/>
          <w:color w:val="auto"/>
        </w:rPr>
        <w:t>Illumina</w:t>
      </w:r>
      <w:r>
        <w:rPr>
          <w:rFonts w:ascii="Times New Roman" w:cs="Times New Roman" w:eastAsia="Times New Roman" w:hAnsi="Times New Roman"/>
          <w:sz w:val="16"/>
          <w:szCs w:val="16"/>
          <w:color w:val="auto"/>
        </w:rPr>
        <w:t>”), a Delaware corporation, SDG Ops, Inc.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 Delaware corporation and a wholly owned subsidiary of Illumina, and SDG Ops, LLC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a Delaware limited liability company and wholly owned subsidiary of Illumina, pursuant to which, subject to the satisfaction or waiver of certain conditions, First Merger Sub will merge with and into the Company, with the Company continuing as the surviving corporation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and as a wholly owned subsidiary of Illumina (the “</w:t>
      </w:r>
      <w:r>
        <w:rPr>
          <w:rFonts w:ascii="Times New Roman" w:cs="Times New Roman" w:eastAsia="Times New Roman" w:hAnsi="Times New Roman"/>
          <w:sz w:val="16"/>
          <w:szCs w:val="16"/>
          <w:u w:val="single" w:color="auto"/>
          <w:color w:val="auto"/>
        </w:rPr>
        <w:t>First Merger</w:t>
      </w:r>
      <w:r>
        <w:rPr>
          <w:rFonts w:ascii="Times New Roman" w:cs="Times New Roman" w:eastAsia="Times New Roman" w:hAnsi="Times New Roman"/>
          <w:sz w:val="16"/>
          <w:szCs w:val="16"/>
          <w:color w:val="auto"/>
        </w:rPr>
        <w:t>”), and immediately following the First Merger and as part of the same overall transaction as the First Merger, the Surviving Corporation will merge with and into Second Merger Sub, with Second Merger Sub continuing as the surviving entity and as a wholly owned subsidiary of Illumina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All of the members of the Board who were present at the meeting voted in favor of the Merger Agreement.</w:t>
      </w:r>
    </w:p>
    <w:p>
      <w:pPr>
        <w:spacing w:after="0" w:line="17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In connection with such approval, the Board approved the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including the Mergers, as a “Sale of the Company” pursuant to Section 2.2 of the Amended and Restated Voting Agreement dated as of November 27, 2019 (as amended, the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by and among the Company and certain stockholders of the Company party thereto, and specified that Section 2 of the Voting Agreement shall apply to the Transactions, including the Mergers.</w:t>
      </w:r>
    </w:p>
    <w:p>
      <w:pPr>
        <w:spacing w:after="0" w:line="16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5"/>
          <w:szCs w:val="15"/>
          <w:color w:val="auto"/>
        </w:rPr>
        <w:t>Following the execution and delivery of the Merger Agreement by the Company, certain stockholders of the Company (such holders, the “</w:t>
      </w:r>
      <w:r>
        <w:rPr>
          <w:rFonts w:ascii="Times New Roman" w:cs="Times New Roman" w:eastAsia="Times New Roman" w:hAnsi="Times New Roman"/>
          <w:sz w:val="15"/>
          <w:szCs w:val="15"/>
          <w:u w:val="single" w:color="auto"/>
          <w:color w:val="auto"/>
        </w:rPr>
        <w:t>Selling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Investors</w:t>
      </w:r>
      <w:r>
        <w:rPr>
          <w:rFonts w:ascii="Times New Roman" w:cs="Times New Roman" w:eastAsia="Times New Roman" w:hAnsi="Times New Roman"/>
          <w:sz w:val="15"/>
          <w:szCs w:val="15"/>
          <w:color w:val="auto"/>
        </w:rPr>
        <w:t>”), collectively owning a majority of the shares of Class A Common Stock of the Company then issuable or previously issued upon conversion of the shares of Preferred Stock (as defined in the Company’s certificate of incorporation), approved in writing (a) the Merger Agreement and the Transactions, including the Mergers, for purposes of Section 2.2(ii) of the Voting Agreement, (b) the Transactions, including the Mergers, as a “Sale of the Company” pursuant to Section 2.2 of the Voting Agreement and the application of Section 2 of the Voting Agreement to the Transactions, including the Mergers, and (c) the appointment of Illumina as the Selling Investors’ designee to hold and have the sole power to exercise the proxy and power of attorney contemplated by Section 3.2 of the Voting Agreement in connection with the Transactions, including the Mergers.</w:t>
      </w:r>
    </w:p>
    <w:p>
      <w:pPr>
        <w:spacing w:after="0" w:line="15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6"/>
          <w:szCs w:val="16"/>
          <w:color w:val="auto"/>
        </w:rPr>
        <w:t>This letter constitutes notice in accordance with Section 6.7 of the Voting Agreement that, as of [•], 2020, the conditions specified in Section 2 of the Voting Agreement have been satisfied and Section 2 applies to the Transactions, including the Mergers. All parties to the Voting Agreement are obligated thereunder to, among other things, (i) vote all shares of capital stock of the Company held by such party in favor of, and to adopt, the Transactions, including the Mergers, and in opposition to any and all other proposals that could delay or impair the ability of the Company to consummate the Transactions, including the Mergers, (ii) execute and deliver all related documentation and take such other action in support of the Transactions, including the Mergers, as shall reasonably be requested by the Company or the Selling Investors to carry out the terms and provision of Section 2 of the Voting Agreement and (iii) refrain from exercising any dissenters’ rights or rights of appraisal under applicable law in connection with the Transactions, including the Mergers.</w:t>
      </w:r>
    </w:p>
    <w:p>
      <w:pPr>
        <w:sectPr>
          <w:pgSz w:w="11900" w:h="16838" w:orient="portrait"/>
          <w:cols w:equalWidth="0" w:num="1">
            <w:col w:w="9720"/>
          </w:cols>
          <w:pgMar w:left="1080" w:top="254" w:right="1099" w:bottom="1440" w:gutter="0" w:footer="0" w:header="0"/>
        </w:sectPr>
      </w:pPr>
    </w:p>
    <w:bookmarkStart w:id="237" w:name="page238"/>
    <w:bookmarkEnd w:id="237"/>
    <w:p>
      <w:pPr>
        <w:spacing w:after="0" w:line="316"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Please be advised that the Company intends to request stockholders’ adoption of the Merger Agreement and approval of the Transactions, including the Mergers, by consent. A Consent Solicitation Statement containing further details will be provided to stockholders at a later date.</w:t>
      </w:r>
    </w:p>
    <w:p>
      <w:pPr>
        <w:spacing w:after="0" w:line="1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Sincerely,</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[Copies (which shall not constitute notice)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McDonald Hopkins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 N. LaSalle St., Ste. 1400,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 60654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Jordan H. Koss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jkoss@mcdonaldhopkins.com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Proskauer Rose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International Place,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 02110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Ori Solomon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osolomon@proskauer.com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Ropes &amp; Gray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1900 University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 Palo Alto, CA 94303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Jason Freedman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jason.freedman@ropesgray.com]</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wp:posOffset>
            </wp:positionV>
            <wp:extent cx="68008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ind w:left="200" w:hanging="191"/>
        <w:spacing w:after="0"/>
        <w:tabs>
          <w:tab w:leader="none" w:pos="200" w:val="left"/>
        </w:tabs>
        <w:numPr>
          <w:ilvl w:val="0"/>
          <w:numId w:val="2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included for all Investors listed on Schedule A to the Voting Agreement.</w:t>
      </w:r>
    </w:p>
    <w:p>
      <w:pPr>
        <w:sectPr>
          <w:pgSz w:w="11900" w:h="16838" w:orient="portrait"/>
          <w:cols w:equalWidth="0" w:num="1">
            <w:col w:w="9600"/>
          </w:cols>
          <w:pgMar w:left="1080" w:top="252" w:right="121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F</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SUPPORT AGREEMENT</w:t>
      </w:r>
    </w:p>
    <w:p>
      <w:pPr>
        <w:spacing w:after="0" w:line="197" w:lineRule="exact"/>
        <w:rPr>
          <w:sz w:val="20"/>
          <w:szCs w:val="20"/>
          <w:color w:val="auto"/>
        </w:rPr>
      </w:pPr>
    </w:p>
    <w:p>
      <w:pPr>
        <w:ind w:right="120" w:firstLine="388"/>
        <w:spacing w:after="0" w:line="278" w:lineRule="auto"/>
        <w:rPr>
          <w:sz w:val="20"/>
          <w:szCs w:val="20"/>
          <w:color w:val="auto"/>
        </w:rPr>
      </w:pPr>
      <w:r>
        <w:rPr>
          <w:rFonts w:ascii="Times New Roman" w:cs="Times New Roman" w:eastAsia="Times New Roman" w:hAnsi="Times New Roman"/>
          <w:sz w:val="16"/>
          <w:szCs w:val="16"/>
          <w:color w:val="auto"/>
        </w:rPr>
        <w:t>SUPPORT AGREEMENT (hereinafter referred to as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 among Illumina,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the undersigned stockholder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of GRAIL,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20" w:firstLine="388"/>
        <w:spacing w:after="0" w:line="252" w:lineRule="auto"/>
        <w:rPr>
          <w:sz w:val="20"/>
          <w:szCs w:val="20"/>
          <w:color w:val="auto"/>
        </w:rPr>
      </w:pPr>
      <w:r>
        <w:rPr>
          <w:rFonts w:ascii="Times New Roman" w:cs="Times New Roman" w:eastAsia="Times New Roman" w:hAnsi="Times New Roman"/>
          <w:sz w:val="16"/>
          <w:szCs w:val="16"/>
          <w:color w:val="auto"/>
        </w:rPr>
        <w:t>WHEREAS, the Company, Parent, SDG Ops, Inc., a Delaware corporation and wholly owned subsidiary of Parent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and SDG Ops, LLC, a Delaware limited liability company and wholly owned subsidiary of Parent (“</w:t>
      </w:r>
      <w:r>
        <w:rPr>
          <w:rFonts w:ascii="Times New Roman" w:cs="Times New Roman" w:eastAsia="Times New Roman" w:hAnsi="Times New Roman"/>
          <w:sz w:val="16"/>
          <w:szCs w:val="16"/>
          <w:u w:val="single" w:color="auto"/>
          <w:color w:val="auto"/>
        </w:rPr>
        <w:t>Second Merger Sub</w:t>
      </w:r>
      <w:r>
        <w:rPr>
          <w:rFonts w:ascii="Times New Roman" w:cs="Times New Roman" w:eastAsia="Times New Roman" w:hAnsi="Times New Roman"/>
          <w:sz w:val="16"/>
          <w:szCs w:val="16"/>
          <w:color w:val="auto"/>
        </w:rPr>
        <w:t>”), have entered into an Agreement and Plan of Merger dated as of September 20, 2020 (as it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which provides for, among other things, the merger of First Merger Sub with and into the Company, with the Company continuing as the surviving corporation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and immediately following the First Merger and as part of the same overall transaction as the First Merger, the Surviving Corporation will merge with and into Second Merger Sub, with Second Merger Sub being the surviving company of the Second Merger (the “</w:t>
      </w:r>
      <w:r>
        <w:rPr>
          <w:rFonts w:ascii="Times New Roman" w:cs="Times New Roman" w:eastAsia="Times New Roman" w:hAnsi="Times New Roman"/>
          <w:sz w:val="16"/>
          <w:szCs w:val="16"/>
          <w:u w:val="single" w:color="auto"/>
          <w:color w:val="auto"/>
        </w:rPr>
        <w:t>Second Merger</w:t>
      </w:r>
      <w:r>
        <w:rPr>
          <w:rFonts w:ascii="Times New Roman" w:cs="Times New Roman" w:eastAsia="Times New Roman" w:hAnsi="Times New Roman"/>
          <w:sz w:val="16"/>
          <w:szCs w:val="16"/>
          <w:color w:val="auto"/>
        </w:rPr>
        <w:t>” and, together with the First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and pursuant to which all shares of Company Stock issued and outstanding immediately prior to the Effective Time (other than as provided in Section 2.04(c) of the Merger Agreement and Appraisal Shares) will be converted into the right to receive the Merger Consideration;</w:t>
      </w:r>
    </w:p>
    <w:p>
      <w:pPr>
        <w:spacing w:after="0" w:line="165" w:lineRule="exact"/>
        <w:rPr>
          <w:sz w:val="20"/>
          <w:szCs w:val="20"/>
          <w:color w:val="auto"/>
        </w:rPr>
      </w:pPr>
    </w:p>
    <w:p>
      <w:pPr>
        <w:ind w:right="160" w:firstLine="388"/>
        <w:spacing w:after="0" w:line="278" w:lineRule="auto"/>
        <w:rPr>
          <w:sz w:val="20"/>
          <w:szCs w:val="20"/>
          <w:color w:val="auto"/>
        </w:rPr>
      </w:pPr>
      <w:r>
        <w:rPr>
          <w:rFonts w:ascii="Times New Roman" w:cs="Times New Roman" w:eastAsia="Times New Roman" w:hAnsi="Times New Roman"/>
          <w:sz w:val="16"/>
          <w:szCs w:val="16"/>
          <w:color w:val="auto"/>
        </w:rPr>
        <w:t>WHEREAS, the Stockholder Beneficially Owns and is entitled to vote (or direct the voting of) the number of shares of Company Stock set forth on Schedule 1(b) attached hereto; and</w:t>
      </w:r>
    </w:p>
    <w:p>
      <w:pPr>
        <w:spacing w:after="0" w:line="145" w:lineRule="exact"/>
        <w:rPr>
          <w:sz w:val="20"/>
          <w:szCs w:val="20"/>
          <w:color w:val="auto"/>
        </w:rPr>
      </w:pPr>
    </w:p>
    <w:p>
      <w:pPr>
        <w:jc w:val="both"/>
        <w:ind w:right="60" w:firstLine="388"/>
        <w:spacing w:after="0" w:line="263" w:lineRule="auto"/>
        <w:rPr>
          <w:sz w:val="20"/>
          <w:szCs w:val="20"/>
          <w:color w:val="auto"/>
        </w:rPr>
      </w:pPr>
      <w:r>
        <w:rPr>
          <w:rFonts w:ascii="Times New Roman" w:cs="Times New Roman" w:eastAsia="Times New Roman" w:hAnsi="Times New Roman"/>
          <w:sz w:val="16"/>
          <w:szCs w:val="16"/>
          <w:color w:val="auto"/>
        </w:rPr>
        <w:t>WHEREAS, Parent desires that the Stockholder agree, and the Stockholder is willing to agree, on the terms and subject to the conditions set forth herein, (i) to not Transfer (as defined below) the Covered Shares (as defined below), and (ii) to vote or consent with respect to all of the Covered Shares in a manner so as to facilitate the consummation of the Mergers and the other Transactions.</w:t>
      </w:r>
    </w:p>
    <w:p>
      <w:pPr>
        <w:spacing w:after="0" w:line="157" w:lineRule="exact"/>
        <w:rPr>
          <w:sz w:val="20"/>
          <w:szCs w:val="20"/>
          <w:color w:val="auto"/>
        </w:rPr>
      </w:pPr>
    </w:p>
    <w:p>
      <w:pPr>
        <w:ind w:right="260" w:firstLine="388"/>
        <w:spacing w:after="0" w:line="278" w:lineRule="auto"/>
        <w:rPr>
          <w:sz w:val="20"/>
          <w:szCs w:val="20"/>
          <w:color w:val="auto"/>
        </w:rPr>
      </w:pPr>
      <w:r>
        <w:rPr>
          <w:rFonts w:ascii="Times New Roman" w:cs="Times New Roman" w:eastAsia="Times New Roman" w:hAnsi="Times New Roman"/>
          <w:sz w:val="16"/>
          <w:szCs w:val="16"/>
          <w:color w:val="auto"/>
        </w:rPr>
        <w:t>NOW, THEREFORE, in consideration of the premises, and of the representations, warranties, covenants and agreements contained herein, and intending to be legally bound hereby, the parties hereto agree as follows:</w:t>
      </w:r>
    </w:p>
    <w:p>
      <w:pPr>
        <w:spacing w:after="0" w:line="50" w:lineRule="exact"/>
        <w:rPr>
          <w:sz w:val="20"/>
          <w:szCs w:val="20"/>
          <w:color w:val="auto"/>
        </w:rPr>
      </w:pPr>
    </w:p>
    <w:p>
      <w:pPr>
        <w:ind w:right="760" w:firstLine="397"/>
        <w:spacing w:after="0" w:line="278" w:lineRule="auto"/>
        <w:tabs>
          <w:tab w:leader="none" w:pos="547"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defined herein shall have the respective meanings ascribed to them in the Merger Agreement. For all purposes of and under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firstLine="883"/>
        <w:spacing w:after="0" w:line="258" w:lineRule="auto"/>
        <w:tabs>
          <w:tab w:leader="none" w:pos="1090" w:val="left"/>
        </w:tabs>
        <w:numPr>
          <w:ilvl w:val="1"/>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Beneficially Own</w:t>
      </w:r>
      <w:r>
        <w:rPr>
          <w:rFonts w:ascii="Times New Roman" w:cs="Times New Roman" w:eastAsia="Times New Roman" w:hAnsi="Times New Roman"/>
          <w:sz w:val="16"/>
          <w:szCs w:val="16"/>
          <w:color w:val="auto"/>
        </w:rPr>
        <w:t>” 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sectPr>
          <w:pgSz w:w="11900" w:h="16838" w:orient="portrait"/>
          <w:cols w:equalWidth="0" w:num="1">
            <w:col w:w="9720"/>
          </w:cols>
          <w:pgMar w:left="1080" w:top="254" w:right="1099" w:bottom="1440" w:gutter="0" w:footer="0" w:header="0"/>
        </w:sectPr>
      </w:pPr>
    </w:p>
    <w:bookmarkStart w:id="239" w:name="page240"/>
    <w:bookmarkEnd w:id="239"/>
    <w:p>
      <w:pPr>
        <w:ind w:right="140" w:firstLine="883"/>
        <w:spacing w:after="0" w:line="274" w:lineRule="auto"/>
        <w:tabs>
          <w:tab w:leader="none" w:pos="1098" w:val="left"/>
        </w:tabs>
        <w:numPr>
          <w:ilvl w:val="1"/>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5"/>
          <w:szCs w:val="15"/>
          <w:u w:val="single" w:color="auto"/>
          <w:color w:val="auto"/>
        </w:rPr>
        <w:t>Covered Shares</w:t>
      </w:r>
      <w:r>
        <w:rPr>
          <w:rFonts w:ascii="Times New Roman" w:cs="Times New Roman" w:eastAsia="Times New Roman" w:hAnsi="Times New Roman"/>
          <w:sz w:val="15"/>
          <w:szCs w:val="15"/>
          <w:color w:val="auto"/>
        </w:rPr>
        <w:t>” means (i) all shares of Company Stock set forth opposite the Stockholder’s name on Schedule 1(b) attached hereto and (ii) all shares of Company Stock that the Stockholder comes to Beneficially Own during the period from the date of this Agreement through the Expiration Date, together with any voting securities or instruments of the Company, or other securities or interests exercisable for or convertible into shares of Company Stock or voting securities or instruments of the Company, that the Stockholder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the Company).</w:t>
      </w:r>
    </w:p>
    <w:p>
      <w:pPr>
        <w:spacing w:after="0" w:line="56" w:lineRule="exact"/>
        <w:rPr>
          <w:rFonts w:ascii="Times New Roman" w:cs="Times New Roman" w:eastAsia="Times New Roman" w:hAnsi="Times New Roman"/>
          <w:sz w:val="15"/>
          <w:szCs w:val="15"/>
          <w:color w:val="auto"/>
        </w:rPr>
      </w:pPr>
    </w:p>
    <w:p>
      <w:pPr>
        <w:ind w:left="1100" w:hanging="217"/>
        <w:spacing w:after="0"/>
        <w:tabs>
          <w:tab w:leader="none" w:pos="1100"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Expiration Date</w:t>
      </w:r>
      <w:r>
        <w:rPr>
          <w:rFonts w:ascii="Times New Roman" w:cs="Times New Roman" w:eastAsia="Times New Roman" w:hAnsi="Times New Roman"/>
          <w:sz w:val="16"/>
          <w:szCs w:val="16"/>
          <w:color w:val="auto"/>
        </w:rPr>
        <w:t>” means the earlier to occur of (i) the Effective Time and (ii) the termination of the Merger Agreement in accordance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its terms.</w:t>
      </w:r>
    </w:p>
    <w:p>
      <w:pPr>
        <w:spacing w:after="0" w:line="84" w:lineRule="exact"/>
        <w:rPr>
          <w:rFonts w:ascii="Times New Roman" w:cs="Times New Roman" w:eastAsia="Times New Roman" w:hAnsi="Times New Roman"/>
          <w:sz w:val="16"/>
          <w:szCs w:val="16"/>
          <w:color w:val="auto"/>
        </w:rPr>
      </w:pPr>
    </w:p>
    <w:p>
      <w:pPr>
        <w:ind w:right="440" w:firstLine="883"/>
        <w:spacing w:after="0" w:line="278" w:lineRule="auto"/>
        <w:tabs>
          <w:tab w:leader="none" w:pos="1098"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that the Stockholder sells, pledges, Encumbers, exchanges, assigns, grants an option with respect to, transfers, tenders or otherwise disposes of its Beneficial Ownership of Covered Shares.</w:t>
      </w:r>
    </w:p>
    <w:p>
      <w:pPr>
        <w:spacing w:after="0" w:line="144" w:lineRule="exact"/>
        <w:rPr>
          <w:rFonts w:ascii="Times New Roman" w:cs="Times New Roman" w:eastAsia="Times New Roman" w:hAnsi="Times New Roman"/>
          <w:sz w:val="16"/>
          <w:szCs w:val="16"/>
          <w:color w:val="auto"/>
        </w:rPr>
      </w:pPr>
    </w:p>
    <w:p>
      <w:pPr>
        <w:ind w:firstLine="397"/>
        <w:spacing w:after="0" w:line="250" w:lineRule="auto"/>
        <w:tabs>
          <w:tab w:leader="none" w:pos="547"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Not to Transfer or Encumber</w:t>
      </w:r>
      <w:r>
        <w:rPr>
          <w:rFonts w:ascii="Times New Roman" w:cs="Times New Roman" w:eastAsia="Times New Roman" w:hAnsi="Times New Roman"/>
          <w:sz w:val="16"/>
          <w:szCs w:val="16"/>
          <w:color w:val="auto"/>
        </w:rPr>
        <w:t xml:space="preserve">. The Stockholder hereby agrees that, from the date hereof until the Expiration Date, it shall not Transfer any Covered Shares, cause the conversion of any Covered Shares or deposit any Covered Shares into a voting trust or enter into any tender, voting or other agreement or arrangement with any Person with respect to any Covered Shares or grant a proxy or power of attorney with respect thereto (other than pursuant to this Agreement) or give instructions with respect to the voting of the Covered Shares in any manner that is inconsistent with this Agreement or otherwise take any other action with respect to the Covered Shares that would in any way restrict, limit or interfere with the performance by the Stockholder of its obligations hereunder or the transactions contemplated hereby, including the execution and delivery of the Written Consent approving the adoption of the Merger Agreement and approving the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the Stockholder may Transfer all or any portion of the Shares to one or more of its controlled Affiliates or a family member that, prior to such Transfer, executes and delivers to the Parent a written agreement, in form and substance reasonably acceptable to Parent, to assume all of the Stockholder’s obligations hereunder and to be bound by the terms of this Agreement to the same extent as the Stockholder is bound hereunder and to make each of the representations and warranties hereunder in respect of the Covered Shares transferred as the Stockholder shall have made hereunder. Notwithstanding the foregoing, following the receipt of the Company Stockholder Approvals, a Stockholder may cause the conversion of any shares of Company Class B Common Stock into shares of Company Class A Common Stock in accordance with the Company’s certificate of incorporation.</w:t>
      </w:r>
    </w:p>
    <w:p>
      <w:pPr>
        <w:spacing w:after="0" w:line="174" w:lineRule="exact"/>
        <w:rPr>
          <w:rFonts w:ascii="Times New Roman" w:cs="Times New Roman" w:eastAsia="Times New Roman" w:hAnsi="Times New Roman"/>
          <w:sz w:val="16"/>
          <w:szCs w:val="16"/>
          <w:color w:val="auto"/>
        </w:rPr>
      </w:pPr>
    </w:p>
    <w:p>
      <w:pPr>
        <w:ind w:left="560" w:hanging="163"/>
        <w:spacing w:after="0"/>
        <w:tabs>
          <w:tab w:leader="none" w:pos="56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Consent and Approve</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hereby agrees to refrain from modifying or amending in any manner, or waiving compliance of, the Voting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84" w:lineRule="exact"/>
        <w:rPr>
          <w:rFonts w:ascii="Times New Roman" w:cs="Times New Roman" w:eastAsia="Times New Roman" w:hAnsi="Times New Roman"/>
          <w:sz w:val="16"/>
          <w:szCs w:val="16"/>
          <w:color w:val="auto"/>
        </w:rPr>
      </w:pPr>
    </w:p>
    <w:p>
      <w:pPr>
        <w:ind w:right="60" w:firstLine="883"/>
        <w:spacing w:after="0" w:line="254" w:lineRule="auto"/>
        <w:tabs>
          <w:tab w:leader="none" w:pos="1098"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Stockholder hereby irrevocably and unconditionally agrees, promptly after the Registration Statement (which shall include the Consent Solicitation Statement) is declared effective by the SEC (and in any event within five Business Days after notification thereof to the Stockholder), to execute and deliver, or cause to be executed and delivered, a written consent substantially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Written Consent</w:t>
      </w:r>
      <w:r>
        <w:rPr>
          <w:rFonts w:ascii="Times New Roman" w:cs="Times New Roman" w:eastAsia="Times New Roman" w:hAnsi="Times New Roman"/>
          <w:sz w:val="16"/>
          <w:szCs w:val="16"/>
          <w:color w:val="auto"/>
        </w:rPr>
        <w:t>”) approving the adoption of the Merger Agreement and approving the Transactions, including the Mergers, with respect to all of the Stockholder’s Covered Shares. The Stockholder’s execution and delivery of the Written Consent shall be carried out in accordance with the DGCL and the organizational documents of the Company, so as to ensure that it is duly counted for purposes of recording the results of such consent.</w:t>
      </w:r>
    </w:p>
    <w:p>
      <w:pPr>
        <w:sectPr>
          <w:pgSz w:w="11900" w:h="16838" w:orient="portrait"/>
          <w:cols w:equalWidth="0" w:num="1">
            <w:col w:w="9680"/>
          </w:cols>
          <w:pgMar w:left="1080" w:top="254" w:right="1139" w:bottom="1440" w:gutter="0" w:footer="0" w:header="0"/>
        </w:sectPr>
      </w:pPr>
    </w:p>
    <w:bookmarkStart w:id="240" w:name="page241"/>
    <w:bookmarkEnd w:id="240"/>
    <w:p>
      <w:pPr>
        <w:ind w:left="-360" w:right="60" w:firstLine="883"/>
        <w:spacing w:after="0" w:line="252" w:lineRule="auto"/>
        <w:tabs>
          <w:tab w:leader="none" w:pos="73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Stockholder hereby irrevocably and unconditionally agrees that, from the date hereof until the Expiration Date, it shall vote or cause to be voted (including by written consent) all of the Stockholder’s Covered Shares (i) in favor of (A) the adoption of the Merger Agreement and the approval of the Transactions and (B) any amendment to the Company’s certificate of incorporation or Investor Agreements to the extent contemplated in Section 9.04 of the Merger Agreement and otherwise as is reasonably necessary to permit to, or assist the Company in, complying with its obligations under Section 9.04 of the Merger Agreement and (ii) against (A) any Competing Proposal; (B) any amendment of the organizational documents of the Company which would prevent or materially delay the consummation of the Transactions, including the Mergers; or (C) any other action, agreement or transaction involving the Company that would reasonably be expected to prevent or materially delay the consummation of the Transactions, including the Mergers.</w:t>
      </w:r>
    </w:p>
    <w:p>
      <w:pPr>
        <w:spacing w:after="0" w:line="72" w:lineRule="exact"/>
        <w:rPr>
          <w:rFonts w:ascii="Times New Roman" w:cs="Times New Roman" w:eastAsia="Times New Roman" w:hAnsi="Times New Roman"/>
          <w:sz w:val="16"/>
          <w:szCs w:val="16"/>
          <w:color w:val="auto"/>
        </w:rPr>
      </w:pPr>
    </w:p>
    <w:p>
      <w:pPr>
        <w:ind w:left="-360" w:right="40" w:firstLine="883"/>
        <w:spacing w:after="0" w:line="255" w:lineRule="auto"/>
        <w:tabs>
          <w:tab w:leader="none" w:pos="738"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agrees that, from the date hereof until the Expiration Date, in the event that a meeting of the stockholders of the Company is held regarding the Merger Agreement, the Transactions or any of the matters referred to in Section 3(c), it shall, or shall cause the holder of record of any of the Covered Shares of the Stockholder, as applicable, on any applicable record date to, be present in person or represented by proxy at such meeting or otherwise cause all of the Stockholder’s Covered Shares to be counted as present thereat for purposes of establishing a quorum, and shall vote all of the Stockholder’s Covered Shares at such meeting in accordance with Section 3(c).</w:t>
      </w:r>
    </w:p>
    <w:p>
      <w:pPr>
        <w:spacing w:after="0" w:line="69" w:lineRule="exact"/>
        <w:rPr>
          <w:rFonts w:ascii="Times New Roman" w:cs="Times New Roman" w:eastAsia="Times New Roman" w:hAnsi="Times New Roman"/>
          <w:sz w:val="16"/>
          <w:szCs w:val="16"/>
          <w:color w:val="auto"/>
        </w:rPr>
      </w:pPr>
    </w:p>
    <w:p>
      <w:pPr>
        <w:ind w:left="-360" w:firstLine="883"/>
        <w:spacing w:after="0" w:line="258" w:lineRule="auto"/>
        <w:tabs>
          <w:tab w:leader="none" w:pos="73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delivery of the Written Consent expressly contemplated by this Agreement, prior to the Expiration Date, the Stockholder shall not call, seek to call or request the call of any meeting of stockholders of the Company with respect to any matter relating to the Mergers or any other Transaction, or take any action by consent relating to the Mergers or any other Transaction, other than as expressly contemplated by Section 3(c), whether pursuant to the DGCL, the organizational documents of the Company or otherwise.</w:t>
      </w:r>
    </w:p>
    <w:p>
      <w:pPr>
        <w:spacing w:after="0" w:line="65" w:lineRule="exact"/>
        <w:rPr>
          <w:rFonts w:ascii="Times New Roman" w:cs="Times New Roman" w:eastAsia="Times New Roman" w:hAnsi="Times New Roman"/>
          <w:sz w:val="16"/>
          <w:szCs w:val="16"/>
          <w:color w:val="auto"/>
        </w:rPr>
      </w:pPr>
    </w:p>
    <w:p>
      <w:pPr>
        <w:ind w:left="-360" w:firstLine="883"/>
        <w:spacing w:after="0" w:line="258" w:lineRule="auto"/>
        <w:tabs>
          <w:tab w:leader="none" w:pos="71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in no event shall this Section 3 require or be construed so as to require the Stockholder to vote or cause to be voted (including by written consent) its Covered Shares in favor of or against any stockholder vote to approve “parachute payments” (within the meaning of Section 280G of the Internal Revenue Code of 1986, as amended, and the Treasury Regulations thereunder) solicited in connection with the Transaction.</w:t>
      </w:r>
    </w:p>
    <w:p>
      <w:pPr>
        <w:spacing w:after="0" w:line="65" w:lineRule="exact"/>
        <w:rPr>
          <w:rFonts w:ascii="Times New Roman" w:cs="Times New Roman" w:eastAsia="Times New Roman" w:hAnsi="Times New Roman"/>
          <w:sz w:val="16"/>
          <w:szCs w:val="16"/>
          <w:color w:val="auto"/>
        </w:rPr>
      </w:pPr>
    </w:p>
    <w:p>
      <w:pPr>
        <w:ind w:left="-360" w:right="40" w:firstLine="883"/>
        <w:spacing w:after="0" w:line="254" w:lineRule="auto"/>
        <w:tabs>
          <w:tab w:leader="none" w:pos="738"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in the event that a vote or consent of the stockholders of the Company is required in order to effect an amendment to the Merger Agreement that reduces the amount or changes the form of consideration payable in respect of each share of Company Capital Stock in the Mergers or otherwise amends the Merger Agreement in a manner adverse to the Stockholder (any such amendment, an “</w:t>
      </w:r>
      <w:r>
        <w:rPr>
          <w:rFonts w:ascii="Times New Roman" w:cs="Times New Roman" w:eastAsia="Times New Roman" w:hAnsi="Times New Roman"/>
          <w:sz w:val="16"/>
          <w:szCs w:val="16"/>
          <w:u w:val="single" w:color="auto"/>
          <w:color w:val="auto"/>
        </w:rPr>
        <w:t>Adverse Amendment</w:t>
      </w:r>
      <w:r>
        <w:rPr>
          <w:rFonts w:ascii="Times New Roman" w:cs="Times New Roman" w:eastAsia="Times New Roman" w:hAnsi="Times New Roman"/>
          <w:sz w:val="16"/>
          <w:szCs w:val="16"/>
          <w:color w:val="auto"/>
        </w:rPr>
        <w:t xml:space="preserve">”), the provisions of this Section 3 shall not apply with respect to the Stockholder’s vote or consent with respect to such Adverse Amendment (and the Stockholder shall not be required to vote or consent to such Adverse Amendment);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term “Adverse Amendments” shall not include the amendments contemplated in Section 3(c)(i)(B).</w:t>
      </w:r>
    </w:p>
    <w:p>
      <w:pPr>
        <w:sectPr>
          <w:pgSz w:w="11900" w:h="16838" w:orient="portrait"/>
          <w:cols w:equalWidth="0" w:num="1">
            <w:col w:w="9340"/>
          </w:cols>
          <w:pgMar w:left="1440" w:top="254" w:right="1119" w:bottom="1440" w:gutter="0" w:footer="0" w:header="0"/>
        </w:sectPr>
      </w:pPr>
    </w:p>
    <w:bookmarkStart w:id="241" w:name="page242"/>
    <w:bookmarkEnd w:id="241"/>
    <w:p>
      <w:pPr>
        <w:jc w:val="both"/>
        <w:ind w:left="-360" w:right="20" w:firstLine="397"/>
        <w:spacing w:after="0" w:line="263" w:lineRule="auto"/>
        <w:tabs>
          <w:tab w:leader="none" w:pos="187"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Voided Acts</w:t>
      </w:r>
      <w:r>
        <w:rPr>
          <w:rFonts w:ascii="Times New Roman" w:cs="Times New Roman" w:eastAsia="Times New Roman" w:hAnsi="Times New Roman"/>
          <w:sz w:val="16"/>
          <w:szCs w:val="16"/>
          <w:color w:val="auto"/>
        </w:rPr>
        <w:t xml:space="preserve">. Any (i) Transfer (or purported Transfer) in breach of this Agreement or (ii) attempt by the Stockholder to vote, or express consent or dissent with respect to (or otherwise to utilizing the voting power of), its Covered Shares in contravention of this Agreement shall be null and void </w:t>
      </w:r>
      <w:r>
        <w:rPr>
          <w:rFonts w:ascii="Times New Roman" w:cs="Times New Roman" w:eastAsia="Times New Roman" w:hAnsi="Times New Roman"/>
          <w:sz w:val="16"/>
          <w:szCs w:val="16"/>
          <w:i w:val="1"/>
          <w:iCs w:val="1"/>
          <w:color w:val="auto"/>
        </w:rPr>
        <w:t>ab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initio</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left="-360" w:firstLine="397"/>
        <w:spacing w:after="0" w:line="251" w:lineRule="auto"/>
        <w:tabs>
          <w:tab w:leader="none" w:pos="187"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Not to Solicit</w:t>
      </w:r>
      <w:r>
        <w:rPr>
          <w:rFonts w:ascii="Times New Roman" w:cs="Times New Roman" w:eastAsia="Times New Roman" w:hAnsi="Times New Roman"/>
          <w:sz w:val="16"/>
          <w:szCs w:val="16"/>
          <w:color w:val="auto"/>
        </w:rPr>
        <w:t>. The Stockholder agrees that it shall not, and shall cause each of the Stockholder’s controlled Affiliates not to, and shall instruct the Stockholder’s and the Stockholder’s controlled Affiliates’ Representatives not to, directly or indirectly, (a) solicit, initiate seek, or take any other action to facilitate or encourage the making, submission or announcement of any proposal that constitutes, or would be reasonably be expected to lead to, any Competing Proposal, (b) enter into, maintain, continue or participate in any discussions or negotiations with any Person or entity in furtherance of, or furnish to any Person any information or otherwise cooperate in any way with respect to, any Competing Proposal, (c) agree to, approve, endorse, recommend or consummate any Competing Proposal, (d) enter into, or propose to enter into, any Competing Transaction Agreement, or (e) resolve, propose or agree, or authorize or permit any Representative to do any of the foregoing. The Stockholder shall, shall cause its controlled Affiliates and use its reasonable best efforts to cause its Representatives to, immediately cease and cause to be terminated any discussions and negotiations with any Person conducted heretofore with respect to any Competing Proposal or proposal that would reasonably be expected to lead to a Competing Proposal.</w:t>
      </w:r>
    </w:p>
    <w:p>
      <w:pPr>
        <w:spacing w:after="0" w:line="170" w:lineRule="exact"/>
        <w:rPr>
          <w:rFonts w:ascii="Times New Roman" w:cs="Times New Roman" w:eastAsia="Times New Roman" w:hAnsi="Times New Roman"/>
          <w:sz w:val="16"/>
          <w:szCs w:val="16"/>
          <w:color w:val="auto"/>
        </w:rPr>
      </w:pPr>
    </w:p>
    <w:p>
      <w:pPr>
        <w:ind w:left="-360" w:right="100" w:firstLine="397"/>
        <w:spacing w:after="0" w:line="254" w:lineRule="auto"/>
        <w:tabs>
          <w:tab w:leader="none" w:pos="187"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Commencement or Participation in Actions</w:t>
      </w:r>
      <w:r>
        <w:rPr>
          <w:rFonts w:ascii="Times New Roman" w:cs="Times New Roman" w:eastAsia="Times New Roman" w:hAnsi="Times New Roman"/>
          <w:sz w:val="16"/>
          <w:szCs w:val="16"/>
          <w:color w:val="auto"/>
        </w:rPr>
        <w:t>. The Stockholder hereby agrees not to commence or join in, and to take all reasonable actions necessary to opt out of (if applicable), any Action against the Company and/or its directors and officers (for the avoidance of doubt, participating in the defense of such Action or any Action to enforce the Drag-Along is not prohibited by this Section 6) with respect to, any litigation (a) challenging the validity of, or seeking to enjoin the operation of, any provision of this Agreement or the Merger Agreement or the exercise of the Drag-Along in connection with the Transactions or (b) alleging a breach of any fiduciary duty of the Company Board or its members or any stockholder of the Company in connection with the Merger Agreement, the Transactions or the transactions contemplated hereby.</w:t>
      </w:r>
    </w:p>
    <w:p>
      <w:pPr>
        <w:spacing w:after="0" w:line="164" w:lineRule="exact"/>
        <w:rPr>
          <w:rFonts w:ascii="Times New Roman" w:cs="Times New Roman" w:eastAsia="Times New Roman" w:hAnsi="Times New Roman"/>
          <w:sz w:val="16"/>
          <w:szCs w:val="16"/>
          <w:color w:val="auto"/>
        </w:rPr>
      </w:pPr>
    </w:p>
    <w:p>
      <w:pPr>
        <w:ind w:left="-360" w:right="40" w:firstLine="397"/>
        <w:spacing w:after="0" w:line="263" w:lineRule="auto"/>
        <w:tabs>
          <w:tab w:leader="none" w:pos="187"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Appraisal Rights or Rights of Dissent</w:t>
      </w:r>
      <w:r>
        <w:rPr>
          <w:rFonts w:ascii="Times New Roman" w:cs="Times New Roman" w:eastAsia="Times New Roman" w:hAnsi="Times New Roman"/>
          <w:sz w:val="16"/>
          <w:szCs w:val="16"/>
          <w:color w:val="auto"/>
        </w:rPr>
        <w:t>. The Stockholder hereby waives, and agrees not to exercise or assert, any appraisal or dissenters’ rights it may have or could potentially have or acquire in connection with the Mergers under Section 262 of the DGCL and otherwise, whether or not the Stockholder has previously made a written demand upon the Company and otherwise complied with the appraisal rights provisions of the DGCL.</w:t>
      </w:r>
    </w:p>
    <w:p>
      <w:pPr>
        <w:sectPr>
          <w:pgSz w:w="11900" w:h="16838" w:orient="portrait"/>
          <w:cols w:equalWidth="0" w:num="1">
            <w:col w:w="9340"/>
          </w:cols>
          <w:pgMar w:left="1440" w:top="254" w:right="1119" w:bottom="1440" w:gutter="0" w:footer="0" w:header="0"/>
        </w:sectPr>
      </w:pPr>
    </w:p>
    <w:bookmarkStart w:id="242" w:name="page243"/>
    <w:bookmarkEnd w:id="242"/>
    <w:p>
      <w:pPr>
        <w:ind w:left="-9" w:right="100" w:firstLine="397"/>
        <w:spacing w:after="0" w:line="251" w:lineRule="auto"/>
        <w:tabs>
          <w:tab w:leader="none" w:pos="538"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Confidentiality</w:t>
      </w:r>
      <w:r>
        <w:rPr>
          <w:rFonts w:ascii="Times New Roman" w:cs="Times New Roman" w:eastAsia="Times New Roman" w:hAnsi="Times New Roman"/>
          <w:sz w:val="16"/>
          <w:szCs w:val="16"/>
          <w:color w:val="auto"/>
        </w:rPr>
        <w:t>. The Stockholder agrees that, for a period of two years following the Expiration Date, it shall not, and shall cause its Affiliates, directors, officers, employees and agents not to, divulge or convey to any third party any of the Company’s confidential information, other than: (i) any of the Company’s confidential information that is or becomes generally available to the public other than as a result of an act or omission by the Stockholder or its Affiliate, director, officer, employee or agent, (ii) any information that has been independently developed or conceived by the Stockholder or its Affiliates, director, officer, employee or agent, as applicable; or (iii) is or has been made known or disclosed to the Stockholder by a third party without a breach of any obligation of confidentiality such third party may have to the Company. Notwithstanding the foregoing, the Stockholder shall be permitted to make any such disclosure (a) to its directors, officers, employees and agents, as applicable, who reasonably need to know such information and who agree to keep such information confidential and are made aware of the Stockholder’s obligations of confidentiality under this Agreement and (b) to the extent requested by a Governmental Authority or required by Law or legal process (in which case the Stockholder will, to the extent reasonably practicable and legally permissible, provide Parent with advance notice of such required or requested disclosure, shall use commercially reasonable efforts to resist such disclosure, and, at the request of Parent, shall cooperate with Parent to, at Parent’s sole cost and expense, limit or prevent such disclosure).</w:t>
      </w:r>
    </w:p>
    <w:p>
      <w:pPr>
        <w:spacing w:after="0" w:line="166" w:lineRule="exact"/>
        <w:rPr>
          <w:rFonts w:ascii="Times New Roman" w:cs="Times New Roman" w:eastAsia="Times New Roman" w:hAnsi="Times New Roman"/>
          <w:sz w:val="16"/>
          <w:szCs w:val="16"/>
          <w:color w:val="auto"/>
        </w:rPr>
      </w:pPr>
    </w:p>
    <w:p>
      <w:pPr>
        <w:ind w:left="-9" w:right="100" w:firstLine="397"/>
        <w:spacing w:after="0" w:line="260" w:lineRule="auto"/>
        <w:tabs>
          <w:tab w:leader="none" w:pos="538"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The Stockholder is entering into this Agreement solely in its capacity as a Beneficial Owner of Covered Shares, and in this regard, the Stockholder shall not be deemed to make any agreement or understanding in this Agreement in the Stockholder’s capacity as a director or officer of the Company, including with respect to Section 7.02 of the Merger Agreement. The parties acknowledge and agree that nothing in this Agreement shall (i) restrict in any respect any actions taken by the Stockholder or its designee who is a director or officer of the Company in his or her capacity as a director or officer of the Company or (ii) be construed to prohibit, limit or restrict the Stockholder or its designee from exercising its fiduciary duties as a director or officer of the Company.]</w:t>
      </w:r>
      <w:r>
        <w:rPr>
          <w:rFonts w:ascii="Times New Roman" w:cs="Times New Roman" w:eastAsia="Times New Roman" w:hAnsi="Times New Roman"/>
          <w:sz w:val="23"/>
          <w:szCs w:val="23"/>
          <w:color w:val="auto"/>
          <w:vertAlign w:val="superscript"/>
        </w:rPr>
        <w:t>1</w:t>
      </w:r>
    </w:p>
    <w:p>
      <w:pPr>
        <w:spacing w:after="0" w:line="49" w:lineRule="exact"/>
        <w:rPr>
          <w:rFonts w:ascii="Times New Roman" w:cs="Times New Roman" w:eastAsia="Times New Roman" w:hAnsi="Times New Roman"/>
          <w:sz w:val="16"/>
          <w:szCs w:val="16"/>
          <w:color w:val="auto"/>
        </w:rPr>
      </w:pPr>
    </w:p>
    <w:p>
      <w:pPr>
        <w:ind w:left="631" w:hanging="243"/>
        <w:spacing w:after="0"/>
        <w:tabs>
          <w:tab w:leader="none" w:pos="631"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Irrevocable Proxy</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ind w:left="-9" w:firstLine="883"/>
        <w:spacing w:after="0" w:line="250" w:lineRule="auto"/>
        <w:tabs>
          <w:tab w:leader="none" w:pos="1081" w:val="left"/>
        </w:tabs>
        <w:numPr>
          <w:ilvl w:val="1"/>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Stockholder hereby irrevocably grants to, and appoints, Parent, and any individual designated in writing by Parent, and each of them individually, as the Stockholder’s proxy and attorney-in-fact (with full power of substitution), for and in the name, place and stead of the Stockholder, to vote the Stockholder’s Covered Shares, or execute a written consent or grant approval in respect of such Covered Shares, in a manner consistent with this Agreement from the date hereof until the Expiration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for the avoidance of doubt, that such proxy and voting and related rights are limited to those matters set forth in clauses (b)-(d) of Section 3, and the Stockholder shall retain at all times the right to vote the Stockholder’s Covered Shares (or to direct how such Covered Shares shall be voted) in the Stockholder’s sole discretion and without any other limitation on any matters not connected with the Transactions. The Stockholder understands and acknowledges that Parent has entered into the Merger Agreement in reliance upon the Stockholder’s execution and delivery of this Agreement. The Stockholder hereby affirms that the irrevocable proxy set forth in this Section 10(a) is given to secure the performance of the duties of the Stockholder under this Agreement. The Stockholder hereby further affirms that the irrevocable proxy is coupled with an interest sufficient in law and such irrevocable proxy is executed and intended to be irrevocable in accordance with applicable Law and Section 2.09 of the Company’s bylaws until, and shall not be terminated by operation of Law or upon the occurrence of any other event other than, the termination of this Agreement pursuant to Section 16. The Stockholder shall, upon written request by Parent, as promptly as practicable, execute and deliver to Parent a separate written instrument or proxy that embodies the terms of this irrevocable proxy set forth in this Section 10(a). The Stockholder agrees not to grant any proxy that conflicts with or is inconsistent with the proxy granted to Parent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8008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59" w:lineRule="exact"/>
        <w:rPr>
          <w:sz w:val="20"/>
          <w:szCs w:val="20"/>
          <w:color w:val="auto"/>
        </w:rPr>
      </w:pPr>
    </w:p>
    <w:p>
      <w:pPr>
        <w:ind w:left="191" w:hanging="191"/>
        <w:spacing w:after="0"/>
        <w:tabs>
          <w:tab w:leader="none" w:pos="191" w:val="left"/>
        </w:tabs>
        <w:numPr>
          <w:ilvl w:val="0"/>
          <w:numId w:val="2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included if applicable to the Stockholder.</w:t>
      </w:r>
    </w:p>
    <w:p>
      <w:pPr>
        <w:sectPr>
          <w:pgSz w:w="11900" w:h="16838" w:orient="portrait"/>
          <w:cols w:equalWidth="0" w:num="1">
            <w:col w:w="9711"/>
          </w:cols>
          <w:pgMar w:left="1089" w:top="254" w:right="1099" w:bottom="1440" w:gutter="0" w:footer="0" w:header="0"/>
        </w:sectPr>
      </w:pPr>
    </w:p>
    <w:bookmarkStart w:id="243" w:name="page244"/>
    <w:bookmarkEnd w:id="243"/>
    <w:p>
      <w:pPr>
        <w:ind w:left="-360" w:right="300" w:firstLine="883"/>
        <w:spacing w:after="0" w:line="263" w:lineRule="auto"/>
        <w:tabs>
          <w:tab w:leader="none" w:pos="738"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Stockholder hereby revokes (or agrees to cause to be revoked) any proxies that conflict with or are inconsistent with the proxy granted to Parent in this Agreement that the Stockholder has heretofore granted with respect to the Covered Shares Beneficially Owned by the Stockholder, other than any such proxy granted to Parent pursuant to the Voting Agreement.</w:t>
      </w:r>
    </w:p>
    <w:p>
      <w:pPr>
        <w:spacing w:after="0" w:line="156" w:lineRule="exact"/>
        <w:rPr>
          <w:rFonts w:ascii="Times New Roman" w:cs="Times New Roman" w:eastAsia="Times New Roman" w:hAnsi="Times New Roman"/>
          <w:sz w:val="16"/>
          <w:szCs w:val="16"/>
          <w:color w:val="auto"/>
        </w:rPr>
      </w:pPr>
    </w:p>
    <w:p>
      <w:pPr>
        <w:ind w:left="260" w:hanging="223"/>
        <w:spacing w:after="0"/>
        <w:tabs>
          <w:tab w:leader="none" w:pos="26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Parent</w:t>
      </w:r>
      <w:r>
        <w:rPr>
          <w:rFonts w:ascii="Times New Roman" w:cs="Times New Roman" w:eastAsia="Times New Roman" w:hAnsi="Times New Roman"/>
          <w:sz w:val="16"/>
          <w:szCs w:val="16"/>
          <w:color w:val="auto"/>
        </w:rPr>
        <w:t>. Parent hereby represents and warrants as follows:</w:t>
      </w:r>
    </w:p>
    <w:p>
      <w:pPr>
        <w:spacing w:after="0" w:line="101" w:lineRule="exact"/>
        <w:rPr>
          <w:rFonts w:ascii="Times New Roman" w:cs="Times New Roman" w:eastAsia="Times New Roman" w:hAnsi="Times New Roman"/>
          <w:sz w:val="16"/>
          <w:szCs w:val="16"/>
          <w:color w:val="auto"/>
        </w:rPr>
      </w:pPr>
    </w:p>
    <w:p>
      <w:pPr>
        <w:ind w:left="-360" w:right="300" w:firstLine="883"/>
        <w:spacing w:after="0" w:line="278" w:lineRule="auto"/>
        <w:tabs>
          <w:tab w:leader="none" w:pos="729"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and Qualification</w:t>
      </w:r>
      <w:r>
        <w:rPr>
          <w:rFonts w:ascii="Times New Roman" w:cs="Times New Roman" w:eastAsia="Times New Roman" w:hAnsi="Times New Roman"/>
          <w:sz w:val="16"/>
          <w:szCs w:val="16"/>
          <w:color w:val="auto"/>
        </w:rPr>
        <w:t>. Parent is a legal entity duly organized, validly existing and in good standing under the Laws of the jurisdiction of its incorporation.</w:t>
      </w:r>
    </w:p>
    <w:p>
      <w:pPr>
        <w:spacing w:after="0" w:line="47" w:lineRule="exact"/>
        <w:rPr>
          <w:rFonts w:ascii="Times New Roman" w:cs="Times New Roman" w:eastAsia="Times New Roman" w:hAnsi="Times New Roman"/>
          <w:sz w:val="16"/>
          <w:szCs w:val="16"/>
          <w:color w:val="auto"/>
        </w:rPr>
      </w:pPr>
    </w:p>
    <w:p>
      <w:pPr>
        <w:ind w:left="-360" w:firstLine="883"/>
        <w:spacing w:after="0" w:line="252" w:lineRule="auto"/>
        <w:tabs>
          <w:tab w:leader="none" w:pos="738"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 Binding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 Parent has all requisite power and authority to execute and deliver this Agreement, to perform its obligations hereunder and to consummate the transactions contemplated hereby, and (ii) the execution and delivery by Parent of this Agreement and the performance of Parent’s obligations and the consummation of the transactions contemplated hereby by Parent have been duly authorized by all necessary action, and no other actions on the part of Parent (or its board of directors or stockholders) are necessary to authorize or adopt this Agreement or to consummate the transactions contemplated by this Agreement. This Agreement has been duly executed and delivered by Parent, and, assuming this Agreement constitutes a valid and binding obligation of the Stockholder, constitutes a valid and binding obligation of Parent, enforceable against Parent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70" w:lineRule="exact"/>
        <w:rPr>
          <w:rFonts w:ascii="Times New Roman" w:cs="Times New Roman" w:eastAsia="Times New Roman" w:hAnsi="Times New Roman"/>
          <w:sz w:val="16"/>
          <w:szCs w:val="16"/>
          <w:color w:val="auto"/>
        </w:rPr>
      </w:pPr>
    </w:p>
    <w:p>
      <w:pPr>
        <w:ind w:left="-360" w:firstLine="883"/>
        <w:spacing w:after="0" w:line="256" w:lineRule="auto"/>
        <w:tabs>
          <w:tab w:leader="none" w:pos="729"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None of the execution and delivery by Parent of this Agreement, the performance by Parent of its obligations hereunder or the consummation by Parent of the transactions contemplated hereby does or would reasonably be expected to conflict with or result in a violation or breach of (i) Parent’s certificate of incorporation or bylaws, (ii) any other contract to which Parent is a party or by which Parent may be bound, except for violations, breaches or defaults that, individually or in the aggregate, would not reasonably be expected to in any material respect impair or adversely affect the ability of Parent to perform its obligations under this Agreement, or (iii) any Law applicable to Parent.</w:t>
      </w:r>
    </w:p>
    <w:p>
      <w:pPr>
        <w:sectPr>
          <w:pgSz w:w="11900" w:h="16838" w:orient="portrait"/>
          <w:cols w:equalWidth="0" w:num="1">
            <w:col w:w="9340"/>
          </w:cols>
          <w:pgMar w:left="1440" w:top="254" w:right="1119" w:bottom="1440" w:gutter="0" w:footer="0" w:header="0"/>
        </w:sectPr>
      </w:pPr>
    </w:p>
    <w:bookmarkStart w:id="244" w:name="page245"/>
    <w:bookmarkEnd w:id="244"/>
    <w:p>
      <w:pPr>
        <w:ind w:left="631" w:hanging="243"/>
        <w:spacing w:after="0"/>
        <w:tabs>
          <w:tab w:leader="none" w:pos="631"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Representations and Warranties of the Stockholder</w:t>
      </w:r>
      <w:r>
        <w:rPr>
          <w:rFonts w:ascii="Times New Roman" w:cs="Times New Roman" w:eastAsia="Times New Roman" w:hAnsi="Times New Roman"/>
          <w:sz w:val="16"/>
          <w:szCs w:val="16"/>
          <w:color w:val="auto"/>
        </w:rPr>
        <w:t>. The Stockholder hereby represents and warrants as follows:</w:t>
      </w:r>
    </w:p>
    <w:p>
      <w:pPr>
        <w:spacing w:after="0" w:line="101" w:lineRule="exact"/>
        <w:rPr>
          <w:rFonts w:ascii="Times New Roman" w:cs="Times New Roman" w:eastAsia="Times New Roman" w:hAnsi="Times New Roman"/>
          <w:sz w:val="16"/>
          <w:szCs w:val="16"/>
          <w:color w:val="auto"/>
        </w:rPr>
      </w:pPr>
    </w:p>
    <w:p>
      <w:pPr>
        <w:ind w:left="-9" w:right="340" w:firstLine="883"/>
        <w:spacing w:after="0" w:line="264" w:lineRule="auto"/>
        <w:tabs>
          <w:tab w:leader="none" w:pos="1081"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and Qualification</w:t>
      </w:r>
      <w:r>
        <w:rPr>
          <w:rFonts w:ascii="Times New Roman" w:cs="Times New Roman" w:eastAsia="Times New Roman" w:hAnsi="Times New Roman"/>
          <w:sz w:val="16"/>
          <w:szCs w:val="16"/>
          <w:color w:val="auto"/>
        </w:rPr>
        <w:t>. The Stockholder is a legal entity duly formed or organized (as applicable), validly existing and in good standing under the Laws of the jurisdiction in which it is formed or organized, as applicable.]</w:t>
      </w:r>
      <w:r>
        <w:rPr>
          <w:rFonts w:ascii="Times New Roman" w:cs="Times New Roman" w:eastAsia="Times New Roman" w:hAnsi="Times New Roman"/>
          <w:sz w:val="23"/>
          <w:szCs w:val="23"/>
          <w:color w:val="auto"/>
          <w:vertAlign w:val="superscript"/>
        </w:rPr>
        <w:t>2</w:t>
      </w:r>
    </w:p>
    <w:p>
      <w:pPr>
        <w:ind w:left="-9" w:right="80" w:firstLine="883"/>
        <w:spacing w:after="0" w:line="229" w:lineRule="auto"/>
        <w:tabs>
          <w:tab w:leader="none" w:pos="1089"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 Binding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Stockholder has full legal capacity, right and authority to execute and deliver this Agreement and to perform his or her obligations hereunder and consummate the transactions contemplated hereby.]</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color w:val="auto"/>
        </w:rPr>
        <w:t xml:space="preserve"> [(i) the Stockholder has all requisite power and authority to execute and deliver this Agreement, to perform the Stockholder’s obligations hereunder and to consummate the transactions contemplated hereby and (ii) the execution and delivery by the Stockholder of this Agreement and the performance of the Stockholder’s obligations and the consummation of the transactions contemplated hereby by the Stockholder have been duly authorized by all necessary action, and no other actions on the part of the Stockholder [(or its governing body, board of directors, members, partners, stockholders or trustees, as applicable)] are necessary to authorize or adopt this Agreement or to consummate the transactions contemplated by this Agreement.]</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6"/>
          <w:szCs w:val="16"/>
          <w:color w:val="auto"/>
        </w:rPr>
        <w:t xml:space="preserve"> This Agreement has been duly executed and delivered by the Stockholder, and, assuming this Agreement constitutes a valid and binding obligation of Parent, constitutes a valid and binding obligation of the Stockholder, enforceable against the Stockholder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84" w:lineRule="exact"/>
        <w:rPr>
          <w:rFonts w:ascii="Times New Roman" w:cs="Times New Roman" w:eastAsia="Times New Roman" w:hAnsi="Times New Roman"/>
          <w:sz w:val="16"/>
          <w:szCs w:val="16"/>
          <w:color w:val="auto"/>
        </w:rPr>
      </w:pPr>
    </w:p>
    <w:p>
      <w:pPr>
        <w:ind w:left="-9" w:firstLine="883"/>
        <w:spacing w:after="0"/>
        <w:tabs>
          <w:tab w:leader="none" w:pos="1081"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None of the execution and delivery by the Stockholder of this Agreement, the performance by the Stockholder of its obligations hereunder or the consummation by the Stockholder of the transactions contemplated hereby does or would reasonably be expected to conflict with or result in a violation or breach of, or in default under, [(i) the Stockholder’s articles or certificate of formation, incorporation or organization, operating agreement, bylaws or comparable organizational documents, as applicable, each in its currently effective form as amended from time to time,]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6"/>
          <w:szCs w:val="16"/>
          <w:color w:val="auto"/>
        </w:rPr>
        <w:t xml:space="preserve"> (ii) any [other] contract to which the Stockholder is a party or by which the Stockholder may be bound, including any voting agreement or voting trust, or (iii) any Law applicable to the Stockholder, except, in each case, for violations, breaches or defaults that, individually or in the aggregate, would not reasonably be expected to (x) in any material respect impair or adversely affect the ability of the Stockholder to perform its obligations under this Agreement on a timely basis or (y) prevent or materially delay the consummation of the Transactions. The execution, delivery and performance by the Stockholder of this Agreement, and the consummation by the Stockholder of the transactions contemplated hereby, require no consent or action by or in respect of, or filing with,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68008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64" w:lineRule="exact"/>
        <w:rPr>
          <w:sz w:val="20"/>
          <w:szCs w:val="20"/>
          <w:color w:val="auto"/>
        </w:rPr>
      </w:pPr>
    </w:p>
    <w:p>
      <w:pPr>
        <w:ind w:left="191" w:hanging="191"/>
        <w:spacing w:after="0"/>
        <w:tabs>
          <w:tab w:leader="none" w:pos="191" w:val="left"/>
        </w:tabs>
        <w:numPr>
          <w:ilvl w:val="0"/>
          <w:numId w:val="2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included if the Stockholder is not an individual.</w:t>
      </w:r>
    </w:p>
    <w:p>
      <w:pPr>
        <w:ind w:left="191" w:hanging="191"/>
        <w:spacing w:after="0" w:line="180" w:lineRule="auto"/>
        <w:tabs>
          <w:tab w:leader="none" w:pos="191" w:val="left"/>
        </w:tabs>
        <w:numPr>
          <w:ilvl w:val="0"/>
          <w:numId w:val="2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To be included if the Stockholder is an individual.</w:t>
      </w:r>
    </w:p>
    <w:p>
      <w:pPr>
        <w:ind w:left="191" w:hanging="191"/>
        <w:spacing w:after="0" w:line="181" w:lineRule="auto"/>
        <w:tabs>
          <w:tab w:leader="none" w:pos="191" w:val="left"/>
        </w:tabs>
        <w:numPr>
          <w:ilvl w:val="0"/>
          <w:numId w:val="2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To be included if the Stockholder is not an individual.</w:t>
      </w:r>
    </w:p>
    <w:p>
      <w:pPr>
        <w:ind w:left="191" w:hanging="191"/>
        <w:spacing w:after="0" w:line="180" w:lineRule="auto"/>
        <w:tabs>
          <w:tab w:leader="none" w:pos="191" w:val="left"/>
        </w:tabs>
        <w:numPr>
          <w:ilvl w:val="0"/>
          <w:numId w:val="2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To be included if the Stockholder is not an individual.</w:t>
      </w:r>
    </w:p>
    <w:p>
      <w:pPr>
        <w:sectPr>
          <w:pgSz w:w="11900" w:h="16838" w:orient="portrait"/>
          <w:cols w:equalWidth="0" w:num="1">
            <w:col w:w="9711"/>
          </w:cols>
          <w:pgMar w:left="1089" w:top="254" w:right="1099" w:bottom="1440" w:gutter="0" w:footer="0" w:header="0"/>
        </w:sectPr>
      </w:pPr>
    </w:p>
    <w:bookmarkStart w:id="245" w:name="page246"/>
    <w:bookmarkEnd w:id="245"/>
    <w:p>
      <w:pPr>
        <w:ind w:left="-360" w:firstLine="883"/>
        <w:spacing w:after="0" w:line="253" w:lineRule="auto"/>
        <w:tabs>
          <w:tab w:leader="none" w:pos="738" w:val="left"/>
        </w:tabs>
        <w:numPr>
          <w:ilvl w:val="1"/>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Ownership of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Stockholder (i) is the lawful record and Beneficial Owner of the shares of Company Stock set forth opposite the Stockholder’s name on Schedule 1(b) attached hereto and has, and at all times prior to the Expiration Date will have, the sole power to vote (or cause to be voted), transfer, or demand or waive any appraisal rights with respect to, such shares of Company Stock, all of which are free and clear of, and not subject to, any Encumbrances (other than those (A) created by this Agreement, (B) applicable to the Stockholder’s Covered Shares that may exist pursuant to securities Laws or (C) any proxies which do not relate to the Mergers, the Transactions or Competing Proposals) and (ii) as of the date hereof, does not Beneficially Own or have the right to vote (or cause the voting of) any shares of any class of Company Stock or other securities of the Company or any interest therein or any voting rights with respect to any securities of the Company other than the shares of Company Stock set forth opposite the Stockholder’s name on Schedule 1(b) attached hereto.</w:t>
      </w:r>
    </w:p>
    <w:p>
      <w:pPr>
        <w:spacing w:after="0" w:line="164" w:lineRule="exact"/>
        <w:rPr>
          <w:rFonts w:ascii="Times New Roman" w:cs="Times New Roman" w:eastAsia="Times New Roman" w:hAnsi="Times New Roman"/>
          <w:sz w:val="16"/>
          <w:szCs w:val="16"/>
          <w:color w:val="auto"/>
        </w:rPr>
      </w:pPr>
    </w:p>
    <w:p>
      <w:pPr>
        <w:ind w:left="280" w:hanging="243"/>
        <w:spacing w:after="0"/>
        <w:tabs>
          <w:tab w:leader="none" w:pos="28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and Communications</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ind w:left="-360" w:right="20" w:firstLine="883"/>
        <w:spacing w:after="0" w:line="255" w:lineRule="auto"/>
        <w:tabs>
          <w:tab w:leader="none" w:pos="730"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hereby consents to and authorizes the publication and disclosure of its identity and ownership, this Agreement and the nature of the Stockholder’s commitments, arrangements and understandings pursuant to this Agreement and such other information pertinent to such disclosure, including the filing of this Agreement, by Parent and the Company in the Registration Statement, Consent Solicitation Statement or other disclosure document required by applicable Law to be filed with the SEC or other Governmental Authority in connection with this Agreement, the Merger Agreement or the Transactions, and agrees to reasonably cooperate with Parent in connection with such filings.</w:t>
      </w:r>
    </w:p>
    <w:p>
      <w:pPr>
        <w:spacing w:after="0" w:line="69" w:lineRule="exact"/>
        <w:rPr>
          <w:rFonts w:ascii="Times New Roman" w:cs="Times New Roman" w:eastAsia="Times New Roman" w:hAnsi="Times New Roman"/>
          <w:sz w:val="16"/>
          <w:szCs w:val="16"/>
          <w:color w:val="auto"/>
        </w:rPr>
      </w:pPr>
    </w:p>
    <w:p>
      <w:pPr>
        <w:ind w:left="-360" w:right="20" w:firstLine="883"/>
        <w:spacing w:after="0" w:line="253" w:lineRule="auto"/>
        <w:tabs>
          <w:tab w:leader="none" w:pos="738" w:val="left"/>
        </w:tabs>
        <w:numPr>
          <w:ilvl w:val="1"/>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Stockholder shall not issue or make any press release or public announcement related to this Agreement, the Merger Agreement or the Transactions, or any other announcement or communication to the employees, customers or suppliers of the Company or any of its Subsidiaries, in each case without the approval of Parent, unless required by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Stockholder may make public statements that do not contain any information relating to the Transactions that has not been previously announced or made public in accordance with this Agreement or the Merger Agreement so long as no such public statement (i) disparages the Transactions, (ii) encourages other holders of capital stock of the Company to vote against, or withhold their vote or consent on, the Transactions, including the adoption of the Merger Agreement, or (iii) encourages other holders of capital stock of the Company to exercise appraisal rights.</w:t>
      </w:r>
    </w:p>
    <w:p>
      <w:pPr>
        <w:spacing w:after="0" w:line="165" w:lineRule="exact"/>
        <w:rPr>
          <w:rFonts w:ascii="Times New Roman" w:cs="Times New Roman" w:eastAsia="Times New Roman" w:hAnsi="Times New Roman"/>
          <w:sz w:val="16"/>
          <w:szCs w:val="16"/>
          <w:color w:val="auto"/>
        </w:rPr>
      </w:pPr>
    </w:p>
    <w:p>
      <w:pPr>
        <w:ind w:left="-360" w:firstLine="397"/>
        <w:spacing w:after="0" w:line="255" w:lineRule="auto"/>
        <w:tabs>
          <w:tab w:leader="none" w:pos="266"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Ownership Interest</w:t>
      </w:r>
      <w:r>
        <w:rPr>
          <w:rFonts w:ascii="Times New Roman" w:cs="Times New Roman" w:eastAsia="Times New Roman" w:hAnsi="Times New Roman"/>
          <w:sz w:val="16"/>
          <w:szCs w:val="16"/>
          <w:color w:val="auto"/>
        </w:rPr>
        <w:t>. Nothing contained in this Agreement shall be deemed to vest in Parent any direct or indirect ownership or incidence of ownership of or with respect to any Covered Shares. All ownership and economic benefits of and relating to the Covered Shares shall remain vested in and belong to the Stockholder, and, except as otherwise provided herein, Parent shall not have any authority to direct the Stockholder in the voting or disposition of any Covered Shares. For the avoidance of doubt, the Stockholder shall be entitled to any dividends or other distributions declared by the Company Board with respect to the Stockholder’s Covered Shares having a record date prior to the Effective Time.</w:t>
      </w:r>
    </w:p>
    <w:p>
      <w:pPr>
        <w:spacing w:after="0" w:line="164" w:lineRule="exact"/>
        <w:rPr>
          <w:rFonts w:ascii="Times New Roman" w:cs="Times New Roman" w:eastAsia="Times New Roman" w:hAnsi="Times New Roman"/>
          <w:sz w:val="16"/>
          <w:szCs w:val="16"/>
          <w:color w:val="auto"/>
        </w:rPr>
      </w:pPr>
    </w:p>
    <w:p>
      <w:pPr>
        <w:ind w:left="-360" w:right="240" w:firstLine="397"/>
        <w:spacing w:after="0" w:line="258" w:lineRule="auto"/>
        <w:tabs>
          <w:tab w:leader="none" w:pos="266"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Stop Transfer Instructions</w:t>
      </w:r>
      <w:r>
        <w:rPr>
          <w:rFonts w:ascii="Times New Roman" w:cs="Times New Roman" w:eastAsia="Times New Roman" w:hAnsi="Times New Roman"/>
          <w:sz w:val="16"/>
          <w:szCs w:val="16"/>
          <w:color w:val="auto"/>
        </w:rPr>
        <w:t>. The Stockholder shall not request that the Company register the Transfer (book-entry or otherwise) of any certificated or uncertificated interest representing any of its Covered Shares, unless such Transfer is made in compliance with this Agreement. The Stockholder hereby authorizes Parent to direct the Company to impose stop orders to prevent the Transfer of any Covered Shares on the books of the Company in violation of this Agreement.</w:t>
      </w:r>
    </w:p>
    <w:p>
      <w:pPr>
        <w:sectPr>
          <w:pgSz w:w="11900" w:h="16838" w:orient="portrait"/>
          <w:cols w:equalWidth="0" w:num="1">
            <w:col w:w="9340"/>
          </w:cols>
          <w:pgMar w:left="1440" w:top="252" w:right="1119" w:bottom="1440" w:gutter="0" w:footer="0" w:header="0"/>
        </w:sectPr>
      </w:pPr>
    </w:p>
    <w:bookmarkStart w:id="246" w:name="page247"/>
    <w:bookmarkEnd w:id="246"/>
    <w:p>
      <w:pPr>
        <w:ind w:left="-9" w:right="80" w:firstLine="397"/>
        <w:spacing w:after="0" w:line="255" w:lineRule="auto"/>
        <w:tabs>
          <w:tab w:leader="none" w:pos="61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Termination</w:t>
      </w:r>
      <w:r>
        <w:rPr>
          <w:rFonts w:ascii="Times New Roman" w:cs="Times New Roman" w:eastAsia="Times New Roman" w:hAnsi="Times New Roman"/>
          <w:sz w:val="16"/>
          <w:szCs w:val="16"/>
          <w:color w:val="auto"/>
        </w:rPr>
        <w:t xml:space="preserve">. This Agreement, and all rights and obligations of the parties hereunder, shall terminate and shall have no further force or effect upon the termination of the Merger Agreement in accordance with its terms;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 this Section 16 and Sections 1, 13 and 20 shall survive any termination of the Agreement and (ii) Sections 2, 3, 4, 5, 10 and 15 shall terminate and shall have no further force or effect as of the Expiration Date. Notwithstanding the foregoing, nothing set forth in this Section 9 or elsewhere in this Agreement shall relieve either party hereto from liability, or otherwise limit the liability of the Stockholder, for any breach of this Agreement prior to such termination.</w:t>
      </w:r>
    </w:p>
    <w:p>
      <w:pPr>
        <w:spacing w:after="0" w:line="164" w:lineRule="exact"/>
        <w:rPr>
          <w:rFonts w:ascii="Times New Roman" w:cs="Times New Roman" w:eastAsia="Times New Roman" w:hAnsi="Times New Roman"/>
          <w:sz w:val="16"/>
          <w:szCs w:val="16"/>
          <w:color w:val="auto"/>
        </w:rPr>
      </w:pPr>
    </w:p>
    <w:p>
      <w:pPr>
        <w:ind w:left="-9" w:right="40" w:firstLine="397"/>
        <w:spacing w:after="0" w:line="278" w:lineRule="auto"/>
        <w:tabs>
          <w:tab w:leader="none" w:pos="61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Transaction Documents</w:t>
      </w:r>
      <w:r>
        <w:rPr>
          <w:rFonts w:ascii="Times New Roman" w:cs="Times New Roman" w:eastAsia="Times New Roman" w:hAnsi="Times New Roman"/>
          <w:sz w:val="16"/>
          <w:szCs w:val="16"/>
          <w:color w:val="auto"/>
        </w:rPr>
        <w:t>. The Stockholder acknowledges that the Merger Agreement and the other Transaction Documents may be amended in accordance with the terms and conditions set forth in the Merger Agreement and the other Transaction Documents.</w:t>
      </w:r>
    </w:p>
    <w:p>
      <w:pPr>
        <w:spacing w:after="0" w:line="144" w:lineRule="exact"/>
        <w:rPr>
          <w:rFonts w:ascii="Times New Roman" w:cs="Times New Roman" w:eastAsia="Times New Roman" w:hAnsi="Times New Roman"/>
          <w:sz w:val="16"/>
          <w:szCs w:val="16"/>
          <w:color w:val="auto"/>
        </w:rPr>
      </w:pPr>
    </w:p>
    <w:p>
      <w:pPr>
        <w:ind w:left="-9" w:right="80" w:firstLine="397"/>
        <w:spacing w:after="0" w:line="255" w:lineRule="auto"/>
        <w:tabs>
          <w:tab w:leader="none" w:pos="61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Stockholder hereby waives any and all notice, information and consent requirements, as well as any right of first refusal, right of first offer, right of first negotiation, right restricting share transfers, redemption right, co-sale right, registration right, preemptive right and other similar rights, that may be applicable to, or triggered by, the Transactions, including the Mergers, the Merger Agreement, the other Transaction Documents and any of the transactions contemplated thereby that are contained in the Company’s organizational documents or any contractual obligation between the Company and the Stockholder, or under applicable Law.</w:t>
      </w:r>
    </w:p>
    <w:p>
      <w:pPr>
        <w:spacing w:after="0" w:line="164" w:lineRule="exact"/>
        <w:rPr>
          <w:rFonts w:ascii="Times New Roman" w:cs="Times New Roman" w:eastAsia="Times New Roman" w:hAnsi="Times New Roman"/>
          <w:sz w:val="16"/>
          <w:szCs w:val="16"/>
          <w:color w:val="auto"/>
        </w:rPr>
      </w:pPr>
    </w:p>
    <w:p>
      <w:pPr>
        <w:ind w:left="631" w:hanging="243"/>
        <w:spacing w:after="0"/>
        <w:tabs>
          <w:tab w:leader="none" w:pos="631"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 by the Stockholder</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ind w:left="-9" w:firstLine="1271"/>
        <w:spacing w:after="0" w:line="251" w:lineRule="auto"/>
        <w:tabs>
          <w:tab w:leader="none" w:pos="1469" w:val="left"/>
        </w:tabs>
        <w:numPr>
          <w:ilvl w:val="1"/>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Effective Time, the Stockholder, on behalf of itself and each of its past, present and future controlled Affiliates, parent(s) and subsidiary companies, representatives, and assigns, as applicable (collectively, the “</w:t>
      </w:r>
      <w:r>
        <w:rPr>
          <w:rFonts w:ascii="Times New Roman" w:cs="Times New Roman" w:eastAsia="Times New Roman" w:hAnsi="Times New Roman"/>
          <w:sz w:val="16"/>
          <w:szCs w:val="16"/>
          <w:u w:val="single" w:color="auto"/>
          <w:color w:val="auto"/>
        </w:rPr>
        <w:t>Stockholder Releasing Parties</w:t>
      </w:r>
      <w:r>
        <w:rPr>
          <w:rFonts w:ascii="Times New Roman" w:cs="Times New Roman" w:eastAsia="Times New Roman" w:hAnsi="Times New Roman"/>
          <w:sz w:val="16"/>
          <w:szCs w:val="16"/>
          <w:color w:val="auto"/>
        </w:rPr>
        <w:t>”), hereby absolutely, unconditionally and irrevocably releases, acquits and forever discharges the Company and each of its respective past, present and future Affiliates, parent(s) and subsidiary companies, joint ventures, predecessors, successors and assigns, and their respective past, present and future controlled representatives, investors, equityholders, insurers and indemnitees, firms, corporations, limited liability companies, partnerships, trusts, associations, organizations, stockholders, members, managers, directors, officers, employees, partners, trustees, principals, consultants, contractors, family members, heirs, executors, administrators, predecessors, successors and assigns (collectively the “</w:t>
      </w:r>
      <w:r>
        <w:rPr>
          <w:rFonts w:ascii="Times New Roman" w:cs="Times New Roman" w:eastAsia="Times New Roman" w:hAnsi="Times New Roman"/>
          <w:sz w:val="16"/>
          <w:szCs w:val="16"/>
          <w:u w:val="single" w:color="auto"/>
          <w:color w:val="auto"/>
        </w:rPr>
        <w:t>Stockholder Released Parties</w:t>
      </w:r>
      <w:r>
        <w:rPr>
          <w:rFonts w:ascii="Times New Roman" w:cs="Times New Roman" w:eastAsia="Times New Roman" w:hAnsi="Times New Roman"/>
          <w:sz w:val="16"/>
          <w:szCs w:val="16"/>
          <w:color w:val="auto"/>
        </w:rPr>
        <w:t>”), of and from any and all manner of action or inaction, cause or causes of action, Actions, Encumbrances, contractual obligations, promises, liabilities or damages (whether for compensatory, special, incidental or punitive damages, equitable relief or otherwise) of any kind or nature whatsoever, past, present or future, at law, in equity or otherwise (including with respect to conduct which is negligent, grossly negligent, willful, intentional, with or without malice, or a breach of any duty, applicable Law or rule), whether known or unknown, whether fixed or contingent, whether concealed or hidden, whether disclosed or undisclosed, whether liquidated or unliquidated, whether foreseeable or unforeseeable, whether anticipated or unanticipated, whether suspected or unsuspected (“</w:t>
      </w:r>
      <w:r>
        <w:rPr>
          <w:rFonts w:ascii="Times New Roman" w:cs="Times New Roman" w:eastAsia="Times New Roman" w:hAnsi="Times New Roman"/>
          <w:sz w:val="16"/>
          <w:szCs w:val="16"/>
          <w:u w:val="single" w:color="auto"/>
          <w:color w:val="auto"/>
        </w:rPr>
        <w:t>Claims</w:t>
      </w:r>
      <w:r>
        <w:rPr>
          <w:rFonts w:ascii="Times New Roman" w:cs="Times New Roman" w:eastAsia="Times New Roman" w:hAnsi="Times New Roman"/>
          <w:sz w:val="16"/>
          <w:szCs w:val="16"/>
          <w:color w:val="auto"/>
        </w:rPr>
        <w:t>”), which such Stockholder Releasing Parties, or any of them, ever have had or ever in the future may have against the Stockholder Released Parties, or any of them, in each case, to the extent arising solely as a result of the ownership or purported ownership of any of Company Stock, Company Equity Awards or other security or interest of the Company and which, in each case, are based on acts, events or omissions occurring prior to or contemporaneously with the Effective Time, at law or in equity, whether known or unknown, matured or unmatured, absolute or contingent, relating to or arising from the Transactions (the “</w:t>
      </w:r>
      <w:r>
        <w:rPr>
          <w:rFonts w:ascii="Times New Roman" w:cs="Times New Roman" w:eastAsia="Times New Roman" w:hAnsi="Times New Roman"/>
          <w:sz w:val="16"/>
          <w:szCs w:val="16"/>
          <w:u w:val="single" w:color="auto"/>
          <w:color w:val="auto"/>
        </w:rPr>
        <w:t>Stockholder Released Claims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foregoing release shall not release, impair or diminish, and the term “Stockholder Released Claims” shall not include, in any respect [(i)] the Stockholder’s right pursuant to the Transaction Documents, including the right to receive its respective portion of the Merger Consideration; [(ii) any Claims for indemnification, insurance benefits, reimbursement or advancement of expenses in such Stockholder Releasing Party’s capacity as a director, officer or employee of the Company under the Company’s organizational documents or any indemnification agreement in effect as of the date hereof (or any fiduciary insurance policy maintained by the Company or the Surviving Corporation for the benefit of the Stockholder, or any indemnification agreements with the Stockholder or its board designee) with respect to any act, omission, event or transaction occurring prior to or contemporaneously with the Effective Time; or (iii) the Stockholder’s in his or her capacity as an employee of the Company.]</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68008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ind w:left="191" w:hanging="191"/>
        <w:spacing w:after="0" w:line="209" w:lineRule="auto"/>
        <w:tabs>
          <w:tab w:leader="none" w:pos="191" w:val="left"/>
        </w:tabs>
        <w:numPr>
          <w:ilvl w:val="0"/>
          <w:numId w:val="2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include if applicable.</w:t>
      </w:r>
    </w:p>
    <w:p>
      <w:pPr>
        <w:sectPr>
          <w:pgSz w:w="11900" w:h="16838" w:orient="portrait"/>
          <w:cols w:equalWidth="0" w:num="1">
            <w:col w:w="9691"/>
          </w:cols>
          <w:pgMar w:left="1089" w:top="254" w:right="1119" w:bottom="1440" w:gutter="0" w:footer="0" w:header="0"/>
        </w:sectPr>
      </w:pPr>
    </w:p>
    <w:bookmarkStart w:id="247" w:name="page248"/>
    <w:bookmarkEnd w:id="247"/>
    <w:p>
      <w:pPr>
        <w:ind w:left="-360" w:right="140" w:firstLine="1271"/>
        <w:spacing w:after="0" w:line="255" w:lineRule="auto"/>
        <w:tabs>
          <w:tab w:leader="none" w:pos="1127"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Stockholder represents and acknowledges that it has read this release and the Merger Agreement and other Transaction Documents and understands their terms and has been given sufficient opportunity to review this release and the Transaction Documents and to ask questions of the Company’s Representatives. The Stockholder further represents that, in signing this release, it does not rely, and has not relied, on any representation or statement made by any Representative of the Company or any other Person with respect to the subject matter, basis or effect of this release or otherwise, except such express representations and warranties set forth in the Merger Agreement or this Agreement.</w:t>
      </w:r>
    </w:p>
    <w:p>
      <w:pPr>
        <w:spacing w:after="0" w:line="69" w:lineRule="exact"/>
        <w:rPr>
          <w:rFonts w:ascii="Times New Roman" w:cs="Times New Roman" w:eastAsia="Times New Roman" w:hAnsi="Times New Roman"/>
          <w:sz w:val="16"/>
          <w:szCs w:val="16"/>
          <w:color w:val="auto"/>
        </w:rPr>
      </w:pPr>
    </w:p>
    <w:p>
      <w:pPr>
        <w:ind w:left="-360" w:right="20" w:firstLine="1271"/>
        <w:spacing w:after="0" w:line="258" w:lineRule="auto"/>
        <w:tabs>
          <w:tab w:leader="none" w:pos="1118"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generality of Section 19(a), with respect to the Stockholder Released Claims, the Stockholder acknowledges that it is familiar with Section 1542 of the Civil Code of the State of California (“</w:t>
      </w:r>
      <w:r>
        <w:rPr>
          <w:rFonts w:ascii="Times New Roman" w:cs="Times New Roman" w:eastAsia="Times New Roman" w:hAnsi="Times New Roman"/>
          <w:sz w:val="16"/>
          <w:szCs w:val="16"/>
          <w:u w:val="single" w:color="auto"/>
          <w:color w:val="auto"/>
        </w:rPr>
        <w:t>Section 1542</w:t>
      </w:r>
      <w:r>
        <w:rPr>
          <w:rFonts w:ascii="Times New Roman" w:cs="Times New Roman" w:eastAsia="Times New Roman" w:hAnsi="Times New Roman"/>
          <w:sz w:val="16"/>
          <w:szCs w:val="16"/>
          <w:color w:val="auto"/>
        </w:rPr>
        <w:t>”) and hereby expressly waives all rights under Section 1542 and any similar applicable Law or common law principle in any applicable jurisdiction prohibiting or restricting the waiver of unknown Claims. Section 1542 reads as follows:</w:t>
      </w:r>
    </w:p>
    <w:p>
      <w:pPr>
        <w:spacing w:after="0" w:line="161" w:lineRule="exact"/>
        <w:rPr>
          <w:sz w:val="20"/>
          <w:szCs w:val="20"/>
          <w:color w:val="auto"/>
        </w:rPr>
      </w:pPr>
    </w:p>
    <w:p>
      <w:pPr>
        <w:ind w:left="40"/>
        <w:spacing w:after="0" w:line="263" w:lineRule="auto"/>
        <w:rPr>
          <w:sz w:val="20"/>
          <w:szCs w:val="20"/>
          <w:color w:val="auto"/>
        </w:rPr>
      </w:pPr>
      <w:r>
        <w:rPr>
          <w:rFonts w:ascii="Times New Roman" w:cs="Times New Roman" w:eastAsia="Times New Roman" w:hAnsi="Times New Roman"/>
          <w:sz w:val="16"/>
          <w:szCs w:val="16"/>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ectPr>
          <w:pgSz w:w="11900" w:h="16838" w:orient="portrait"/>
          <w:cols w:equalWidth="0" w:num="1">
            <w:col w:w="9340"/>
          </w:cols>
          <w:pgMar w:left="1440" w:top="254" w:right="1119" w:bottom="1440" w:gutter="0" w:footer="0" w:header="0"/>
        </w:sectPr>
      </w:pPr>
    </w:p>
    <w:bookmarkStart w:id="248" w:name="page249"/>
    <w:bookmarkEnd w:id="248"/>
    <w:p>
      <w:pPr>
        <w:ind w:left="-360" w:right="180" w:firstLine="1271"/>
        <w:spacing w:after="0" w:line="255" w:lineRule="auto"/>
        <w:tabs>
          <w:tab w:leader="none" w:pos="1127" w:val="left"/>
        </w:tabs>
        <w:numPr>
          <w:ilvl w:val="2"/>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Notwithstanding the provisions of Section 1542 or any similar applicable Law or common law principle in any applicable jurisdiction, the Stockholder expressly acknowledges that the foregoing release is intended to include in its effect all Claims within the scope of such release that a Stockholder Releasing Party does not know or suspect to exist in his, her or its favor against any of the Stockholder Released Parties (including, without limitation, unknown and contingent Claims), and that the foregoing release expressly contemplates the extinguishment of all such Claims (except to the extent expressly set forth in this Section 19).</w:t>
      </w:r>
    </w:p>
    <w:p>
      <w:pPr>
        <w:spacing w:after="0" w:line="164" w:lineRule="exact"/>
        <w:rPr>
          <w:rFonts w:ascii="Times New Roman" w:cs="Times New Roman" w:eastAsia="Times New Roman" w:hAnsi="Times New Roman"/>
          <w:sz w:val="16"/>
          <w:szCs w:val="16"/>
          <w:color w:val="auto"/>
        </w:rPr>
      </w:pPr>
    </w:p>
    <w:p>
      <w:pPr>
        <w:ind w:left="280" w:hanging="243"/>
        <w:spacing w:after="0"/>
        <w:tabs>
          <w:tab w:leader="none" w:pos="280"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and General</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ind w:left="-360" w:firstLine="883"/>
        <w:spacing w:after="0" w:line="253" w:lineRule="auto"/>
        <w:tabs>
          <w:tab w:leader="none" w:pos="729"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Waivers, Etc</w:t>
      </w:r>
      <w:r>
        <w:rPr>
          <w:rFonts w:ascii="Times New Roman" w:cs="Times New Roman" w:eastAsia="Times New Roman" w:hAnsi="Times New Roman"/>
          <w:sz w:val="16"/>
          <w:szCs w:val="16"/>
          <w:color w:val="auto"/>
        </w:rPr>
        <w:t>. This Agreement may not be amended, changed, supplemented or otherwise modified except upon the execution and delivery of a written agreement executed by each of Parent and the Stockholder.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spacing w:after="0" w:line="68" w:lineRule="exact"/>
        <w:rPr>
          <w:rFonts w:ascii="Times New Roman" w:cs="Times New Roman" w:eastAsia="Times New Roman" w:hAnsi="Times New Roman"/>
          <w:sz w:val="16"/>
          <w:szCs w:val="16"/>
          <w:color w:val="auto"/>
        </w:rPr>
      </w:pPr>
    </w:p>
    <w:p>
      <w:pPr>
        <w:jc w:val="both"/>
        <w:ind w:left="-360" w:right="40" w:firstLine="883"/>
        <w:spacing w:after="0" w:line="259" w:lineRule="auto"/>
        <w:tabs>
          <w:tab w:leader="none" w:pos="738"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Effectiveness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may be executed in any number of counterparts (including by facsimile or by attachment to electronic mail in portable document format (PDF)), each such counterpart being deemed to be an original instrument, and all such counterparts shall together constitute the same agreement, and shall become effective when one or more counterparts have been signed by each of the parties hereto and delivered to the other parties hereto.</w:t>
      </w:r>
    </w:p>
    <w:p>
      <w:pPr>
        <w:spacing w:after="0" w:line="62" w:lineRule="exact"/>
        <w:rPr>
          <w:rFonts w:ascii="Times New Roman" w:cs="Times New Roman" w:eastAsia="Times New Roman" w:hAnsi="Times New Roman"/>
          <w:sz w:val="16"/>
          <w:szCs w:val="16"/>
          <w:color w:val="auto"/>
        </w:rPr>
      </w:pPr>
    </w:p>
    <w:p>
      <w:pPr>
        <w:ind w:left="740" w:hanging="217"/>
        <w:spacing w:after="0"/>
        <w:tabs>
          <w:tab w:leader="none" w:pos="740"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WAIVER OF JURY TRIAL</w:t>
      </w:r>
      <w:r>
        <w:rPr>
          <w:rFonts w:ascii="Times New Roman" w:cs="Times New Roman" w:eastAsia="Times New Roman" w:hAnsi="Times New Roman"/>
          <w:sz w:val="16"/>
          <w:szCs w:val="16"/>
          <w:i w:val="1"/>
          <w:iCs w:val="1"/>
          <w:color w:val="auto"/>
        </w:rPr>
        <w:t>.</w:t>
      </w:r>
    </w:p>
    <w:p>
      <w:pPr>
        <w:spacing w:after="0" w:line="103" w:lineRule="exact"/>
        <w:rPr>
          <w:rFonts w:ascii="Times New Roman" w:cs="Times New Roman" w:eastAsia="Times New Roman" w:hAnsi="Times New Roman"/>
          <w:sz w:val="16"/>
          <w:szCs w:val="16"/>
          <w:color w:val="auto"/>
        </w:rPr>
      </w:pPr>
    </w:p>
    <w:p>
      <w:pPr>
        <w:ind w:left="-360" w:right="40" w:firstLine="1271"/>
        <w:spacing w:after="0" w:line="249" w:lineRule="auto"/>
        <w:tabs>
          <w:tab w:leader="none" w:pos="1092" w:val="left"/>
        </w:tabs>
        <w:numPr>
          <w:ilvl w:val="2"/>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laws of the State of Delaware, without giving effect to any choice or conflict of law provisions or rule (whether of the State of Delaware or any other jurisdiction) that would cause the application of the laws of any jurisdiction other than the State of Delaware. All Actions arising out of or relating to this Agreement or the transactions contemplated hereby shall be heard and determined exclusively in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The parties hereto hereby (a) irrevocably submit to the exclusive jurisdiction of the Court of Chancery of the State of Delaware and any state appellate court therefrom within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and, in each case, the appellate court(s) therefrom)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 named courts, that its property is exempt or immune from attachment or execution, that the Action is brought in an inconvenient forum, that the venue of the Action is improper, or that this Agreement or the transactions contemplated hereby may not be enforced in or by the above named courts, and (c) agree that such party will not bring any Action arising out of or relating to this Agreement or the transactions contemplated hereby in any court other than the Court of Chancery of the State of Delaware (or in the event, but only in the event, that the Court of Chancery of the State of Delaware does not have subject matter jurisdiction, the Superior Court of the State of Delaware (Complex Commercial Division) or, if subject matter jurisdiction over the action or proceeding is vested exclusively in the federal courts of the United States of America, the United States District Court for the District of Delaware). Service of process, summons, notice or document to any party’s address and in the manner set forth in Section 20(d) shall be effective service of process for any such action.</w:t>
      </w:r>
    </w:p>
    <w:p>
      <w:pPr>
        <w:sectPr>
          <w:pgSz w:w="11900" w:h="16838" w:orient="portrait"/>
          <w:cols w:equalWidth="0" w:num="1">
            <w:col w:w="9320"/>
          </w:cols>
          <w:pgMar w:left="1440" w:top="254" w:right="1139" w:bottom="1440" w:gutter="0" w:footer="0" w:header="0"/>
        </w:sectPr>
      </w:pPr>
    </w:p>
    <w:bookmarkStart w:id="249" w:name="page250"/>
    <w:bookmarkEnd w:id="249"/>
    <w:p>
      <w:pPr>
        <w:ind w:left="-360" w:firstLine="1271"/>
        <w:spacing w:after="0" w:line="251" w:lineRule="auto"/>
        <w:tabs>
          <w:tab w:leader="none" w:pos="1136"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EACH PARTY HERETO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AS APPLICABLE, BY, AMONG OTHER THINGS, THE MUTUAL WAIVERS IN THIS SECTION 20(C)(II).</w:t>
      </w:r>
    </w:p>
    <w:p>
      <w:pPr>
        <w:spacing w:after="0" w:line="71" w:lineRule="exact"/>
        <w:rPr>
          <w:rFonts w:ascii="Times New Roman" w:cs="Times New Roman" w:eastAsia="Times New Roman" w:hAnsi="Times New Roman"/>
          <w:sz w:val="16"/>
          <w:szCs w:val="16"/>
          <w:color w:val="auto"/>
        </w:rPr>
      </w:pPr>
    </w:p>
    <w:p>
      <w:pPr>
        <w:jc w:val="both"/>
        <w:ind w:left="-360" w:right="140" w:firstLine="883"/>
        <w:spacing w:after="0" w:line="256" w:lineRule="auto"/>
        <w:tabs>
          <w:tab w:leader="none" w:pos="738"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Notices, requests, instructions or other documents to be given under this Agreement shall be in writing and shall be deemed given, (i) on the date sent by e-mail of a PDF document if sent during normal business hours of the recipient, and on the next business day if sent after normal business hours of the recipient, (ii) when delivered, if delivered personally to the intended recipient, and (iii) one Business Day later, if sent by overnight delivery via a national courier service (providing proof of delivery), and in each case, addressed to a party at the following address for such party:</w:t>
      </w:r>
    </w:p>
    <w:p>
      <w:pPr>
        <w:sectPr>
          <w:pgSz w:w="11900" w:h="16838" w:orient="portrait"/>
          <w:cols w:equalWidth="0" w:num="1">
            <w:col w:w="9320"/>
          </w:cols>
          <w:pgMar w:left="1440" w:top="254" w:right="1139" w:bottom="1440" w:gutter="0" w:footer="0" w:header="0"/>
        </w:sectPr>
      </w:pPr>
    </w:p>
    <w:bookmarkStart w:id="250" w:name="page251"/>
    <w:bookmarkEnd w:id="250"/>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if to Parent:</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San Diego, California 92122</w:t>
      </w:r>
    </w:p>
    <w:p>
      <w:pPr>
        <w:spacing w:after="0" w:line="6"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Charles E. Dadswell, Senior Vice President and General Counsel</w:t>
      </w:r>
    </w:p>
    <w:p>
      <w:pPr>
        <w:spacing w:after="0" w:line="6" w:lineRule="exact"/>
        <w:rPr>
          <w:sz w:val="20"/>
          <w:szCs w:val="20"/>
          <w:color w:val="auto"/>
        </w:rPr>
      </w:pPr>
    </w:p>
    <w:p>
      <w:pPr>
        <w:ind w:left="1280"/>
        <w:spacing w:after="0"/>
        <w:tabs>
          <w:tab w:leader="none" w:pos="2240" w:val="left"/>
        </w:tabs>
        <w:rPr>
          <w:sz w:val="20"/>
          <w:szCs w:val="20"/>
          <w:color w:val="auto"/>
        </w:rPr>
      </w:pPr>
      <w:r>
        <w:rPr>
          <w:rFonts w:ascii="Times New Roman" w:cs="Times New Roman" w:eastAsia="Times New Roman" w:hAnsi="Times New Roman"/>
          <w:sz w:val="16"/>
          <w:szCs w:val="16"/>
          <w:color w:val="auto"/>
        </w:rPr>
        <w:t>Telephone:</w:t>
      </w:r>
      <w:r>
        <w:rPr>
          <w:sz w:val="20"/>
          <w:szCs w:val="20"/>
          <w:color w:val="auto"/>
        </w:rPr>
        <w:tab/>
      </w:r>
      <w:r>
        <w:rPr>
          <w:rFonts w:ascii="Times New Roman" w:cs="Times New Roman" w:eastAsia="Times New Roman" w:hAnsi="Times New Roman"/>
          <w:sz w:val="16"/>
          <w:szCs w:val="16"/>
          <w:color w:val="auto"/>
        </w:rPr>
        <w:t>858-202-4500</w:t>
      </w:r>
    </w:p>
    <w:p>
      <w:pPr>
        <w:spacing w:after="0" w:line="6"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16"/>
          <w:szCs w:val="16"/>
          <w:color w:val="auto"/>
        </w:rPr>
        <w:t>Facsimile:</w:t>
      </w:r>
      <w:r>
        <w:rPr>
          <w:sz w:val="20"/>
          <w:szCs w:val="20"/>
          <w:color w:val="auto"/>
        </w:rPr>
        <w:tab/>
      </w:r>
      <w:r>
        <w:rPr>
          <w:rFonts w:ascii="Times New Roman" w:cs="Times New Roman" w:eastAsia="Times New Roman" w:hAnsi="Times New Roman"/>
          <w:sz w:val="16"/>
          <w:szCs w:val="16"/>
          <w:color w:val="auto"/>
        </w:rPr>
        <w:t>858-202-4545</w:t>
      </w:r>
    </w:p>
    <w:p>
      <w:pPr>
        <w:spacing w:after="0" w:line="6"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CDadswell@illumina.com</w:t>
      </w:r>
    </w:p>
    <w:p>
      <w:pPr>
        <w:spacing w:after="0" w:line="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legalnotices@illumina.com</w:t>
      </w:r>
    </w:p>
    <w:p>
      <w:pPr>
        <w:spacing w:after="0" w:line="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with copies to (which shall not constitute notice):</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Worldwide Plaza</w:t>
      </w:r>
    </w:p>
    <w:p>
      <w:pPr>
        <w:spacing w:after="0" w:line="6" w:lineRule="exact"/>
        <w:rPr>
          <w:sz w:val="20"/>
          <w:szCs w:val="20"/>
          <w:color w:val="auto"/>
        </w:rPr>
      </w:pPr>
    </w:p>
    <w:p>
      <w:pPr>
        <w:ind w:left="1280" w:right="7020" w:hanging="9"/>
        <w:spacing w:after="0" w:line="264" w:lineRule="auto"/>
        <w:tabs>
          <w:tab w:leader="none" w:pos="1558"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Eighth Avenue New York, NY 10019</w:t>
      </w:r>
    </w:p>
    <w:p>
      <w:pPr>
        <w:spacing w:after="0" w:line="1" w:lineRule="exact"/>
        <w:rPr>
          <w:sz w:val="20"/>
          <w:szCs w:val="20"/>
          <w:color w:val="auto"/>
        </w:rPr>
      </w:pPr>
    </w:p>
    <w:p>
      <w:pPr>
        <w:ind w:left="1280"/>
        <w:spacing w:after="0"/>
        <w:tabs>
          <w:tab w:leader="none" w:pos="22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Faiza J. Saeed, Esq.</w:t>
      </w:r>
    </w:p>
    <w:p>
      <w:pPr>
        <w:spacing w:after="0" w:line="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Ting S. Chen, Esq.</w:t>
      </w:r>
    </w:p>
    <w:p>
      <w:pPr>
        <w:spacing w:after="0" w:line="6" w:lineRule="exact"/>
        <w:rPr>
          <w:sz w:val="20"/>
          <w:szCs w:val="20"/>
          <w:color w:val="auto"/>
        </w:rPr>
      </w:pPr>
    </w:p>
    <w:p>
      <w:pPr>
        <w:ind w:left="1280"/>
        <w:spacing w:after="0"/>
        <w:tabs>
          <w:tab w:leader="none" w:pos="22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fsaeed@cravath.com</w:t>
      </w:r>
    </w:p>
    <w:p>
      <w:pPr>
        <w:spacing w:after="0" w:line="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tchen@cravath.com</w:t>
      </w:r>
    </w:p>
    <w:p>
      <w:pPr>
        <w:spacing w:after="0" w:line="85" w:lineRule="exact"/>
        <w:rPr>
          <w:sz w:val="20"/>
          <w:szCs w:val="20"/>
          <w:color w:val="auto"/>
        </w:rPr>
      </w:pPr>
    </w:p>
    <w:p>
      <w:pPr>
        <w:ind w:left="880" w:right="60"/>
        <w:spacing w:after="0" w:line="278" w:lineRule="auto"/>
        <w:rPr>
          <w:sz w:val="20"/>
          <w:szCs w:val="20"/>
          <w:color w:val="auto"/>
        </w:rPr>
      </w:pPr>
      <w:r>
        <w:rPr>
          <w:rFonts w:ascii="Times New Roman" w:cs="Times New Roman" w:eastAsia="Times New Roman" w:hAnsi="Times New Roman"/>
          <w:sz w:val="16"/>
          <w:szCs w:val="16"/>
          <w:color w:val="auto"/>
        </w:rPr>
        <w:t>if to the Stockholder, to the address listed on Schedule 1(b) with copies (which shall not constitute notice) to the Company (in accordance with Section 11.02 of the Merger Agreement) and to its counsel:</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355 South Grand Avenue, Suite 100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Los Angeles, California 90071-1560</w:t>
      </w:r>
    </w:p>
    <w:p>
      <w:pPr>
        <w:spacing w:after="0" w:line="6" w:lineRule="exact"/>
        <w:rPr>
          <w:sz w:val="20"/>
          <w:szCs w:val="20"/>
          <w:color w:val="auto"/>
        </w:rPr>
      </w:pPr>
    </w:p>
    <w:p>
      <w:pPr>
        <w:ind w:left="1280"/>
        <w:spacing w:after="0"/>
        <w:tabs>
          <w:tab w:leader="none" w:pos="224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Alex W. Voxman, Esq.</w:t>
      </w:r>
    </w:p>
    <w:p>
      <w:pPr>
        <w:spacing w:after="0" w:line="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Andrew Clark, Esq.</w:t>
      </w:r>
    </w:p>
    <w:p>
      <w:pPr>
        <w:spacing w:after="0" w:line="6" w:lineRule="exact"/>
        <w:rPr>
          <w:sz w:val="20"/>
          <w:szCs w:val="20"/>
          <w:color w:val="auto"/>
        </w:rPr>
      </w:pPr>
    </w:p>
    <w:p>
      <w:pPr>
        <w:jc w:val="both"/>
        <w:ind w:left="1280"/>
        <w:spacing w:after="0"/>
        <w:tabs>
          <w:tab w:leader="none" w:pos="222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alex.voxman@lw.com</w:t>
      </w:r>
    </w:p>
    <w:p>
      <w:pPr>
        <w:spacing w:after="0" w:line="6" w:lineRule="exact"/>
        <w:rPr>
          <w:sz w:val="20"/>
          <w:szCs w:val="20"/>
          <w:color w:val="auto"/>
        </w:rPr>
      </w:pPr>
    </w:p>
    <w:p>
      <w:pPr>
        <w:jc w:val="right"/>
        <w:ind w:right="5960"/>
        <w:spacing w:after="0"/>
        <w:rPr>
          <w:sz w:val="20"/>
          <w:szCs w:val="20"/>
          <w:color w:val="auto"/>
        </w:rPr>
      </w:pPr>
      <w:r>
        <w:rPr>
          <w:rFonts w:ascii="Times New Roman" w:cs="Times New Roman" w:eastAsia="Times New Roman" w:hAnsi="Times New Roman"/>
          <w:sz w:val="16"/>
          <w:szCs w:val="16"/>
          <w:color w:val="auto"/>
        </w:rPr>
        <w:t>andrew.clark@lw.com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may be given to such other persons or addresses as may be designated in writing by the party to receive such notice as provided above.</w:t>
      </w:r>
    </w:p>
    <w:p>
      <w:pPr>
        <w:spacing w:after="0" w:line="100" w:lineRule="exact"/>
        <w:rPr>
          <w:sz w:val="20"/>
          <w:szCs w:val="20"/>
          <w:color w:val="auto"/>
        </w:rPr>
      </w:pPr>
    </w:p>
    <w:p>
      <w:pPr>
        <w:ind w:firstLine="883"/>
        <w:spacing w:after="0" w:line="264" w:lineRule="auto"/>
        <w:tabs>
          <w:tab w:leader="none" w:pos="1089"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(including any Schedules hereto) and the Merger Agreement constitute the entire agreement, and supersedes all other prior agreements, understandings, representations and warranties both written and oral, among the parties hereto, with respect to the subject matter hereof.</w:t>
      </w:r>
    </w:p>
    <w:p>
      <w:pPr>
        <w:spacing w:after="0" w:line="59" w:lineRule="exact"/>
        <w:rPr>
          <w:rFonts w:ascii="Times New Roman" w:cs="Times New Roman" w:eastAsia="Times New Roman" w:hAnsi="Times New Roman"/>
          <w:sz w:val="16"/>
          <w:szCs w:val="16"/>
          <w:color w:val="auto"/>
        </w:rPr>
      </w:pPr>
    </w:p>
    <w:p>
      <w:pPr>
        <w:ind w:right="80" w:firstLine="883"/>
        <w:spacing w:after="0" w:line="264" w:lineRule="auto"/>
        <w:tabs>
          <w:tab w:leader="none" w:pos="1072"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Parties in Interest; No Third Party Beneficiaries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Subject to Section 20(i), and without relieving any party of any obligation hereunder, this Agreement shall be binding upon and inure solely to the benefit of each party hereto and their respective successors and permitted assigns. This Agreement is not intended to, and does not, confer upon any Person other than the parties hereto any rights or remedies hereunder.</w:t>
      </w:r>
    </w:p>
    <w:p>
      <w:pPr>
        <w:sectPr>
          <w:pgSz w:w="11900" w:h="16838" w:orient="portrait"/>
          <w:cols w:equalWidth="0" w:num="1">
            <w:col w:w="9680"/>
          </w:cols>
          <w:pgMar w:left="1080" w:top="254" w:right="1139" w:bottom="1440" w:gutter="0" w:footer="0" w:header="0"/>
        </w:sectPr>
      </w:pPr>
    </w:p>
    <w:bookmarkStart w:id="251" w:name="page252"/>
    <w:bookmarkEnd w:id="251"/>
    <w:p>
      <w:pPr>
        <w:ind w:left="-360" w:firstLine="883"/>
        <w:spacing w:after="0" w:line="253" w:lineRule="auto"/>
        <w:tabs>
          <w:tab w:leader="none" w:pos="738"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Severability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(i) a suitable and equitable provision negotiated in good faith by the parties hereto shall be substituted therefor in order to carry out, so far as may be valid and enforceable, the intent and purpose of such invalid or unenforceable provision and (ii) the remainder of this Agreement and the application of such provision to other Persons or circumstances shall not, subject to clause (i) above, be affected by such invalidity or unenforceability, except as a result of such substitution, nor shall such invalidity or unenforceability affect the validity or enforceability of such provision, or the application thereof, in any other jurisdiction.</w:t>
      </w:r>
    </w:p>
    <w:p>
      <w:pPr>
        <w:spacing w:after="0" w:line="70" w:lineRule="exact"/>
        <w:rPr>
          <w:rFonts w:ascii="Times New Roman" w:cs="Times New Roman" w:eastAsia="Times New Roman" w:hAnsi="Times New Roman"/>
          <w:sz w:val="16"/>
          <w:szCs w:val="16"/>
          <w:color w:val="auto"/>
        </w:rPr>
      </w:pPr>
    </w:p>
    <w:p>
      <w:pPr>
        <w:ind w:left="740" w:hanging="217"/>
        <w:spacing w:after="0"/>
        <w:tabs>
          <w:tab w:leader="none" w:pos="740"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i w:val="1"/>
          <w:iCs w:val="1"/>
          <w:color w:val="auto"/>
        </w:rPr>
        <w:t>.</w:t>
      </w:r>
    </w:p>
    <w:p>
      <w:pPr>
        <w:spacing w:after="0" w:line="103" w:lineRule="exact"/>
        <w:rPr>
          <w:rFonts w:ascii="Times New Roman" w:cs="Times New Roman" w:eastAsia="Times New Roman" w:hAnsi="Times New Roman"/>
          <w:sz w:val="16"/>
          <w:szCs w:val="16"/>
          <w:color w:val="auto"/>
        </w:rPr>
      </w:pPr>
    </w:p>
    <w:p>
      <w:pPr>
        <w:ind w:left="-360" w:firstLine="1271"/>
        <w:spacing w:after="0" w:line="269" w:lineRule="auto"/>
        <w:tabs>
          <w:tab w:leader="none" w:pos="1092" w:val="left"/>
        </w:tabs>
        <w:numPr>
          <w:ilvl w:val="1"/>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Section headings or captions herein are for convenience of reference only, do not constitute part of this Agreement and shall not be deemed to limit or otherwise affect any of the provisions hereof. Where a reference in this Agreement is made to a Section or Schedule, such reference shall be to a Section of or Schedule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when used in this Agreement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means such statute as from time to time amended, modified or supplemented, including by succession of comparable successor statutes. Any agreement or instrument defined or referred to herein includes all attachments thereto and instruments incorporated therein.</w:t>
      </w:r>
    </w:p>
    <w:p>
      <w:pPr>
        <w:spacing w:after="0" w:line="62" w:lineRule="exact"/>
        <w:rPr>
          <w:rFonts w:ascii="Times New Roman" w:cs="Times New Roman" w:eastAsia="Times New Roman" w:hAnsi="Times New Roman"/>
          <w:sz w:val="15"/>
          <w:szCs w:val="15"/>
          <w:color w:val="auto"/>
        </w:rPr>
      </w:pPr>
    </w:p>
    <w:p>
      <w:pPr>
        <w:ind w:left="-360" w:right="160" w:firstLine="1271"/>
        <w:spacing w:after="0" w:line="263" w:lineRule="auto"/>
        <w:tabs>
          <w:tab w:leader="none" w:pos="1136"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59" w:lineRule="exact"/>
        <w:rPr>
          <w:rFonts w:ascii="Times New Roman" w:cs="Times New Roman" w:eastAsia="Times New Roman" w:hAnsi="Times New Roman"/>
          <w:sz w:val="16"/>
          <w:szCs w:val="16"/>
          <w:color w:val="auto"/>
        </w:rPr>
      </w:pPr>
    </w:p>
    <w:p>
      <w:pPr>
        <w:ind w:left="-360" w:right="160" w:firstLine="883"/>
        <w:spacing w:after="0" w:line="281" w:lineRule="auto"/>
        <w:tabs>
          <w:tab w:leader="none" w:pos="703"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shall not be assignable by operation of law or otherwise without the prior written consent of each of the parties. Any purported assignment in contravention of the preceding sentence shall be null and void.</w:t>
      </w:r>
    </w:p>
    <w:p>
      <w:pPr>
        <w:sectPr>
          <w:pgSz w:w="11900" w:h="16838" w:orient="portrait"/>
          <w:cols w:equalWidth="0" w:num="1">
            <w:col w:w="9340"/>
          </w:cols>
          <w:pgMar w:left="1440" w:top="252" w:right="1119" w:bottom="1440" w:gutter="0" w:footer="0" w:header="0"/>
        </w:sectPr>
      </w:pPr>
    </w:p>
    <w:bookmarkStart w:id="252" w:name="page253"/>
    <w:bookmarkEnd w:id="252"/>
    <w:p>
      <w:pPr>
        <w:ind w:left="-360" w:right="80" w:firstLine="883"/>
        <w:spacing w:after="0" w:line="278" w:lineRule="auto"/>
        <w:tabs>
          <w:tab w:leader="none" w:pos="703"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Expenses</w:t>
      </w:r>
      <w:r>
        <w:rPr>
          <w:rFonts w:ascii="Times New Roman" w:cs="Times New Roman" w:eastAsia="Times New Roman" w:hAnsi="Times New Roman"/>
          <w:sz w:val="16"/>
          <w:szCs w:val="16"/>
          <w:color w:val="auto"/>
        </w:rPr>
        <w:t>. All costs and expenses incurred in connection with this Agreement shall be paid by the party incurring such cost or expense, whether or not the transactions contemplated by this Agreement or the Merger Agreement are consummated.</w:t>
      </w:r>
    </w:p>
    <w:p>
      <w:pPr>
        <w:spacing w:after="0" w:line="47" w:lineRule="exact"/>
        <w:rPr>
          <w:rFonts w:ascii="Times New Roman" w:cs="Times New Roman" w:eastAsia="Times New Roman" w:hAnsi="Times New Roman"/>
          <w:sz w:val="16"/>
          <w:szCs w:val="16"/>
          <w:color w:val="auto"/>
        </w:rPr>
      </w:pPr>
    </w:p>
    <w:p>
      <w:pPr>
        <w:ind w:left="-360" w:firstLine="883"/>
        <w:spacing w:after="0" w:line="252" w:lineRule="auto"/>
        <w:tabs>
          <w:tab w:leader="none" w:pos="738"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Parent shall be entitled to an injunction or injunctions to prevent breaches of this Agreement and to enforce specifically the performance of the terms and provisions hereof in any court referred to in Section 20(c),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Parent otherwise has an adequate remedy at law.</w:t>
      </w:r>
    </w:p>
    <w:p>
      <w:pPr>
        <w:sectPr>
          <w:pgSz w:w="11900" w:h="16838" w:orient="portrait"/>
          <w:cols w:equalWidth="0" w:num="1">
            <w:col w:w="9360"/>
          </w:cols>
          <w:pgMar w:left="1440" w:top="254" w:right="1099" w:bottom="1440" w:gutter="0" w:footer="0" w:header="0"/>
        </w:sectPr>
      </w:pPr>
    </w:p>
    <w:bookmarkStart w:id="253" w:name="page254"/>
    <w:bookmarkEnd w:id="253"/>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ILLUMINA, INC.</w:t>
      </w:r>
    </w:p>
    <w:p>
      <w:pPr>
        <w:spacing w:after="0" w:line="1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[Parent Signature Page to Support Agreement]</w:t>
      </w:r>
    </w:p>
    <w:p>
      <w:pPr>
        <w:sectPr>
          <w:pgSz w:w="11900" w:h="16838" w:orient="portrait"/>
          <w:cols w:equalWidth="0" w:num="1">
            <w:col w:w="9019"/>
          </w:cols>
          <w:pgMar w:left="1440" w:top="254" w:right="1440" w:bottom="1440" w:gutter="0" w:footer="0" w:header="0"/>
        </w:sectPr>
      </w:pPr>
    </w:p>
    <w:bookmarkStart w:id="254" w:name="page255"/>
    <w:bookmarkEnd w:id="254"/>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undersigned have executed and caused to be effective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[Stockholder]</w:t>
      </w:r>
    </w:p>
    <w:p>
      <w:pPr>
        <w:spacing w:after="0" w:line="1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[Stockholder Signature Page to Support Agreement]</w:t>
      </w:r>
    </w:p>
    <w:p>
      <w:pPr>
        <w:sectPr>
          <w:pgSz w:w="11900" w:h="16838" w:orient="portrait"/>
          <w:cols w:equalWidth="0" w:num="1">
            <w:col w:w="9019"/>
          </w:cols>
          <w:pgMar w:left="1440" w:top="254" w:right="1440" w:bottom="1440" w:gutter="0" w:footer="0" w:header="0"/>
        </w:sectPr>
      </w:pPr>
    </w:p>
    <w:bookmarkStart w:id="255" w:name="page256"/>
    <w:bookmarkEnd w:id="255"/>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1(b)</w:t>
      </w:r>
    </w:p>
    <w:p>
      <w:pPr>
        <w:sectPr>
          <w:pgSz w:w="11900" w:h="16838" w:orient="portrait"/>
          <w:cols w:equalWidth="0" w:num="1">
            <w:col w:w="9019"/>
          </w:cols>
          <w:pgMar w:left="1440" w:top="252" w:right="1440"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Written Consent</w:t>
      </w:r>
    </w:p>
    <w:p>
      <w:pPr>
        <w:sectPr>
          <w:pgSz w:w="11900" w:h="16838" w:orient="portrait"/>
          <w:cols w:equalWidth="0" w:num="1">
            <w:col w:w="9019"/>
          </w:cols>
          <w:pgMar w:left="1440" w:top="252" w:right="1440"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TO AGREEMENT AND PLAN OF MERGER</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This AMENDMENT, dated as of February 4, 2021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to the Agreement and Plan of Merger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20, 2020, among Illumina,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SDG Ops, Inc., a Delaware corporation and direct, wholly owned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subsidiary of Parent (“</w:t>
      </w:r>
      <w:r>
        <w:rPr>
          <w:rFonts w:ascii="Times New Roman" w:cs="Times New Roman" w:eastAsia="Times New Roman" w:hAnsi="Times New Roman"/>
          <w:sz w:val="16"/>
          <w:szCs w:val="16"/>
          <w:u w:val="single" w:color="auto"/>
          <w:color w:val="auto"/>
        </w:rPr>
        <w:t>First Merger Sub</w:t>
      </w:r>
      <w:r>
        <w:rPr>
          <w:rFonts w:ascii="Times New Roman" w:cs="Times New Roman" w:eastAsia="Times New Roman" w:hAnsi="Times New Roman"/>
          <w:sz w:val="16"/>
          <w:szCs w:val="16"/>
          <w:color w:val="auto"/>
        </w:rPr>
        <w:t>”), SDG Ops, LLC, a Delaware limited liability company and a direct, wholly owned subsidiary of Parent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Second Merger Sub</w:t>
      </w:r>
      <w:r>
        <w:rPr>
          <w:rFonts w:ascii="Times New Roman" w:cs="Times New Roman" w:eastAsia="Times New Roman" w:hAnsi="Times New Roman"/>
          <w:sz w:val="15"/>
          <w:szCs w:val="15"/>
          <w:color w:val="auto"/>
        </w:rPr>
        <w:t>”) and GRAIL,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and together with Parent, First Merger Sub and Second Merger Sub,</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ind w:right="80" w:firstLine="388"/>
        <w:spacing w:after="0" w:line="278" w:lineRule="auto"/>
        <w:rPr>
          <w:sz w:val="20"/>
          <w:szCs w:val="20"/>
          <w:color w:val="auto"/>
        </w:rPr>
      </w:pPr>
      <w:r>
        <w:rPr>
          <w:rFonts w:ascii="Times New Roman" w:cs="Times New Roman" w:eastAsia="Times New Roman" w:hAnsi="Times New Roman"/>
          <w:sz w:val="16"/>
          <w:szCs w:val="16"/>
          <w:color w:val="auto"/>
        </w:rPr>
        <w:t>WHEREAS, subject to the terms and conditions set forth in this Amendment, and pursuant to Section 9.05 of the Agreement, the Parties desire to amend certain terms of the Agreement by entering into, and as set forth in, this Amendment.</w:t>
      </w:r>
    </w:p>
    <w:p>
      <w:pPr>
        <w:spacing w:after="0" w:line="145" w:lineRule="exact"/>
        <w:rPr>
          <w:sz w:val="20"/>
          <w:szCs w:val="20"/>
          <w:color w:val="auto"/>
        </w:rPr>
      </w:pPr>
    </w:p>
    <w:p>
      <w:pPr>
        <w:ind w:right="100" w:firstLine="388"/>
        <w:spacing w:after="0" w:line="263" w:lineRule="auto"/>
        <w:rPr>
          <w:sz w:val="20"/>
          <w:szCs w:val="20"/>
          <w:color w:val="auto"/>
        </w:rPr>
      </w:pPr>
      <w:r>
        <w:rPr>
          <w:rFonts w:ascii="Times New Roman" w:cs="Times New Roman" w:eastAsia="Times New Roman" w:hAnsi="Times New Roman"/>
          <w:sz w:val="16"/>
          <w:szCs w:val="16"/>
          <w:color w:val="auto"/>
        </w:rPr>
        <w:t>NOW, THEREFORE, for and in consideration of the aforesaid premises and of the mutual representations, warranties and covenants contained herein, and for other good and valuable consideration, the receipt and sufficiency of which are hereby acknowledged, intending to be legally bound, the Parties hereby agree as set forth below:</w:t>
      </w:r>
    </w:p>
    <w:p>
      <w:pPr>
        <w:spacing w:after="0" w:line="155" w:lineRule="exact"/>
        <w:rPr>
          <w:sz w:val="20"/>
          <w:szCs w:val="20"/>
          <w:color w:val="auto"/>
        </w:rPr>
      </w:pPr>
    </w:p>
    <w:p>
      <w:pPr>
        <w:ind w:right="16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Section 1. Definitions</w:t>
      </w:r>
      <w:r>
        <w:rPr>
          <w:rFonts w:ascii="Times New Roman" w:cs="Times New Roman" w:eastAsia="Times New Roman" w:hAnsi="Times New Roman"/>
          <w:sz w:val="16"/>
          <w:szCs w:val="16"/>
          <w:color w:val="auto"/>
        </w:rPr>
        <w:t>. Capitalized terms used herein without definition shall have the meanings ascribed to such terms in the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Section 2. Amendment to Agreement</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 xml:space="preserve">2.1 </w:t>
      </w:r>
      <w:r>
        <w:rPr>
          <w:rFonts w:ascii="Times New Roman" w:cs="Times New Roman" w:eastAsia="Times New Roman" w:hAnsi="Times New Roman"/>
          <w:sz w:val="16"/>
          <w:szCs w:val="16"/>
          <w:color w:val="auto"/>
        </w:rPr>
        <w:t>Section 1.01 of the Merger Agreement is hereby amended to add the following definitions in the proper lexicographical ordering:</w:t>
      </w:r>
    </w:p>
    <w:p>
      <w:pPr>
        <w:spacing w:after="0" w:line="199" w:lineRule="exact"/>
        <w:rPr>
          <w:sz w:val="20"/>
          <w:szCs w:val="20"/>
          <w:color w:val="auto"/>
        </w:rPr>
      </w:pPr>
    </w:p>
    <w:p>
      <w:pPr>
        <w:ind w:right="60" w:firstLine="883"/>
        <w:spacing w:after="0" w:line="313" w:lineRule="auto"/>
        <w:tabs>
          <w:tab w:leader="none" w:pos="1089"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“Non-Stock Tax Deductions” means, with respect to any Cash-Out Award, the required withholding Taxes in connection with the CVR Consideration or the Cash &amp; Stock Consideration, as applicable, payable with respect to such Cash-Out Award, excluding any Stock Tax Deductions.</w:t>
      </w:r>
    </w:p>
    <w:p>
      <w:pPr>
        <w:spacing w:after="0" w:line="121" w:lineRule="exact"/>
        <w:rPr>
          <w:rFonts w:ascii="Times New Roman" w:cs="Times New Roman" w:eastAsia="Times New Roman" w:hAnsi="Times New Roman"/>
          <w:sz w:val="15"/>
          <w:szCs w:val="15"/>
          <w:color w:val="auto"/>
        </w:rPr>
      </w:pPr>
    </w:p>
    <w:p>
      <w:pPr>
        <w:ind w:right="320" w:firstLine="883"/>
        <w:spacing w:after="0" w:line="278" w:lineRule="auto"/>
        <w:tabs>
          <w:tab w:leader="none" w:pos="1098"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Tax Deductions” means, with respect to any Cash-Out Award, any required withholding Taxes in connection with the stock portion of the CVR Consideration or the Cash &amp; Stock Consideration, as applicable, payable with respect to such Cash-Out Award.</w:t>
      </w:r>
    </w:p>
    <w:p>
      <w:pPr>
        <w:spacing w:after="0" w:line="143" w:lineRule="exact"/>
        <w:rPr>
          <w:sz w:val="20"/>
          <w:szCs w:val="20"/>
          <w:color w:val="auto"/>
        </w:rPr>
      </w:pPr>
    </w:p>
    <w:p>
      <w:pPr>
        <w:ind w:right="24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2.2 </w:t>
      </w:r>
      <w:r>
        <w:rPr>
          <w:rFonts w:ascii="Times New Roman" w:cs="Times New Roman" w:eastAsia="Times New Roman" w:hAnsi="Times New Roman"/>
          <w:sz w:val="16"/>
          <w:szCs w:val="16"/>
          <w:color w:val="auto"/>
        </w:rPr>
        <w:t>Section 1.02 of the Merger Agreement is hereby amended to delete “Cash-Out Deductions” and to add “Exercise Price Deduction”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appropriate cross-reference.</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 xml:space="preserve">2.3 </w:t>
      </w:r>
      <w:r>
        <w:rPr>
          <w:rFonts w:ascii="Times New Roman" w:cs="Times New Roman" w:eastAsia="Times New Roman" w:hAnsi="Times New Roman"/>
          <w:sz w:val="16"/>
          <w:szCs w:val="16"/>
          <w:color w:val="auto"/>
        </w:rPr>
        <w:t>Section 3.04(i) of the Agreement is hereby amended and restated in its entirety as follows:</w:t>
      </w:r>
    </w:p>
    <w:p>
      <w:pPr>
        <w:spacing w:after="0" w:line="104" w:lineRule="exact"/>
        <w:rPr>
          <w:sz w:val="20"/>
          <w:szCs w:val="20"/>
          <w:color w:val="auto"/>
        </w:rPr>
      </w:pPr>
    </w:p>
    <w:p>
      <w:pPr>
        <w:ind w:left="400" w:right="120"/>
        <w:spacing w:after="0" w:line="258" w:lineRule="auto"/>
        <w:rPr>
          <w:sz w:val="20"/>
          <w:szCs w:val="20"/>
          <w:color w:val="auto"/>
        </w:rPr>
      </w:pPr>
      <w:r>
        <w:rPr>
          <w:rFonts w:ascii="Times New Roman" w:cs="Times New Roman" w:eastAsia="Times New Roman" w:hAnsi="Times New Roman"/>
          <w:sz w:val="16"/>
          <w:szCs w:val="16"/>
          <w:color w:val="auto"/>
        </w:rPr>
        <w:t>“Immediately prior to, and contingent on, the Effective Time, each Cash-Out Award shall be canceled and converted into the right to receive for each share of Company Stock subject to such Cash-Out Award as of immediately prior to such cancelation, in full satisfaction of the rights of the applicable holder with respect thereto, (i) in the case of a CVR Cash-Out Award, the CVR Consideration or (ii) in the case of an Alternative Cash-Out Award, the Cash &amp; Stock Consideration, in each case, less (A) in the case of any Cash-Out Award that</w:t>
      </w:r>
    </w:p>
    <w:p>
      <w:pPr>
        <w:sectPr>
          <w:pgSz w:w="11900" w:h="16838" w:orient="portrait"/>
          <w:cols w:equalWidth="0" w:num="1">
            <w:col w:w="9720"/>
          </w:cols>
          <w:pgMar w:left="1080" w:top="121" w:right="1099" w:bottom="1440" w:gutter="0" w:footer="0" w:header="0"/>
        </w:sectPr>
      </w:pPr>
    </w:p>
    <w:bookmarkStart w:id="258" w:name="page259"/>
    <w:bookmarkEnd w:id="258"/>
    <w:p>
      <w:pPr>
        <w:ind w:left="400"/>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is a Company Stock Option, the applicable exercise price for such share (the “Exercise Price Deduction”) and (B) in the case of all Company Equity Awards, any required withholding Taxes (the net consideration payable hereunder in respect of a Cash-Out Award, the “Cash-Out Award Consideration”). Any Exercise Price Deduction and any Non-Stock Tax Deductions shall be satisfied by reducing the cash portion of the applicable consideration by the amount of such deductions, but not below zero. In the event such cash portion has a value that is less than the sum of the Exercise Price Deduction and the Non-Stock Deductions, such cash portion shall be reduced to zero and in addition Parent shall retain a portion of the stock portion of the applicable consideration that has a value equal to the amount by which the sum of the Exercise Price Deduction and the Non-Stock Tax Deductions exceeds such cash portion. Any Stock Tax Deductions shall be satisfied by Parent retaining a portion of the stock portion of the applicable consideration that has a value equal to the amount of the Stock Tax Deductions. The Cash-Out Award Consideration shall be paid as promptly as practicable following the Effective Time (and in no event later than five (5) Business Days thereafter) through Parent’s, the Surviving Entity’s or the applicable Subsidiary of the Surviving Entity’s payroll. Notwithstanding the foregoing, to the extent that any Cash-Out Award Consideration relates to a Company RSU Award that is nonqualified deferred compensation subject to Section 409A of the Code, Parent, the Surviving Entity or the applicable Subsidiary shall pay such amounts at the earliest time, as applicable, that will not trigger a Tax or penalty under Section 409A of the Code, but no later than five (5) Business Days after such time.”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Section 3. Representations and Warranties.</w:t>
      </w:r>
    </w:p>
    <w:p>
      <w:pPr>
        <w:spacing w:after="0" w:line="197" w:lineRule="exact"/>
        <w:rPr>
          <w:sz w:val="20"/>
          <w:szCs w:val="20"/>
          <w:color w:val="auto"/>
        </w:rPr>
      </w:pPr>
    </w:p>
    <w:p>
      <w:pPr>
        <w:ind w:right="40" w:firstLine="38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color w:val="auto"/>
        </w:rPr>
        <w:t>Each Party hereto hereby represents and warrants that: (i) it has all necessary corporate or limited liability company power and authority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execute and deliver this Amendment and to perform its obligations hereunder, (ii) the execution and delivery of this Amendment by such Party has been duly and validly authorized by all necessary corporate or limited liability company action, and no other corporate or limited liability company proceedings on the part of such Party are necessary to authorize this Amendment and (iii) this Amendment has been duly and validly executed and delivered by such Party and, assuming due authorization, execution and delivery by all other Parties, constitutes a legal, valid and binding obligation of such Party, enforceable against such Party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62" w:lineRule="exact"/>
        <w:rPr>
          <w:sz w:val="20"/>
          <w:szCs w:val="20"/>
          <w:color w:val="auto"/>
        </w:rPr>
      </w:pPr>
    </w:p>
    <w:p>
      <w:pPr>
        <w:ind w:right="60" w:firstLine="38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3.2 </w:t>
      </w:r>
      <w:r>
        <w:rPr>
          <w:rFonts w:ascii="Times New Roman" w:cs="Times New Roman" w:eastAsia="Times New Roman" w:hAnsi="Times New Roman"/>
          <w:sz w:val="16"/>
          <w:szCs w:val="16"/>
          <w:color w:val="auto"/>
        </w:rPr>
        <w:t>Each Party hereto further represents and warrants that the execution and delivery of this Amendment by such Party does not,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performance of this Amendment by such Party, will not, (i) conflict with or violate the certificate of incorporation, certificate of formation, bylaws, operating agreement or other equivalent organizational documents of such Party, (ii) conflict with or violate any Law applicable to such Party or by which any property or asset of either of them is bound,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(other than a Permitted Encumbrance) on any property or asset of such Party pursuant to, any loan or credit agreement, note, bond, debenture, mortgage, indenture, deed of trust, contract, agreement, lease, Parent Permit, Company Permit or other instrument or obligation to which such Party is a party or by which such Party or any of their respective assets or properties is bound.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00"/>
          </w:cols>
          <w:pgMar w:left="1080" w:top="254" w:right="1119" w:bottom="1440" w:gutter="0" w:footer="0" w:header="0"/>
        </w:sectPr>
      </w:pPr>
    </w:p>
    <w:bookmarkStart w:id="259" w:name="page260"/>
    <w:bookmarkEnd w:id="259"/>
    <w:p>
      <w:pPr>
        <w:ind w:left="4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Section 4. General Provisions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6"/>
          <w:szCs w:val="16"/>
          <w:color w:val="auto"/>
        </w:rPr>
        <w:t>All of the provisions of this Amendment shall be effective as of the date of this Amendment. Except to the extent specifically amended hereby,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of the terms of the Agreement shall remain unchanged and in full force and effect, and, to the extent applicable, such terms shall apply to this Amendment as if it formed a part of the Agreement.</w:t>
      </w:r>
    </w:p>
    <w:p>
      <w:pPr>
        <w:spacing w:after="0" w:line="154" w:lineRule="exact"/>
        <w:rPr>
          <w:sz w:val="20"/>
          <w:szCs w:val="20"/>
          <w:color w:val="auto"/>
        </w:rPr>
      </w:pPr>
    </w:p>
    <w:p>
      <w:pPr>
        <w:jc w:val="both"/>
        <w:ind w:right="180" w:firstLine="38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6"/>
          <w:szCs w:val="16"/>
          <w:color w:val="auto"/>
        </w:rPr>
        <w:t>After giving effect to this Amendment, each reference in the Agreement to “this Agreement”, “hereof”, “hereunder” or words of like import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referring to the Agreement shall refer to the Agreement as amended by this Amendment. All references in the Agreement to “the date hereof” or “the date of this Agreement” shall refer to September 20, 2020.</w:t>
      </w:r>
    </w:p>
    <w:p>
      <w:pPr>
        <w:spacing w:after="0" w:line="154" w:lineRule="exact"/>
        <w:rPr>
          <w:sz w:val="20"/>
          <w:szCs w:val="20"/>
          <w:color w:val="auto"/>
        </w:rPr>
      </w:pPr>
    </w:p>
    <w:p>
      <w:pPr>
        <w:ind w:right="200" w:firstLine="38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color w:val="auto"/>
        </w:rPr>
        <w:t>This Amendment and the Agreement, (including the exhibits and schedules thereto, including the Company Disclosure Letter), the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w:t>
      </w:r>
    </w:p>
    <w:p>
      <w:pPr>
        <w:spacing w:after="0" w:line="158" w:lineRule="exact"/>
        <w:rPr>
          <w:sz w:val="20"/>
          <w:szCs w:val="20"/>
          <w:color w:val="auto"/>
        </w:rPr>
      </w:pPr>
    </w:p>
    <w:p>
      <w:pPr>
        <w:ind w:right="40" w:firstLine="38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4.4 </w:t>
      </w:r>
      <w:r>
        <w:rPr>
          <w:rFonts w:ascii="Times New Roman" w:cs="Times New Roman" w:eastAsia="Times New Roman" w:hAnsi="Times New Roman"/>
          <w:sz w:val="16"/>
          <w:szCs w:val="16"/>
          <w:color w:val="auto"/>
        </w:rPr>
        <w:t>The provisions of Article XI (General Provisions) of the Agreement shall, to the extent not already set forth in this Amendment, apply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mutatis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mutandis </w:t>
      </w:r>
      <w:r>
        <w:rPr>
          <w:rFonts w:ascii="Times New Roman" w:cs="Times New Roman" w:eastAsia="Times New Roman" w:hAnsi="Times New Roman"/>
          <w:sz w:val="16"/>
          <w:szCs w:val="16"/>
          <w:color w:val="auto"/>
        </w:rPr>
        <w:t>to this Amendment, and to the Agreement as modified by this Amendment, taken together as a single agreement, reflecting the terms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modified hereby.</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 Page Follows]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00"/>
          </w:cols>
          <w:pgMar w:left="1080" w:top="252" w:right="1119" w:bottom="1440" w:gutter="0" w:footer="0" w:header="0"/>
        </w:sectPr>
      </w:pPr>
    </w:p>
    <w:bookmarkStart w:id="260" w:name="page261"/>
    <w:bookmarkEnd w:id="260"/>
    <w:p>
      <w:pPr>
        <w:ind w:left="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hereto have caused this Amendment to be duly executed and delivered as of the date first above written.</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ILLUMINA, INC.,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Joydeep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Joydeep Goswami</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5"/>
          <w:szCs w:val="15"/>
          <w:color w:val="auto"/>
        </w:rPr>
        <w:t>Title: Senior Vice President of Corporate Development</w:t>
      </w:r>
    </w:p>
    <w:p>
      <w:pPr>
        <w:spacing w:after="0" w:line="1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and Strategic Planning</w:t>
      </w:r>
    </w:p>
    <w:p>
      <w:pPr>
        <w:spacing w:after="0" w:line="1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SDG OPS, INC.</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Scott M.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Scott M. Davies</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 Vice President and Secretary</w:t>
      </w:r>
    </w:p>
    <w:p>
      <w:pPr>
        <w:spacing w:after="0" w:line="1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SDG OPS, LLC</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Scott M.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Scott M. Davies</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 Vice President and Secretary</w:t>
      </w:r>
    </w:p>
    <w:p>
      <w:pPr>
        <w:spacing w:after="0" w:line="17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GRAIL, INC.</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Hans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225933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259330" cy="7620"/>
                    </a:xfrm>
                    <a:prstGeom prst="rect">
                      <a:avLst/>
                    </a:prstGeom>
                    <a:noFill/>
                  </pic:spPr>
                </pic:pic>
              </a:graphicData>
            </a:graphic>
          </wp:anchor>
        </w:drawing>
      </w:r>
    </w:p>
    <w:p>
      <w:pPr>
        <w:spacing w:after="0" w:line="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Hans Bishop</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Title: CEO</w:t>
      </w:r>
    </w:p>
    <w:p>
      <w:pPr>
        <w:sectPr>
          <w:pgSz w:w="11900" w:h="16838" w:orient="portrait"/>
          <w:cols w:equalWidth="0" w:num="1">
            <w:col w:w="9300"/>
          </w:cols>
          <w:pgMar w:left="1440" w:top="252" w:right="115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List of Subsidiaries</w:t>
            </w:r>
          </w:p>
        </w:tc>
        <w:tc>
          <w:tcPr>
            <w:tcW w:w="620" w:type="dxa"/>
            <w:vAlign w:val="bottom"/>
            <w:gridSpan w:val="2"/>
          </w:tcPr>
          <w:p>
            <w:pPr>
              <w:spacing w:after="0"/>
              <w:rPr>
                <w:sz w:val="16"/>
                <w:szCs w:val="16"/>
                <w:color w:val="auto"/>
              </w:rPr>
            </w:pPr>
          </w:p>
        </w:tc>
      </w:tr>
      <w:tr>
        <w:trPr>
          <w:trHeight w:val="35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Name of Entity</w:t>
            </w: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6"/>
              </w:rPr>
              <w:t>Jurisdiction</w:t>
            </w:r>
          </w:p>
        </w:tc>
        <w:tc>
          <w:tcPr>
            <w:tcW w:w="420" w:type="dxa"/>
            <w:vAlign w:val="bottom"/>
          </w:tcPr>
          <w:p>
            <w:pPr>
              <w:spacing w:after="0"/>
              <w:rPr>
                <w:sz w:val="24"/>
                <w:szCs w:val="24"/>
                <w:color w:val="auto"/>
              </w:rPr>
            </w:pPr>
          </w:p>
        </w:tc>
      </w:t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GRAIL Bio</w:t>
            </w: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UK Limited</w:t>
            </w:r>
          </w:p>
        </w:tc>
        <w:tc>
          <w:tcPr>
            <w:tcW w:w="84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United Kingdom</w:t>
            </w:r>
          </w:p>
        </w:tc>
      </w:tr>
    </w:tbl>
    <w:p>
      <w:pPr>
        <w:sectPr>
          <w:pgSz w:w="11900" w:h="16838" w:orient="portrait"/>
          <w:cols w:equalWidth="0" w:num="1">
            <w:col w:w="9720"/>
          </w:cols>
          <w:pgMar w:left="1080" w:top="121" w:right="10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49" w:lineRule="exact"/>
        <w:rPr>
          <w:sz w:val="20"/>
          <w:szCs w:val="20"/>
          <w:color w:val="auto"/>
        </w:rPr>
      </w:pPr>
    </w:p>
    <w:p>
      <w:pPr>
        <w:jc w:val="both"/>
        <w:ind w:left="760" w:right="20"/>
        <w:spacing w:after="0" w:line="281" w:lineRule="auto"/>
        <w:rPr>
          <w:sz w:val="20"/>
          <w:szCs w:val="20"/>
          <w:color w:val="auto"/>
        </w:rPr>
      </w:pPr>
      <w:r>
        <w:rPr>
          <w:rFonts w:ascii="Times New Roman" w:cs="Times New Roman" w:eastAsia="Times New Roman" w:hAnsi="Times New Roman"/>
          <w:sz w:val="16"/>
          <w:szCs w:val="16"/>
          <w:b w:val="1"/>
          <w:bCs w:val="1"/>
          <w:color w:val="FF4338"/>
        </w:rPr>
        <w:t>Information contained herein is subject to completion or amendment. A Registration Statement on Form 10 relating to these securities has been confidentially submitted to the Securities and Exchange Commission under the Securities Exchange Act of 1934, as amended.</w:t>
      </w:r>
    </w:p>
    <w:p>
      <w:pPr>
        <w:spacing w:after="0" w:line="81" w:lineRule="exact"/>
        <w:rPr>
          <w:sz w:val="20"/>
          <w:szCs w:val="20"/>
          <w:color w:val="auto"/>
        </w:rPr>
      </w:pPr>
    </w:p>
    <w:tbl>
      <w:tblPr>
        <w:tblLayout w:type="fixed"/>
        <w:tblInd w:w="2940" w:type="dxa"/>
        <w:tblCellMar>
          <w:top w:w="0" w:type="dxa"/>
          <w:left w:w="0" w:type="dxa"/>
          <w:bottom w:w="0" w:type="dxa"/>
          <w:right w:w="0" w:type="dxa"/>
        </w:tblCellMar>
      </w:tblPr>
      <w:tr>
        <w:trPr>
          <w:trHeight w:val="209"/>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FF4338"/>
              </w:rPr>
              <w:t>PRELIMINARY AND SUBJECT TO COMPLETION, DATED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4338"/>
              </w:rPr>
              <w:t>, 2023</w:t>
            </w:r>
          </w:p>
        </w:tc>
      </w:tr>
    </w:tbl>
    <w:p>
      <w:pPr>
        <w:spacing w:after="0" w:line="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INFORMATION STATEMENT</w:t>
      </w:r>
    </w:p>
    <w:p>
      <w:pPr>
        <w:spacing w:after="0" w:line="7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1525 O’Brien Drive</w:t>
      </w:r>
    </w:p>
    <w:p>
      <w:pPr>
        <w:spacing w:after="0" w:line="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Menlo Park, California 94025</w:t>
      </w:r>
    </w:p>
    <w:p>
      <w:pPr>
        <w:spacing w:after="0" w:line="6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(par value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135255</wp:posOffset>
            </wp:positionV>
            <wp:extent cx="129984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84" w:lineRule="exact"/>
        <w:rPr>
          <w:sz w:val="20"/>
          <w:szCs w:val="20"/>
          <w:color w:val="auto"/>
        </w:rPr>
      </w:pPr>
    </w:p>
    <w:p>
      <w:pPr>
        <w:ind w:left="760" w:right="160" w:firstLine="388"/>
        <w:spacing w:after="0" w:line="253" w:lineRule="auto"/>
        <w:rPr>
          <w:sz w:val="20"/>
          <w:szCs w:val="20"/>
          <w:color w:val="auto"/>
        </w:rPr>
      </w:pPr>
      <w:r>
        <w:rPr>
          <w:rFonts w:ascii="Times New Roman" w:cs="Times New Roman" w:eastAsia="Times New Roman" w:hAnsi="Times New Roman"/>
          <w:sz w:val="16"/>
          <w:szCs w:val="16"/>
          <w:color w:val="auto"/>
        </w:rPr>
        <w:t>We are sending you this Information Statement in connection with Illumina, Inc.’s partial spin-off of its wholly owned subsidiary, GRAIL, LLC, or “GRAIL.” GRAIL must be held and operated separately and independently from Illumina pursuant to the transitional measures ordered by the European Commission, following the prohibition of Illumina’s acquisition of GRAIL on September 6, 2022. Prior to the completion of the spin-off, GRAIL will be converted into a Delaware corporation and will be renamed GRAIL, Inc. To effect the spin-off, Illumina, Inc., or “Illumina,” will</w:t>
      </w:r>
    </w:p>
    <w:p>
      <w:pPr>
        <w:spacing w:after="0" w:line="3" w:lineRule="exact"/>
        <w:rPr>
          <w:sz w:val="20"/>
          <w:szCs w:val="20"/>
          <w:color w:val="auto"/>
        </w:rPr>
      </w:pPr>
    </w:p>
    <w:p>
      <w:pPr>
        <w:jc w:val="both"/>
        <w:ind w:left="760" w:right="40"/>
        <w:spacing w:after="0" w:line="252" w:lineRule="auto"/>
        <w:rPr>
          <w:sz w:val="20"/>
          <w:szCs w:val="20"/>
          <w:color w:val="auto"/>
        </w:rPr>
      </w:pPr>
      <w:r>
        <w:rPr>
          <w:rFonts w:ascii="Times New Roman" w:cs="Times New Roman" w:eastAsia="Times New Roman" w:hAnsi="Times New Roman"/>
          <w:sz w:val="16"/>
          <w:szCs w:val="16"/>
          <w:color w:val="auto"/>
        </w:rPr>
        <w:t>distribute at least 85.5% of the shares of GRAIL’s common stock owned by Illumina as of the close of business on , 2024, which is the record date for the distribution, on a pro rata basis to the holders of Illumina common stock. Immediately after the distribution becomes effective, Illumina may retain up to 14.5% of GRAIL’s common stock.</w:t>
      </w:r>
    </w:p>
    <w:p>
      <w:pPr>
        <w:spacing w:after="0" w:line="70"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intend that the distribution of GRAIL common stock will be tax-free to Illumina stockholders for U.S. federal income tax purposes, except for cash that stockholders receive in lieu of fractional shares and subject to the discussion below under “The Spin-Off—Material U.S. Federal Income Tax Consequences of the Spin-Off—Consequences to Holders of Illumina Common Stock—Non-U.S. Holders—Distribution of Our Common Stock.” You should consult your own tax advisor as to the tax consequences of the distribution to you, including potential tax consequences under state, local and non-U.S. tax laws.</w:t>
      </w:r>
    </w:p>
    <w:p>
      <w:pPr>
        <w:spacing w:after="0" w:line="70" w:lineRule="exact"/>
        <w:rPr>
          <w:sz w:val="20"/>
          <w:szCs w:val="20"/>
          <w:color w:val="auto"/>
        </w:rPr>
      </w:pPr>
    </w:p>
    <w:p>
      <w:pPr>
        <w:ind w:left="760" w:right="280" w:firstLine="388"/>
        <w:spacing w:after="0" w:line="259" w:lineRule="auto"/>
        <w:rPr>
          <w:sz w:val="20"/>
          <w:szCs w:val="20"/>
          <w:color w:val="auto"/>
        </w:rPr>
      </w:pPr>
      <w:r>
        <w:rPr>
          <w:rFonts w:ascii="Times New Roman" w:cs="Times New Roman" w:eastAsia="Times New Roman" w:hAnsi="Times New Roman"/>
          <w:sz w:val="16"/>
          <w:szCs w:val="16"/>
          <w:color w:val="auto"/>
        </w:rPr>
        <w:t>If you are a record holder of Illumina common stock as of the record date, for every share[s] of Illumina common stock you hold on that date, you will be entitled to receive share[s] of GRAIL common stock. Illumina will distribute the shares of GRAIL common stock in</w:t>
      </w:r>
    </w:p>
    <w:p>
      <w:pPr>
        <w:spacing w:after="0" w:line="1"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16"/>
          <w:szCs w:val="16"/>
          <w:color w:val="auto"/>
        </w:rPr>
        <w:t>book-entry form, which means that we will not issue physical stock certificates. The distribution agent will not distribute any fractional shares of GRAIL common stock. Instead, the distribution agent will aggregate fractional shares into whole shares, sell the whole shares in the open market at prevailing market prices and distribute the aggregate cash proceeds of the sales, net of brokerage fees and other costs, pro rata to each holder (net of any required withholding for taxes applicable to each holder) who would otherwise have been entitled to receive a fractional share in the distribution. As discussed in the section entitled “The Spin-Off—Trading Prior to the Distribution Date” beginning on page 105 of this Information Statement, if you sell your Illumina common stock in the “regular-way” market after the record date and on or before the distribution date, you also will be selling your right to receive shares of GRAIL common stock in connection with the distribution.</w:t>
      </w:r>
    </w:p>
    <w:p>
      <w:pPr>
        <w:spacing w:after="0" w:line="75"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distribution will be effective as of , New York City time, on , 2024. Immediately after the distribution becomes effective, GRAIL will be an independent, publicly traded company.</w:t>
      </w:r>
    </w:p>
    <w:p>
      <w:pPr>
        <w:spacing w:after="0" w:line="48" w:lineRule="exact"/>
        <w:rPr>
          <w:sz w:val="20"/>
          <w:szCs w:val="20"/>
          <w:color w:val="auto"/>
        </w:rPr>
      </w:pPr>
    </w:p>
    <w:p>
      <w:pPr>
        <w:ind w:left="760" w:right="200" w:firstLine="388"/>
        <w:spacing w:after="0" w:line="259" w:lineRule="auto"/>
        <w:rPr>
          <w:sz w:val="20"/>
          <w:szCs w:val="20"/>
          <w:color w:val="auto"/>
        </w:rPr>
      </w:pPr>
      <w:r>
        <w:rPr>
          <w:rFonts w:ascii="Times New Roman" w:cs="Times New Roman" w:eastAsia="Times New Roman" w:hAnsi="Times New Roman"/>
          <w:sz w:val="16"/>
          <w:szCs w:val="16"/>
          <w:b w:val="1"/>
          <w:bCs w:val="1"/>
          <w:color w:val="auto"/>
        </w:rPr>
        <w:t>Illumina’s stockholders are not required to vote on or take any other action in connection with the spin-off. We are not asking you for a proxy, and request that you do not send us a proxy. Illumina’s stockholders will not be required to pay any consideration for the shares of GRAIL common stock they receive in the spin-off, and they will not be required to surrender or exchange their common stock of Illumina or take any other action in connection with the spin-off.</w:t>
      </w:r>
    </w:p>
    <w:p>
      <w:pPr>
        <w:spacing w:after="0" w:line="65"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Illumina currently owns all outstanding shares of GRAIL common stock. Accordingly, no public trading market for GRAIL common stock currently exists. We expect, however, that a limited trading market for GRAIL common stock, commonly known as a “when-issued” trading market, will develop on or shortly before the record date for the distribution, and we expect “regular-way” trading of GRAIL common stock will begin on the first trading day after the distribution date. We intend to list the GRAIL common stock on the Nasdaq Global Select Market under the ticker symbol “GRAL.” Following the distribution, Illumina will continue to trade on the Nasdaq Global Select Market under the ticker symbol “ILMN.”</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We are an “emerging growth company” as defined in the Jumpstart Our Business Startups Act of 2012.</w:t>
      </w:r>
    </w:p>
    <w:p>
      <w:pPr>
        <w:spacing w:after="0" w:line="102" w:lineRule="exact"/>
        <w:rPr>
          <w:sz w:val="20"/>
          <w:szCs w:val="20"/>
          <w:color w:val="auto"/>
        </w:rPr>
      </w:pPr>
    </w:p>
    <w:p>
      <w:pPr>
        <w:ind w:left="760" w:right="5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in the section entitled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28 of this Information Statement.</w:t>
      </w:r>
    </w:p>
    <w:p>
      <w:pPr>
        <w:spacing w:after="0" w:line="45" w:lineRule="exact"/>
        <w:rPr>
          <w:sz w:val="20"/>
          <w:szCs w:val="20"/>
          <w:color w:val="auto"/>
        </w:rPr>
      </w:pPr>
    </w:p>
    <w:p>
      <w:pPr>
        <w:ind w:left="760" w:right="3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This Information Statement is not an offer to sell, or a solicitation of an offer to buy, any securities.</w:t>
      </w:r>
    </w:p>
    <w:p>
      <w:pPr>
        <w:spacing w:after="0" w:line="102" w:lineRule="exact"/>
        <w:rPr>
          <w:sz w:val="20"/>
          <w:szCs w:val="20"/>
          <w:color w:val="auto"/>
        </w:rPr>
      </w:pPr>
    </w:p>
    <w:tbl>
      <w:tblPr>
        <w:tblLayout w:type="fixed"/>
        <w:tblInd w:w="3680" w:type="dxa"/>
        <w:tblCellMar>
          <w:top w:w="0" w:type="dxa"/>
          <w:left w:w="0" w:type="dxa"/>
          <w:bottom w:w="0" w:type="dxa"/>
          <w:right w:w="0" w:type="dxa"/>
        </w:tblCellMar>
      </w:tblP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date of this Information Statement is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2024.</w:t>
            </w:r>
          </w:p>
        </w:tc>
      </w:tr>
    </w:tbl>
    <w:p>
      <w:pPr>
        <w:sectPr>
          <w:pgSz w:w="11900" w:h="16838" w:orient="portrait"/>
          <w:cols w:equalWidth="0" w:num="1">
            <w:col w:w="10480"/>
          </w:cols>
          <w:pgMar w:left="320" w:top="122" w:right="10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gridSpan w:val="9"/>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gridSpan w:val="7"/>
          </w:tcPr>
          <w:p>
            <w:pPr>
              <w:jc w:val="center"/>
              <w:ind w:right="3040"/>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40" w:type="dxa"/>
            <w:vAlign w:val="bottom"/>
            <w:gridSpan w:val="6"/>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38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EE"/>
              </w:rPr>
              <w:t>INDUSTRY AND MARKET DATA</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380" w:type="dxa"/>
            <w:vAlign w:val="bottom"/>
            <w:gridSpan w:val="20"/>
            <w:vMerge w:val="continue"/>
          </w:tcPr>
          <w:p>
            <w:pPr>
              <w:spacing w:after="0"/>
              <w:rPr>
                <w:sz w:val="12"/>
                <w:szCs w:val="12"/>
                <w:color w:val="auto"/>
              </w:rPr>
            </w:pPr>
          </w:p>
        </w:tc>
        <w:tc>
          <w:tcPr>
            <w:tcW w:w="3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TRADEMARKS AND COPYRIGHTS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BASIS OF FINANCIAL PRESENTATION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0"/>
        </w:trPr>
        <w:tc>
          <w:tcPr>
            <w:tcW w:w="820" w:type="dxa"/>
            <w:vAlign w:val="bottom"/>
            <w:tcBorders>
              <w:top w:val="single" w:sz="8" w:color="0000EE"/>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96"/>
              </w:rPr>
              <w:t>SUMMARY</w:t>
            </w:r>
          </w:p>
        </w:tc>
        <w:tc>
          <w:tcPr>
            <w:tcW w:w="1960" w:type="dxa"/>
            <w:vAlign w:val="bottom"/>
            <w:tcBorders>
              <w:top w:val="single" w:sz="8" w:color="0000EE"/>
            </w:tcBorders>
            <w:gridSpan w:val="8"/>
          </w:tcPr>
          <w:p>
            <w:pPr>
              <w:spacing w:after="0"/>
              <w:rPr>
                <w:sz w:val="14"/>
                <w:szCs w:val="14"/>
                <w:color w:val="auto"/>
              </w:rPr>
            </w:pPr>
          </w:p>
        </w:tc>
        <w:tc>
          <w:tcPr>
            <w:tcW w:w="6600" w:type="dxa"/>
            <w:vAlign w:val="bottom"/>
            <w:gridSpan w:val="10"/>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RISK FACTORS</w:t>
            </w: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CAUTIONARY STATEMENT CONCERNING FORWARD-LOOKING STATEMENTS</w:t>
            </w: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Borders>
              <w:top w:val="single" w:sz="8" w:color="0000EE"/>
            </w:tcBorders>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THE SPIN-OFF</w:t>
            </w:r>
          </w:p>
        </w:tc>
        <w:tc>
          <w:tcPr>
            <w:tcW w:w="3680" w:type="dxa"/>
            <w:vAlign w:val="bottom"/>
            <w:gridSpan w:val="4"/>
          </w:tcPr>
          <w:p>
            <w:pPr>
              <w:spacing w:after="0"/>
              <w:rPr>
                <w:sz w:val="14"/>
                <w:szCs w:val="14"/>
                <w:color w:val="auto"/>
              </w:rPr>
            </w:pP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00" w:type="dxa"/>
            <w:vAlign w:val="bottom"/>
            <w:tcBorders>
              <w:bottom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w w:val="98"/>
              </w:rPr>
              <w:t>DIVIDEND POLICY</w:t>
            </w:r>
          </w:p>
        </w:tc>
        <w:tc>
          <w:tcPr>
            <w:tcW w:w="7980" w:type="dxa"/>
            <w:vAlign w:val="bottom"/>
            <w:gridSpan w:val="14"/>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EE"/>
                <w:w w:val="96"/>
              </w:rPr>
              <w:t>CAPITALIZATION</w:t>
            </w:r>
          </w:p>
        </w:tc>
        <w:tc>
          <w:tcPr>
            <w:tcW w:w="8080" w:type="dxa"/>
            <w:vAlign w:val="bottom"/>
            <w:gridSpan w:val="1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SELECTED HISTORICAL FINANCIAL DATA</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UNAUDITED PRO FORMA CONDENSED CONSOLIDATED FINANCIAL INFORMATION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70"/>
        </w:trPr>
        <w:tc>
          <w:tcPr>
            <w:tcW w:w="760" w:type="dxa"/>
            <w:vAlign w:val="bottom"/>
            <w:tcBorders>
              <w:top w:val="single" w:sz="8" w:color="0000EE"/>
              <w:bottom w:val="single" w:sz="8" w:color="0000EE"/>
            </w:tcBorders>
          </w:tcPr>
          <w:p>
            <w:pPr>
              <w:spacing w:after="0" w:line="171" w:lineRule="exact"/>
              <w:rPr>
                <w:sz w:val="20"/>
                <w:szCs w:val="20"/>
                <w:color w:val="auto"/>
              </w:rPr>
            </w:pPr>
            <w:r>
              <w:rPr>
                <w:rFonts w:ascii="Times New Roman" w:cs="Times New Roman" w:eastAsia="Times New Roman" w:hAnsi="Times New Roman"/>
                <w:sz w:val="16"/>
                <w:szCs w:val="16"/>
                <w:color w:val="0000EE"/>
                <w:w w:val="97"/>
              </w:rPr>
              <w:t>BUSINESS</w:t>
            </w:r>
          </w:p>
        </w:tc>
        <w:tc>
          <w:tcPr>
            <w:tcW w:w="5400" w:type="dxa"/>
            <w:vAlign w:val="bottom"/>
            <w:tcBorders>
              <w:top w:val="single" w:sz="8" w:color="0000EE"/>
            </w:tcBorders>
            <w:gridSpan w:val="17"/>
          </w:tcPr>
          <w:p>
            <w:pPr>
              <w:spacing w:after="0"/>
              <w:rPr>
                <w:sz w:val="14"/>
                <w:szCs w:val="14"/>
                <w:color w:val="auto"/>
              </w:rPr>
            </w:pPr>
          </w:p>
        </w:tc>
        <w:tc>
          <w:tcPr>
            <w:tcW w:w="3220" w:type="dxa"/>
            <w:vAlign w:val="bottom"/>
            <w:gridSpan w:val="2"/>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70"/>
        </w:trPr>
        <w:tc>
          <w:tcPr>
            <w:tcW w:w="1160" w:type="dxa"/>
            <w:vAlign w:val="bottom"/>
            <w:tcBorders>
              <w:top w:val="single" w:sz="8" w:color="0000EE"/>
              <w:bottom w:val="single" w:sz="8" w:color="0000EE"/>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EE"/>
                <w:w w:val="98"/>
              </w:rPr>
              <w:t>MANAGEMENT</w:t>
            </w:r>
          </w:p>
        </w:tc>
        <w:tc>
          <w:tcPr>
            <w:tcW w:w="6700" w:type="dxa"/>
            <w:vAlign w:val="bottom"/>
            <w:tcBorders>
              <w:top w:val="single" w:sz="8" w:color="0000EE"/>
            </w:tcBorders>
            <w:gridSpan w:val="15"/>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EXECUTIVE COMPENSATION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
        </w:trPr>
        <w:tc>
          <w:tcPr>
            <w:tcW w:w="2160" w:type="dxa"/>
            <w:vAlign w:val="bottom"/>
            <w:gridSpan w:val="7"/>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tcBorders>
              <w:bottom w:val="single" w:sz="8" w:color="0000EE"/>
            </w:tcBorders>
            <w:gridSpan w:val="17"/>
          </w:tcPr>
          <w:p>
            <w:pPr>
              <w:spacing w:after="0" w:line="171" w:lineRule="exact"/>
              <w:rPr>
                <w:sz w:val="20"/>
                <w:szCs w:val="20"/>
                <w:color w:val="auto"/>
              </w:rPr>
            </w:pPr>
            <w:r>
              <w:rPr>
                <w:rFonts w:ascii="Times New Roman" w:cs="Times New Roman" w:eastAsia="Times New Roman" w:hAnsi="Times New Roman"/>
                <w:sz w:val="16"/>
                <w:szCs w:val="16"/>
                <w:color w:val="0000EE"/>
                <w:w w:val="98"/>
              </w:rPr>
              <w:t>SECURITY OWNERSHIP OF CERTAIN BENEFICIAL OWNERS AND MANAGEMENT</w:t>
            </w:r>
          </w:p>
        </w:tc>
        <w:tc>
          <w:tcPr>
            <w:tcW w:w="3440" w:type="dxa"/>
            <w:vAlign w:val="bottom"/>
            <w:gridSpan w:val="3"/>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EE"/>
                <w:w w:val="97"/>
              </w:rPr>
              <w:t>CERTAIN RELATIONSHIPS AND RELATED PARTY TRANSACTIONS</w:t>
            </w:r>
          </w:p>
        </w:tc>
        <w:tc>
          <w:tcPr>
            <w:tcW w:w="4540" w:type="dxa"/>
            <w:vAlign w:val="bottom"/>
            <w:gridSpan w:val="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170"/>
        </w:trPr>
        <w:tc>
          <w:tcPr>
            <w:tcW w:w="2920" w:type="dxa"/>
            <w:vAlign w:val="bottom"/>
            <w:tcBorders>
              <w:bottom w:val="single" w:sz="8" w:color="0000EE"/>
            </w:tcBorders>
            <w:gridSpan w:val="11"/>
          </w:tcPr>
          <w:p>
            <w:pPr>
              <w:spacing w:after="0" w:line="171" w:lineRule="exact"/>
              <w:rPr>
                <w:sz w:val="20"/>
                <w:szCs w:val="20"/>
                <w:color w:val="auto"/>
              </w:rPr>
            </w:pPr>
            <w:r>
              <w:rPr>
                <w:rFonts w:ascii="Times New Roman" w:cs="Times New Roman" w:eastAsia="Times New Roman" w:hAnsi="Times New Roman"/>
                <w:sz w:val="16"/>
                <w:szCs w:val="16"/>
                <w:color w:val="0000EE"/>
                <w:w w:val="98"/>
              </w:rPr>
              <w:t>DESCRIPTION OF OUR CAPITAL STOCK</w:t>
            </w:r>
          </w:p>
        </w:tc>
        <w:tc>
          <w:tcPr>
            <w:tcW w:w="6460" w:type="dxa"/>
            <w:vAlign w:val="bottom"/>
            <w:gridSpan w:val="9"/>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70"/>
        </w:trPr>
        <w:tc>
          <w:tcPr>
            <w:tcW w:w="338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8"/>
              </w:rPr>
              <w:t>WHERE YOU CAN FIND MORE INFORMATION</w:t>
            </w:r>
          </w:p>
        </w:tc>
        <w:tc>
          <w:tcPr>
            <w:tcW w:w="6000" w:type="dxa"/>
            <w:vAlign w:val="bottom"/>
            <w:gridSpan w:val="7"/>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170"/>
        </w:trPr>
        <w:tc>
          <w:tcPr>
            <w:tcW w:w="3940" w:type="dxa"/>
            <w:vAlign w:val="bottom"/>
            <w:tcBorders>
              <w:bottom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5440" w:type="dxa"/>
            <w:vAlign w:val="bottom"/>
            <w:gridSpan w:val="6"/>
          </w:tcPr>
          <w:p>
            <w:pPr>
              <w:spacing w:after="0"/>
              <w:rPr>
                <w:sz w:val="14"/>
                <w:szCs w:val="14"/>
                <w:color w:val="auto"/>
              </w:rPr>
            </w:pPr>
          </w:p>
        </w:tc>
        <w:tc>
          <w:tcPr>
            <w:tcW w:w="32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INDUSTRY AND MARKET DATA</w:t>
      </w:r>
    </w:p>
    <w:p>
      <w:pPr>
        <w:spacing w:after="0" w:line="199" w:lineRule="exact"/>
        <w:rPr>
          <w:sz w:val="20"/>
          <w:szCs w:val="20"/>
          <w:color w:val="auto"/>
        </w:rPr>
      </w:pPr>
    </w:p>
    <w:p>
      <w:pPr>
        <w:ind w:left="760" w:right="120" w:firstLine="388"/>
        <w:spacing w:after="0" w:line="252" w:lineRule="auto"/>
        <w:rPr>
          <w:sz w:val="20"/>
          <w:szCs w:val="20"/>
          <w:color w:val="auto"/>
        </w:rPr>
      </w:pPr>
      <w:r>
        <w:rPr>
          <w:rFonts w:ascii="Times New Roman" w:cs="Times New Roman" w:eastAsia="Times New Roman" w:hAnsi="Times New Roman"/>
          <w:sz w:val="16"/>
          <w:szCs w:val="16"/>
          <w:color w:val="auto"/>
        </w:rPr>
        <w:t>Unless otherwise indicated, information contained in this Information Statement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This information involves a number of assumptions and limitations, and you are cautioned not to give undue weight to such estimates. While we believe the market position, market opportunity, and market size information included in this Information Statement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entitled “Risk Factors” and elsewhere in this Information Statement. These and other factors could cause results to differ materially from those expressed in the estimates made by independent third parties and by us.</w:t>
      </w:r>
    </w:p>
    <w:p>
      <w:pPr>
        <w:spacing w:after="0" w:line="35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TRADEMARKS AND COPYRIGHTS</w:t>
      </w:r>
    </w:p>
    <w:p>
      <w:pPr>
        <w:spacing w:after="0" w:line="199" w:lineRule="exact"/>
        <w:rPr>
          <w:sz w:val="20"/>
          <w:szCs w:val="20"/>
          <w:color w:val="auto"/>
        </w:rPr>
      </w:pPr>
    </w:p>
    <w:p>
      <w:pPr>
        <w:ind w:left="760" w:firstLine="388"/>
        <w:spacing w:after="0" w:line="234" w:lineRule="auto"/>
        <w:rPr>
          <w:sz w:val="20"/>
          <w:szCs w:val="20"/>
          <w:color w:val="auto"/>
        </w:rPr>
      </w:pPr>
      <w:r>
        <w:rPr>
          <w:rFonts w:ascii="Times New Roman" w:cs="Times New Roman" w:eastAsia="Times New Roman" w:hAnsi="Times New Roman"/>
          <w:sz w:val="16"/>
          <w:szCs w:val="16"/>
          <w:color w:val="auto"/>
        </w:rPr>
        <w:t xml:space="preserve">“GRAIL,” the GRAIL logos, “Galleri” and other trade names, trademarks or service marks of GRAIL appearing in this Information Statement are the property of GRAIL. GRAIL also owns or has the rights to copyrights that protect the content of its products. Other trade names, trademarks, service marks or copyrights appearing in this Information Statement are the property of their respective holders. Solely for convenience, trade names, trademarks, service marks, and copyrights referred to in this Information Statement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symbols, but those references are not intended to indicate, in any way, that we will not assert, to the fullest extent under applicable law, our rights or that the applicable owner will not assert its rights, to these trade names, trademarks, service marks, and copyrights.</w:t>
      </w:r>
    </w:p>
    <w:p>
      <w:pPr>
        <w:spacing w:after="0" w:line="36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BASIS OF FINANCIAL PRESENTATION</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Illumina acquired the common stock of GRAIL that it did not own and completed its acquisition of GRAIL on August 18, 2021. Our consolidated</w:t>
      </w:r>
    </w:p>
    <w:p>
      <w:pPr>
        <w:spacing w:after="0" w:line="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balance sheets as of December 31, 2023, January 1, 2023, and January 2, 2022, and our consolidated statements of operations, comprehensive loss, and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cash flows for the period from January 2, 2022 to January 1, 2023, the period from January 2, 2023 to December 31, 2023, and the period from August</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19, 2021 to January 2, 2022 (the “Successor”) reflect the new basis of accounting established in connection with the acquisition of GRAIL on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August 18, 2021 and for the period from January 1, 2021 to August 18, 2021 (the “Predecessor”) reflect the predecessor activity of GRAIL prior to the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acquisition. A black line distinguishes the periods before and after the acquisition of GRAIL because these periods are not comparable.</w:t>
      </w:r>
    </w:p>
    <w:p>
      <w:pPr>
        <w:spacing w:after="0" w:line="180"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Prior to the acquisition, we had a fiscal year end of December 31, which we will revert back to upon the closing of the Spin-Off. Illumina, and, by proxy, us following the acquisition and prior to the Spin-Off, use a 52-53 week fiscal year-end calendar that ends on the Sunday closest to the quarter-end, so the exact year-end date may change from year to year. In this Information Statement when we discuss our financial results:</w:t>
      </w:r>
    </w:p>
    <w:p>
      <w:pPr>
        <w:spacing w:after="0" w:line="73" w:lineRule="exact"/>
        <w:rPr>
          <w:sz w:val="20"/>
          <w:szCs w:val="20"/>
          <w:color w:val="auto"/>
        </w:rPr>
      </w:pPr>
    </w:p>
    <w:p>
      <w:pPr>
        <w:ind w:left="1620" w:hanging="375"/>
        <w:spacing w:after="0"/>
        <w:tabs>
          <w:tab w:leader="none" w:pos="162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2023 refer to the fiscal year ended December 31, 2023, which was 52 weeks;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2022 refer to the fiscal year ended January 1, 2023, which was 52 weeks; and</w:t>
      </w:r>
    </w:p>
    <w:p>
      <w:pPr>
        <w:spacing w:after="0" w:line="113"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2021 refer either to the Predecessor period from January 1, 2021 to August 18, 2021 (the “2021 predecessor period”), or the Successor period from August 19, 2021 to January 2, 2022 (the “2021 successor period”).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440"/>
          </w:cols>
          <w:pgMar w:left="320" w:top="419" w:right="11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457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71565" cy="5445760"/>
                    </a:xfrm>
                    <a:prstGeom prst="rect">
                      <a:avLst/>
                    </a:prstGeom>
                    <a:noFill/>
                  </pic:spPr>
                </pic:pic>
              </a:graphicData>
            </a:graphic>
          </wp:anchor>
        </w:drawing>
      </w:r>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99" w:lineRule="exact"/>
        <w:rPr>
          <w:sz w:val="20"/>
          <w:szCs w:val="20"/>
          <w:color w:val="auto"/>
        </w:rPr>
      </w:pPr>
    </w:p>
    <w:p>
      <w:pPr>
        <w:ind w:left="920" w:firstLine="375"/>
        <w:spacing w:after="0" w:line="255" w:lineRule="auto"/>
        <w:rPr>
          <w:sz w:val="20"/>
          <w:szCs w:val="20"/>
          <w:color w:val="auto"/>
        </w:rPr>
      </w:pPr>
      <w:r>
        <w:rPr>
          <w:rFonts w:ascii="Times New Roman" w:cs="Times New Roman" w:eastAsia="Times New Roman" w:hAnsi="Times New Roman"/>
          <w:sz w:val="16"/>
          <w:szCs w:val="16"/>
          <w:color w:val="auto"/>
        </w:rPr>
        <w:t>This summary highlights selected information from this Information Statement and provides an overview of our company, our separation from Illumina and Illumina’s distribution of our common stock to its stockholders. For a more complete understanding of our business and the spin-off, you should read the entire Information Statement carefully, particularly the discussion of “Risk Factors” and “Management’s Discussion and Analysis of Financial Condition and Results of Operation” beginning on pages 28 and 168, respectively, of this Information Statement, and our historical consolidated financial statements and the notes to those financial statements appearing elsewhere in this Information Statement.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 this Information Statement, unless the context otherwise requires:</w:t>
      </w:r>
    </w:p>
    <w:p>
      <w:pPr>
        <w:spacing w:after="0" w:line="114" w:lineRule="exact"/>
        <w:rPr>
          <w:sz w:val="20"/>
          <w:szCs w:val="20"/>
          <w:color w:val="auto"/>
        </w:rPr>
      </w:pPr>
    </w:p>
    <w:p>
      <w:pPr>
        <w:ind w:left="1760" w:right="40" w:hanging="366"/>
        <w:spacing w:after="0" w:line="278" w:lineRule="auto"/>
        <w:tabs>
          <w:tab w:leader="none" w:pos="176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“we,” “our,” and “us” refer to GRAIL, LLC and its consolidated subsidiaries prior to the effective time of its conversion to a corporation and to GRAIL, Inc. and its consolidated subsidiaries on and after the effective time of such conversion;</w:t>
      </w:r>
    </w:p>
    <w:p>
      <w:pPr>
        <w:spacing w:after="0" w:line="61" w:lineRule="exact"/>
        <w:rPr>
          <w:rFonts w:ascii="Times New Roman" w:cs="Times New Roman" w:eastAsia="Times New Roman" w:hAnsi="Times New Roman"/>
          <w:sz w:val="16"/>
          <w:szCs w:val="16"/>
          <w:color w:val="auto"/>
        </w:rPr>
      </w:pPr>
    </w:p>
    <w:p>
      <w:pPr>
        <w:ind w:left="1760" w:right="420" w:hanging="366"/>
        <w:spacing w:after="0" w:line="278" w:lineRule="auto"/>
        <w:tabs>
          <w:tab w:leader="none" w:pos="176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refers to Illumina, Inc. and its consolidated subsidiaries other than, for all periods following the Spin-Off (as defined below), GRAIL;</w:t>
      </w:r>
    </w:p>
    <w:p>
      <w:pPr>
        <w:spacing w:after="0" w:line="61" w:lineRule="exact"/>
        <w:rPr>
          <w:rFonts w:ascii="Times New Roman" w:cs="Times New Roman" w:eastAsia="Times New Roman" w:hAnsi="Times New Roman"/>
          <w:sz w:val="16"/>
          <w:szCs w:val="16"/>
          <w:color w:val="auto"/>
        </w:rPr>
      </w:pPr>
    </w:p>
    <w:p>
      <w:pPr>
        <w:ind w:left="1760" w:right="380" w:hanging="366"/>
        <w:spacing w:after="0" w:line="278" w:lineRule="auto"/>
        <w:tabs>
          <w:tab w:leader="none" w:pos="176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refers to the transaction in which Illumina will distribute to its stockholders at least 85.5% of the shares of our common stock owned by Illumina;</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Date” refers to the date on which the Distribution occurs; and</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refers to the transaction in which we will be separated from Illumina.</w:t>
      </w:r>
    </w:p>
    <w:p>
      <w:pPr>
        <w:spacing w:after="0" w:line="2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920" w:right="60" w:firstLine="375"/>
        <w:spacing w:after="0" w:line="252"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clinically-validated, commercially available test for early detection of multiple types of cancer, which we termed multi-cancer early detection (“MCED”). Galleri detects a shared cancer signal across more than 50 types of cancer and can predict with high accuracy the specific organ or tissue type where the cancer signal originated, all from a simple blood draw. We launched Galleri in the United States in mid-2021. As of September 30, 2023, we have sold more than 125,000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5" w:lineRule="exact"/>
        <w:rPr>
          <w:sz w:val="20"/>
          <w:szCs w:val="20"/>
          <w:color w:val="auto"/>
        </w:rPr>
      </w:pPr>
    </w:p>
    <w:p>
      <w:pPr>
        <w:ind w:left="920" w:right="40" w:firstLine="375"/>
        <w:spacing w:after="0" w:line="252" w:lineRule="auto"/>
        <w:rPr>
          <w:sz w:val="20"/>
          <w:szCs w:val="20"/>
          <w:color w:val="auto"/>
        </w:rPr>
      </w:pPr>
      <w:r>
        <w:rPr>
          <w:rFonts w:ascii="Times New Roman" w:cs="Times New Roman" w:eastAsia="Times New Roman" w:hAnsi="Times New Roman"/>
          <w:sz w:val="16"/>
          <w:szCs w:val="16"/>
          <w:color w:val="auto"/>
        </w:rPr>
        <w:t>Cancer is a major public health crisis. It is the second leading cause of death both in the United States and worldwide. Most cancers that result in death are diagnosed too late, in advanced stages when they are most challenging to treat. Approximately 67% of cancer deaths result from cancers that have no recommended screening guidelines.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We believe that expanding upon these current guidelines to screen individuals for many types of cancer with a single test represents a significant opportunity to reduce cancer mortality and the cost of cancer care. Based on our published modeling data, we estimate that adding Galleri to these five standard of care single-cancer screening tests could detect many more cancers at an earlier</w:t>
      </w: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280"/>
          </w:cols>
          <w:pgMar w:left="320" w:top="419" w:right="12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663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71565" cy="5166360"/>
                    </a:xfrm>
                    <a:prstGeom prst="rect">
                      <a:avLst/>
                    </a:prstGeom>
                    <a:noFill/>
                  </pic:spPr>
                </pic:pic>
              </a:graphicData>
            </a:graphic>
          </wp:anchor>
        </w:drawing>
      </w:r>
    </w:p>
    <w:p>
      <w:pPr>
        <w:spacing w:after="0" w:line="267" w:lineRule="exact"/>
        <w:rPr>
          <w:sz w:val="20"/>
          <w:szCs w:val="20"/>
          <w:color w:val="auto"/>
        </w:rPr>
      </w:pPr>
    </w:p>
    <w:p>
      <w:pPr>
        <w:ind w:left="920" w:right="400"/>
        <w:spacing w:after="0" w:line="313" w:lineRule="auto"/>
        <w:rPr>
          <w:sz w:val="20"/>
          <w:szCs w:val="20"/>
          <w:color w:val="auto"/>
        </w:rPr>
      </w:pPr>
      <w:r>
        <w:rPr>
          <w:rFonts w:ascii="Times New Roman" w:cs="Times New Roman" w:eastAsia="Times New Roman" w:hAnsi="Times New Roman"/>
          <w:sz w:val="15"/>
          <w:szCs w:val="15"/>
          <w:color w:val="auto"/>
        </w:rPr>
        <w:t>stage and potentially avert approximately 100,000 deaths per year in the United States as measured by five-year survival. In addition, a recent analysis demonstrated that diagnosing cancer early could result in an estimated $26 billion in annual cost-savings in the United States.</w:t>
      </w:r>
    </w:p>
    <w:p>
      <w:pPr>
        <w:spacing w:after="0" w:line="121" w:lineRule="exact"/>
        <w:rPr>
          <w:sz w:val="20"/>
          <w:szCs w:val="20"/>
          <w:color w:val="auto"/>
        </w:rPr>
      </w:pPr>
    </w:p>
    <w:p>
      <w:pPr>
        <w:ind w:left="920" w:right="120" w:firstLine="375"/>
        <w:spacing w:after="0" w:line="255" w:lineRule="auto"/>
        <w:rPr>
          <w:sz w:val="20"/>
          <w:szCs w:val="20"/>
          <w:color w:val="auto"/>
        </w:rPr>
      </w:pPr>
      <w:r>
        <w:rPr>
          <w:rFonts w:ascii="Times New Roman" w:cs="Times New Roman" w:eastAsia="Times New Roman" w:hAnsi="Times New Roman"/>
          <w:sz w:val="16"/>
          <w:szCs w:val="16"/>
          <w:color w:val="auto"/>
        </w:rPr>
        <w:t>We designed Galleri to detect cancer early, when it can be cured. Galleri works by detecting DNA fragments shed into the bloodstream by tumor cells. DNA from cancer has specific methylation patterns that can be used to both identify a general cancer signal and localize that signal to a specific organ or tissue type. In clinical studies, Galleri identified a shared cancer signal across more than 50 types of cancer, often at an early stage. If a cancer signal is detected, Galleri predicts the tissue type or organ associated with the cancer signal (the cancer signal origin) with high accuracy. Test results are then used by healthcare providers to guide follow-up diagnostic testing.</w:t>
      </w:r>
    </w:p>
    <w:p>
      <w:pPr>
        <w:spacing w:after="0" w:line="165"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 xml:space="preserve">As an early leader in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Nature Medicine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Our industry leadership has been recognized with multiple national high profile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Fast Company</w:t>
      </w:r>
      <w:r>
        <w:rPr>
          <w:rFonts w:ascii="Times New Roman" w:cs="Times New Roman" w:eastAsia="Times New Roman" w:hAnsi="Times New Roman"/>
          <w:sz w:val="16"/>
          <w:szCs w:val="16"/>
          <w:color w:val="auto"/>
        </w:rPr>
        <w:t xml:space="preserve"> World 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To support broad access for Galleri in the United States, we plan to complete a premarket approval application (“PMA”) submission with the</w:t>
      </w:r>
    </w:p>
    <w:p>
      <w:pPr>
        <w:spacing w:after="0" w:line="35" w:lineRule="exact"/>
        <w:rPr>
          <w:sz w:val="20"/>
          <w:szCs w:val="20"/>
          <w:color w:val="auto"/>
        </w:rPr>
      </w:pPr>
    </w:p>
    <w:p>
      <w:pPr>
        <w:ind w:left="920" w:right="20"/>
        <w:spacing w:after="0" w:line="249" w:lineRule="auto"/>
        <w:rPr>
          <w:sz w:val="20"/>
          <w:szCs w:val="20"/>
          <w:color w:val="auto"/>
        </w:rPr>
      </w:pPr>
      <w:r>
        <w:rPr>
          <w:rFonts w:ascii="Times New Roman" w:cs="Times New Roman" w:eastAsia="Times New Roman" w:hAnsi="Times New Roman"/>
          <w:sz w:val="16"/>
          <w:szCs w:val="16"/>
          <w:color w:val="auto"/>
        </w:rPr>
        <w:t>U.S. Food and Drug Administration (the “FDA”) in .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and we are working with stakeholders to advance and shape the public reimbursement landscape to cover MCED screening for FDA-approved MCED tests. Following FDA approval, we also expect to pursue inclusion of Galleri in the USPSTF’s guideline recommendation.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w:t>
      </w:r>
    </w:p>
    <w:p>
      <w:pPr>
        <w:spacing w:after="0" w:line="169" w:lineRule="exact"/>
        <w:rPr>
          <w:sz w:val="20"/>
          <w:szCs w:val="20"/>
          <w:color w:val="auto"/>
        </w:rPr>
      </w:pPr>
    </w:p>
    <w:p>
      <w:pPr>
        <w:ind w:left="920" w:right="60" w:firstLine="375"/>
        <w:spacing w:after="0" w:line="251" w:lineRule="auto"/>
        <w:rPr>
          <w:sz w:val="20"/>
          <w:szCs w:val="20"/>
          <w:color w:val="auto"/>
        </w:rPr>
      </w:pPr>
      <w:r>
        <w:rPr>
          <w:rFonts w:ascii="Times New Roman" w:cs="Times New Roman" w:eastAsia="Times New Roman" w:hAnsi="Times New Roman"/>
          <w:sz w:val="16"/>
          <w:szCs w:val="16"/>
          <w:color w:val="auto"/>
        </w:rPr>
        <w:t>Since our founding, we have undertaken a rigorous approach to identify in a blood sample the most informative markers of cancer through what we believe is the largest clinical program in genomic medicine to date. We have collected population-scale clinical data from more than 300,000 participants across eight clinical studies, with more than 21,000 of these participants included in the studies that supported the development and launch of Galleri, and over 165,000 individuals enrolled in interventional studies (NHS Galleri and PATHFINDER 2) to support our PMA submission. These studies include our foundational case-control Circulating Cell-free Genome Atlas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Our clinical studies, including our early discovery work, have demonstrated robust and reproducible test performance. Notably, key results from our interventional</w:t>
      </w: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20"/>
          </w:cols>
          <w:pgMar w:left="320" w:top="419" w:right="12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701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71565" cy="5370195"/>
                    </a:xfrm>
                    <a:prstGeom prst="rect">
                      <a:avLst/>
                    </a:prstGeom>
                    <a:noFill/>
                  </pic:spPr>
                </pic:pic>
              </a:graphicData>
            </a:graphic>
          </wp:anchor>
        </w:drawing>
      </w:r>
    </w:p>
    <w:p>
      <w:pPr>
        <w:spacing w:after="0" w:line="267" w:lineRule="exact"/>
        <w:rPr>
          <w:sz w:val="20"/>
          <w:szCs w:val="20"/>
          <w:color w:val="auto"/>
        </w:rPr>
      </w:pPr>
    </w:p>
    <w:p>
      <w:pPr>
        <w:ind w:left="920" w:right="40"/>
        <w:spacing w:after="0" w:line="278" w:lineRule="auto"/>
        <w:rPr>
          <w:sz w:val="20"/>
          <w:szCs w:val="20"/>
          <w:color w:val="auto"/>
        </w:rPr>
      </w:pPr>
      <w:r>
        <w:rPr>
          <w:rFonts w:ascii="Times New Roman" w:cs="Times New Roman" w:eastAsia="Times New Roman" w:hAnsi="Times New Roman"/>
          <w:sz w:val="16"/>
          <w:szCs w:val="16"/>
          <w:color w:val="auto"/>
        </w:rPr>
        <w:t>PATHFINDER study were generally consistent with data from our case-control CCGA study, which is evidence supporting the generalizability and robustness of Galleri. We expect to continue to report ongoing and long-term follow-up clinical data from these studies over many years.</w:t>
      </w:r>
    </w:p>
    <w:p>
      <w:pPr>
        <w:spacing w:after="0" w:line="145"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Based on our extensive discovery work, we believe that targeted methylation is the best approach for detecting a cancer signal and identifying a cancer signal origin. In our head-to-head analyses, methylation exhibited stronger performance when compared to interrogating mutations, chromosomal alterations, fragment lengths,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we refined and developed a targeted methylation approach focused on highly informative and low-noise methylation regions for cancer signal and cancer signal origin detection. Our targeted methylation approach can detect lower levels of cancer signal in blood compared to the other approaches, enabling early cancer detection in asymptomatic individuals more efficiently compared to whole-genome methylation.</w:t>
      </w:r>
    </w:p>
    <w:p>
      <w:pPr>
        <w:spacing w:after="0" w:line="168" w:lineRule="exact"/>
        <w:rPr>
          <w:sz w:val="20"/>
          <w:szCs w:val="20"/>
          <w:color w:val="auto"/>
        </w:rPr>
      </w:pPr>
    </w:p>
    <w:p>
      <w:pPr>
        <w:ind w:left="920" w:right="160" w:firstLine="375"/>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760" w:right="40" w:hanging="366"/>
        <w:spacing w:after="0" w:line="252" w:lineRule="auto"/>
        <w:tabs>
          <w:tab w:leader="none" w:pos="176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Precision oncology portfolio: </w:t>
      </w:r>
      <w:r>
        <w:rPr>
          <w:rFonts w:ascii="Times New Roman" w:cs="Times New Roman" w:eastAsia="Times New Roman" w:hAnsi="Times New Roman"/>
          <w:sz w:val="16"/>
          <w:szCs w:val="16"/>
          <w:color w:val="auto"/>
        </w:rPr>
        <w:t>We are developing our precision oncology portfolio and launched our research use only (“RUO”)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targeted 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detection of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and support patient care across the cancer care continuum.</w:t>
      </w:r>
    </w:p>
    <w:p>
      <w:pPr>
        <w:spacing w:after="0" w:line="79" w:lineRule="exact"/>
        <w:rPr>
          <w:rFonts w:ascii="Times New Roman" w:cs="Times New Roman" w:eastAsia="Times New Roman" w:hAnsi="Times New Roman"/>
          <w:sz w:val="16"/>
          <w:szCs w:val="16"/>
          <w:color w:val="auto"/>
        </w:rPr>
      </w:pPr>
    </w:p>
    <w:p>
      <w:pPr>
        <w:ind w:left="1760" w:right="100" w:hanging="366"/>
        <w:spacing w:after="0" w:line="253" w:lineRule="auto"/>
        <w:tabs>
          <w:tab w:leader="none" w:pos="176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Diagnostic aid for cancer test</w:t>
      </w:r>
      <w:r>
        <w:rPr>
          <w:rFonts w:ascii="Times New Roman" w:cs="Times New Roman" w:eastAsia="Times New Roman" w:hAnsi="Times New Roman"/>
          <w:sz w:val="16"/>
          <w:szCs w:val="16"/>
          <w:color w:val="auto"/>
        </w:rPr>
        <w:t>: We are developing our diagnostic aid for cancer (“DAC”) test to accelerate diagnostic resolution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technology was able to detect many cancer types and identify where the cancer signal origin was located in the body with high accuracy.</w:t>
      </w:r>
    </w:p>
    <w:p>
      <w:pPr>
        <w:spacing w:after="0" w:line="168" w:lineRule="exact"/>
        <w:rPr>
          <w:sz w:val="20"/>
          <w:szCs w:val="20"/>
          <w:color w:val="auto"/>
        </w:rPr>
      </w:pPr>
    </w:p>
    <w:p>
      <w:pPr>
        <w:ind w:left="920" w:right="40" w:firstLine="375"/>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present significant market opportunities and patient care solutions across the cancer care continuum.</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760" w:right="280" w:hanging="366"/>
        <w:spacing w:after="0" w:line="281" w:lineRule="auto"/>
        <w:tabs>
          <w:tab w:leader="none" w:pos="1760"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test, Galleri. </w:t>
      </w:r>
      <w:r>
        <w:rPr>
          <w:rFonts w:ascii="Times New Roman" w:cs="Times New Roman" w:eastAsia="Times New Roman" w:hAnsi="Times New Roman"/>
          <w:sz w:val="16"/>
          <w:szCs w:val="16"/>
          <w:color w:val="auto"/>
        </w:rPr>
        <w:t>Galleri is a clinically-validated, commercially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MCED test that is setting the standard for multi-cancer early</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20"/>
          </w:cols>
          <w:pgMar w:left="320" w:top="419" w:right="12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8869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71565" cy="4886960"/>
                    </a:xfrm>
                    <a:prstGeom prst="rect">
                      <a:avLst/>
                    </a:prstGeom>
                    <a:noFill/>
                  </pic:spPr>
                </pic:pic>
              </a:graphicData>
            </a:graphic>
          </wp:anchor>
        </w:drawing>
      </w:r>
    </w:p>
    <w:p>
      <w:pPr>
        <w:spacing w:after="0" w:line="267" w:lineRule="exact"/>
        <w:rPr>
          <w:sz w:val="20"/>
          <w:szCs w:val="20"/>
          <w:color w:val="auto"/>
        </w:rPr>
      </w:pPr>
    </w:p>
    <w:p>
      <w:pPr>
        <w:ind w:left="1760" w:right="40"/>
        <w:spacing w:after="0" w:line="252" w:lineRule="auto"/>
        <w:rPr>
          <w:sz w:val="20"/>
          <w:szCs w:val="20"/>
          <w:color w:val="auto"/>
        </w:rPr>
      </w:pPr>
      <w:r>
        <w:rPr>
          <w:rFonts w:ascii="Times New Roman" w:cs="Times New Roman" w:eastAsia="Times New Roman" w:hAnsi="Times New Roman"/>
          <w:sz w:val="16"/>
          <w:szCs w:val="16"/>
          <w:color w:val="auto"/>
        </w:rPr>
        <w:t xml:space="preserve">detection. From a simple blood draw, Galleri can detect a cancer signal shared by over 50 types of cancer, over 45 of which do not have recommended screening guidelines. Galleri has demonstrated high positive predictive value (“PPV”) and low false positive rate, improves the opportunity for early detection of cancer in asymptomatic individuals by screening for multiple types of cancer, and predicts the location of the suspected cancer with high accuracy to help guide an efficient diagnostic evaluation. Further, as Galleri relies on a blood draw, the test can be integrated into existing care pathways, such as annual health checks, which can enable wide 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Fast Company</w:t>
      </w:r>
      <w:r>
        <w:rPr>
          <w:rFonts w:ascii="Times New Roman" w:cs="Times New Roman" w:eastAsia="Times New Roman" w:hAnsi="Times New Roman"/>
          <w:sz w:val="16"/>
          <w:szCs w:val="16"/>
          <w:color w:val="auto"/>
        </w:rPr>
        <w:t xml:space="preserve"> World 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pacing w:after="0" w:line="80" w:lineRule="exact"/>
        <w:rPr>
          <w:sz w:val="20"/>
          <w:szCs w:val="20"/>
          <w:color w:val="auto"/>
        </w:rPr>
      </w:pPr>
    </w:p>
    <w:p>
      <w:pPr>
        <w:ind w:left="1760" w:hanging="366"/>
        <w:spacing w:after="0" w:line="251" w:lineRule="auto"/>
        <w:tabs>
          <w:tab w:leader="none" w:pos="176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Galleri is significant, with more than 300 million individuals globally over the age of 50 (our intended use population), including more than 100 million individuals in the United States. We launched Galleri in the United States in mid-2021. As of September 30, 2023, we have sold more than 125,000 commercial tests and established over 100 commercial partnerships, including leading healthcare systems, employers, payors, and life insurance providers. In this real-world setting, Galleri is detecting deadly cancers in early stages. As an early leader in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Subject to the results of an early analysis from the first screening test (the prevalent screening round) in the NHS-Galleri Trial, the NHS may commence phased commercial implementation in England, beginning with a two-year pilot, and with the potential for further expansion subject to final results from the trial. Our commercial leadership is further supported by our high-capacity laboratories to enable population screening volumes.</w:t>
      </w:r>
    </w:p>
    <w:p>
      <w:pPr>
        <w:spacing w:after="0" w:line="82" w:lineRule="exact"/>
        <w:rPr>
          <w:rFonts w:ascii="Times New Roman" w:cs="Times New Roman" w:eastAsia="Times New Roman" w:hAnsi="Times New Roman"/>
          <w:sz w:val="16"/>
          <w:szCs w:val="16"/>
          <w:color w:val="auto"/>
        </w:rPr>
      </w:pPr>
    </w:p>
    <w:p>
      <w:pPr>
        <w:ind w:left="1760" w:hanging="366"/>
        <w:spacing w:after="0" w:line="250" w:lineRule="auto"/>
        <w:tabs>
          <w:tab w:leader="none" w:pos="176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Clinical validation through unprecedented clinical studies and real-world experience. </w:t>
      </w:r>
      <w:r>
        <w:rPr>
          <w:rFonts w:ascii="Times New Roman" w:cs="Times New Roman" w:eastAsia="Times New Roman" w:hAnsi="Times New Roman"/>
          <w:sz w:val="16"/>
          <w:szCs w:val="16"/>
          <w:color w:val="auto"/>
        </w:rPr>
        <w:t>We designed and executed what we believe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the largest clinical program in genomic medicine to date. We have collected population-scale clinical data from more than 300,000 participants across eight clinical studies, with more than 21,000 of these participants included in the studies that supported the development and launch of Galleri, and over 165,000 individuals enrolled in interventional studies (NHS Galleri and PATHFINDER 2) to support our PMA submission.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Our clinical studies, including our early discovery work, have demonstrated robust and reproducible test performance. Notably, key results from our interventional PATHFINDER study were generally consistent with data from our case-control CCGA study, which is evidence supporting the generalizability and robustness of Galleri. Together with our partners at leading community and academic medical centers in the United States and United Kingdom, we expect to continue to report ongoing and long-term follow-up clinical data from these studies over many years.</w:t>
      </w:r>
    </w:p>
    <w:p>
      <w:pPr>
        <w:spacing w:after="0" w:line="89" w:lineRule="exact"/>
        <w:rPr>
          <w:rFonts w:ascii="Times New Roman" w:cs="Times New Roman" w:eastAsia="Times New Roman" w:hAnsi="Times New Roman"/>
          <w:sz w:val="16"/>
          <w:szCs w:val="16"/>
          <w:color w:val="auto"/>
        </w:rPr>
      </w:pPr>
    </w:p>
    <w:p>
      <w:pPr>
        <w:ind w:left="1760" w:right="200" w:hanging="366"/>
        <w:spacing w:after="0" w:line="281" w:lineRule="auto"/>
        <w:tabs>
          <w:tab w:leader="none" w:pos="176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a scientifically rigorous approach to develop a deep and</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00"/>
          </w:cols>
          <w:pgMar w:left="320" w:top="419" w:right="12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381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71565" cy="5438140"/>
                    </a:xfrm>
                    <a:prstGeom prst="rect">
                      <a:avLst/>
                    </a:prstGeom>
                    <a:noFill/>
                  </pic:spPr>
                </pic:pic>
              </a:graphicData>
            </a:graphic>
          </wp:anchor>
        </w:drawing>
      </w:r>
    </w:p>
    <w:p>
      <w:pPr>
        <w:spacing w:after="0" w:line="267" w:lineRule="exact"/>
        <w:rPr>
          <w:sz w:val="20"/>
          <w:szCs w:val="20"/>
          <w:color w:val="auto"/>
        </w:rPr>
      </w:pPr>
    </w:p>
    <w:p>
      <w:pPr>
        <w:jc w:val="both"/>
        <w:ind w:left="1760" w:right="140"/>
        <w:spacing w:after="0" w:line="272" w:lineRule="auto"/>
        <w:rPr>
          <w:sz w:val="20"/>
          <w:szCs w:val="20"/>
          <w:color w:val="auto"/>
        </w:rPr>
      </w:pPr>
      <w:r>
        <w:rPr>
          <w:rFonts w:ascii="Times New Roman" w:cs="Times New Roman" w:eastAsia="Times New Roman" w:hAnsi="Times New Roman"/>
          <w:sz w:val="15"/>
          <w:szCs w:val="15"/>
          <w:color w:val="auto"/>
        </w:rPr>
        <w:t>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w:t>
      </w:r>
    </w:p>
    <w:p>
      <w:pPr>
        <w:spacing w:after="0" w:line="2" w:lineRule="exact"/>
        <w:rPr>
          <w:sz w:val="20"/>
          <w:szCs w:val="20"/>
          <w:color w:val="auto"/>
        </w:rPr>
      </w:pPr>
    </w:p>
    <w:p>
      <w:pPr>
        <w:ind w:left="1760" w:right="100"/>
        <w:spacing w:after="0" w:line="249" w:lineRule="auto"/>
        <w:rPr>
          <w:sz w:val="20"/>
          <w:szCs w:val="20"/>
          <w:color w:val="auto"/>
        </w:rPr>
      </w:pPr>
      <w:r>
        <w:rPr>
          <w:rFonts w:ascii="Times New Roman" w:cs="Times New Roman" w:eastAsia="Times New Roman" w:hAnsi="Times New Roman"/>
          <w:sz w:val="16"/>
          <w:szCs w:val="16"/>
          <w:color w:val="auto"/>
        </w:rPr>
        <w:t>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85" w:lineRule="exact"/>
        <w:rPr>
          <w:sz w:val="20"/>
          <w:szCs w:val="20"/>
          <w:color w:val="auto"/>
        </w:rPr>
      </w:pPr>
    </w:p>
    <w:p>
      <w:pPr>
        <w:ind w:left="1760" w:hanging="366"/>
        <w:spacing w:after="0"/>
        <w:tabs>
          <w:tab w:leader="none" w:pos="176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w:t>
      </w:r>
    </w:p>
    <w:p>
      <w:pPr>
        <w:sectPr>
          <w:pgSz w:w="11900" w:h="16838" w:orient="portrait"/>
          <w:cols w:equalWidth="0" w:num="1">
            <w:col w:w="10300"/>
          </w:cols>
          <w:pgMar w:left="320" w:top="419" w:right="1279" w:bottom="1440" w:gutter="0" w:footer="0" w:header="0"/>
        </w:sectPr>
      </w:pPr>
    </w:p>
    <w:p>
      <w:pPr>
        <w:spacing w:after="0" w:line="25" w:lineRule="exact"/>
        <w:rPr>
          <w:sz w:val="20"/>
          <w:szCs w:val="20"/>
          <w:color w:val="auto"/>
        </w:rPr>
      </w:pPr>
    </w:p>
    <w:p>
      <w:pPr>
        <w:ind w:left="1760" w:right="80"/>
        <w:spacing w:after="0" w:line="248" w:lineRule="auto"/>
        <w:rPr>
          <w:sz w:val="20"/>
          <w:szCs w:val="20"/>
          <w:color w:val="auto"/>
        </w:rPr>
      </w:pPr>
      <w:r>
        <w:rPr>
          <w:rFonts w:ascii="Times New Roman" w:cs="Times New Roman" w:eastAsia="Times New Roman" w:hAnsi="Times New Roman"/>
          <w:sz w:val="16"/>
          <w:szCs w:val="16"/>
          <w:color w:val="auto"/>
        </w:rPr>
        <w:t>Galleri and our products in development. Specifically, we have exclusive licenses to more than granted patents globally, and own more than issued patents, with more than pending patent applications covering methylation and other</w:t>
      </w:r>
    </w:p>
    <w:p>
      <w:pPr>
        <w:sectPr>
          <w:pgSz w:w="11900" w:h="16838" w:orient="portrait"/>
          <w:cols w:equalWidth="0" w:num="1">
            <w:col w:w="10300"/>
          </w:cols>
          <w:pgMar w:left="320" w:top="419" w:right="1279" w:bottom="1440" w:gutter="0" w:footer="0" w:header="0"/>
          <w:type w:val="continuous"/>
        </w:sectPr>
      </w:pPr>
    </w:p>
    <w:p>
      <w:pPr>
        <w:spacing w:after="0" w:line="1" w:lineRule="exact"/>
        <w:rPr>
          <w:sz w:val="20"/>
          <w:szCs w:val="20"/>
          <w:color w:val="auto"/>
        </w:rPr>
      </w:pPr>
    </w:p>
    <w:p>
      <w:pPr>
        <w:jc w:val="both"/>
        <w:ind w:left="1760" w:right="340"/>
        <w:spacing w:after="0" w:line="252" w:lineRule="auto"/>
        <w:rPr>
          <w:sz w:val="20"/>
          <w:szCs w:val="20"/>
          <w:color w:val="auto"/>
        </w:rPr>
      </w:pPr>
      <w:r>
        <w:rPr>
          <w:rFonts w:ascii="Times New Roman" w:cs="Times New Roman" w:eastAsia="Times New Roman" w:hAnsi="Times New Roman"/>
          <w:sz w:val="16"/>
          <w:szCs w:val="16"/>
          <w:color w:val="auto"/>
        </w:rPr>
        <w:t>technologies. In addition, our patents, trade secrets, and know-how provide broad intellectual property coverage for our products, including chemistry, bioinformatics, and machine learning algorithms used in Galleri and our product development pipeline. Our patents will begin to expire in 2028. Our patent applications, if issued as patents, would begin to expire in 2037.</w:t>
      </w:r>
    </w:p>
    <w:p>
      <w:pPr>
        <w:spacing w:after="0" w:line="80" w:lineRule="exact"/>
        <w:rPr>
          <w:sz w:val="20"/>
          <w:szCs w:val="20"/>
          <w:color w:val="auto"/>
        </w:rPr>
      </w:pPr>
    </w:p>
    <w:p>
      <w:pPr>
        <w:ind w:left="1760" w:hanging="366"/>
        <w:spacing w:after="0" w:line="254" w:lineRule="auto"/>
        <w:tabs>
          <w:tab w:leader="none" w:pos="176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760" w:hanging="366"/>
        <w:spacing w:after="0" w:line="252" w:lineRule="auto"/>
        <w:tabs>
          <w:tab w:leader="none" w:pos="176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 screenings, and establish and maintain the market 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760" w:hanging="366"/>
        <w:spacing w:after="0" w:line="254" w:lineRule="auto"/>
        <w:tabs>
          <w:tab w:leader="none" w:pos="176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Expanding access to our products by pursuing reimbursement and coverage from payors. </w:t>
      </w:r>
      <w:r>
        <w:rPr>
          <w:rFonts w:ascii="Times New Roman" w:cs="Times New Roman" w:eastAsia="Times New Roman" w:hAnsi="Times New Roman"/>
          <w:sz w:val="16"/>
          <w:szCs w:val="16"/>
          <w:color w:val="auto"/>
        </w:rPr>
        <w:t>Our ability to impact cancer outcomes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will be accelerated in markets where we secure reimbursement for our products. Prior to broad reimbursement in the United States, we will continue our work with clinics and health systems to accelerate utilization, and with self-insured employers and health insurers to offer and cover Galleri. In the United States, we have established private reimbursement from over 70 self-insured employers and multiple payors and health systems as of September 30, 2023. To support broad access for Galleri in the United States, we plan to complete a PMA submission with the FDA in</w:t>
      </w: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300"/>
          </w:cols>
          <w:pgMar w:left="320" w:top="419" w:right="1279"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8869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171565" cy="4886960"/>
                    </a:xfrm>
                    <a:prstGeom prst="rect">
                      <a:avLst/>
                    </a:prstGeom>
                    <a:noFill/>
                  </pic:spPr>
                </pic:pic>
              </a:graphicData>
            </a:graphic>
          </wp:anchor>
        </w:drawing>
      </w:r>
    </w:p>
    <w:p>
      <w:pPr>
        <w:spacing w:after="0" w:line="267" w:lineRule="exact"/>
        <w:rPr>
          <w:sz w:val="20"/>
          <w:szCs w:val="20"/>
          <w:color w:val="auto"/>
        </w:rPr>
      </w:pPr>
    </w:p>
    <w:p>
      <w:pPr>
        <w:ind w:left="1760" w:firstLine="637"/>
        <w:spacing w:after="0" w:line="251" w:lineRule="auto"/>
        <w:tabs>
          <w:tab w:leader="none" w:pos="2474" w:val="left"/>
        </w:tabs>
        <w:numPr>
          <w:ilvl w:val="1"/>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by Medicare. Following FDA approval, we also expect to pursue inclusion of Galleri in the USPSTF’s guideline recommendation.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80" w:lineRule="exact"/>
        <w:rPr>
          <w:rFonts w:ascii="Times New Roman" w:cs="Times New Roman" w:eastAsia="Times New Roman" w:hAnsi="Times New Roman"/>
          <w:sz w:val="16"/>
          <w:szCs w:val="16"/>
          <w:color w:val="auto"/>
        </w:rPr>
      </w:pPr>
    </w:p>
    <w:p>
      <w:pPr>
        <w:ind w:left="1760" w:right="20" w:hanging="366"/>
        <w:spacing w:after="0" w:line="252" w:lineRule="auto"/>
        <w:tabs>
          <w:tab w:leader="none" w:pos="176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September 30, 2023, we have published more than 45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We have also presented our data in more than 20 podium and 135 poster presentations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renowned medical conferences, 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82" w:lineRule="exact"/>
        <w:rPr>
          <w:rFonts w:ascii="Times New Roman" w:cs="Times New Roman" w:eastAsia="Times New Roman" w:hAnsi="Times New Roman"/>
          <w:sz w:val="16"/>
          <w:szCs w:val="16"/>
          <w:color w:val="auto"/>
        </w:rPr>
      </w:pPr>
    </w:p>
    <w:p>
      <w:pPr>
        <w:ind w:left="1760" w:right="100" w:hanging="366"/>
        <w:spacing w:after="0" w:line="251" w:lineRule="auto"/>
        <w:tabs>
          <w:tab w:leader="none" w:pos="176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methylation 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 and post-treatment prognosis, recurrence detection, and clinical monitoring. We continually seek to enhance the performance of our products through a comprehensive, rigorous approach to ongoing classifier training, improvement of features, and reduced processing time and cost. We will continue to improve our technologies and launch innovative products across the cancer care continuum.</w:t>
      </w:r>
    </w:p>
    <w:p>
      <w:pPr>
        <w:spacing w:after="0" w:line="84" w:lineRule="exact"/>
        <w:rPr>
          <w:rFonts w:ascii="Times New Roman" w:cs="Times New Roman" w:eastAsia="Times New Roman" w:hAnsi="Times New Roman"/>
          <w:sz w:val="16"/>
          <w:szCs w:val="16"/>
          <w:color w:val="auto"/>
        </w:rPr>
      </w:pPr>
    </w:p>
    <w:p>
      <w:pPr>
        <w:ind w:left="1760" w:right="40" w:hanging="366"/>
        <w:spacing w:after="0" w:line="256" w:lineRule="auto"/>
        <w:tabs>
          <w:tab w:leader="none" w:pos="176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Leveraging our existing infrastructure to enable and scale our growing business. </w:t>
      </w:r>
      <w:r>
        <w:rPr>
          <w:rFonts w:ascii="Times New Roman" w:cs="Times New Roman" w:eastAsia="Times New Roman" w:hAnsi="Times New Roman"/>
          <w:sz w:val="16"/>
          <w:szCs w:val="16"/>
          <w:color w:val="auto"/>
        </w:rPr>
        <w:t>Over the last several years, we have made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significant 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 one of the most rigorous levels of validation required for laboratory developed</w:t>
      </w: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280"/>
          </w:cols>
          <w:pgMar w:left="320" w:top="419" w:right="12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23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171565" cy="5234305"/>
                    </a:xfrm>
                    <a:prstGeom prst="rect">
                      <a:avLst/>
                    </a:prstGeom>
                    <a:noFill/>
                  </pic:spPr>
                </pic:pic>
              </a:graphicData>
            </a:graphic>
          </wp:anchor>
        </w:drawing>
      </w:r>
    </w:p>
    <w:p>
      <w:pPr>
        <w:spacing w:after="0" w:line="267" w:lineRule="exact"/>
        <w:rPr>
          <w:sz w:val="20"/>
          <w:szCs w:val="20"/>
          <w:color w:val="auto"/>
        </w:rPr>
      </w:pPr>
    </w:p>
    <w:p>
      <w:pPr>
        <w:ind w:left="1760" w:right="140"/>
        <w:spacing w:after="0" w:line="254" w:lineRule="auto"/>
        <w:rPr>
          <w:sz w:val="20"/>
          <w:szCs w:val="20"/>
          <w:color w:val="auto"/>
        </w:rPr>
      </w:pPr>
      <w:r>
        <w:rPr>
          <w:rFonts w:ascii="Times New Roman" w:cs="Times New Roman" w:eastAsia="Times New Roman" w:hAnsi="Times New Roman"/>
          <w:sz w:val="16"/>
          <w:szCs w:val="16"/>
          <w:color w:val="auto"/>
        </w:rPr>
        <w:t>tests. Our facilities are able to process a substantial number of tests per year.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79" w:lineRule="exact"/>
        <w:rPr>
          <w:sz w:val="20"/>
          <w:szCs w:val="20"/>
          <w:color w:val="auto"/>
        </w:rPr>
      </w:pPr>
    </w:p>
    <w:p>
      <w:pPr>
        <w:ind w:left="1760" w:right="60" w:hanging="366"/>
        <w:spacing w:after="0" w:line="254" w:lineRule="auto"/>
        <w:tabs>
          <w:tab w:leader="none" w:pos="176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We are on an urgent mission to detect cancer early, when it can be cured.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4" w:lineRule="exact"/>
        <w:rPr>
          <w:sz w:val="20"/>
          <w:szCs w:val="20"/>
          <w:color w:val="auto"/>
        </w:rPr>
      </w:pPr>
    </w:p>
    <w:p>
      <w:pPr>
        <w:ind w:left="920" w:firstLine="375"/>
        <w:spacing w:after="0" w:line="263" w:lineRule="auto"/>
        <w:rPr>
          <w:sz w:val="20"/>
          <w:szCs w:val="20"/>
          <w:color w:val="auto"/>
        </w:rPr>
      </w:pPr>
      <w:r>
        <w:rPr>
          <w:rFonts w:ascii="Times New Roman" w:cs="Times New Roman" w:eastAsia="Times New Roman" w:hAnsi="Times New Roman"/>
          <w:sz w:val="16"/>
          <w:szCs w:val="16"/>
          <w:color w:val="auto"/>
        </w:rPr>
        <w:t>Ownership of GRAIL common stock is subject to numerous risks, including risks relating to the Spin-Off. The following list of risk factors is not exhaustive. Please read the information in the section entitled “Risk Factors” beginning on page 28 of this Information Statement for a more thorough description of these and other risks.</w:t>
      </w: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16" w:lineRule="exact"/>
        <w:rPr>
          <w:sz w:val="20"/>
          <w:szCs w:val="20"/>
          <w:color w:val="auto"/>
        </w:rPr>
      </w:pPr>
    </w:p>
    <w:p>
      <w:pPr>
        <w:ind w:left="1760" w:right="240" w:hanging="366"/>
        <w:spacing w:after="0" w:line="278" w:lineRule="auto"/>
        <w:tabs>
          <w:tab w:leader="none" w:pos="1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rapidly evolving field and have a limited operating history, which make it difficult to evaluate our current business and predict our future performance.</w:t>
      </w:r>
    </w:p>
    <w:p>
      <w:pPr>
        <w:spacing w:after="0" w:line="61" w:lineRule="exact"/>
        <w:rPr>
          <w:rFonts w:ascii="Times New Roman" w:cs="Times New Roman" w:eastAsia="Times New Roman" w:hAnsi="Times New Roman"/>
          <w:sz w:val="16"/>
          <w:szCs w:val="16"/>
          <w:color w:val="auto"/>
        </w:rPr>
      </w:pPr>
    </w:p>
    <w:p>
      <w:pPr>
        <w:ind w:left="1760" w:right="160" w:hanging="366"/>
        <w:spacing w:after="0" w:line="278" w:lineRule="auto"/>
        <w:tabs>
          <w:tab w:leader="none" w:pos="1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net losses in each period since our inception and anticipate that we will continue to incur net losses for the foreseeable future.</w:t>
      </w:r>
    </w:p>
    <w:p>
      <w:pPr>
        <w:spacing w:after="0" w:line="61" w:lineRule="exact"/>
        <w:rPr>
          <w:rFonts w:ascii="Times New Roman" w:cs="Times New Roman" w:eastAsia="Times New Roman" w:hAnsi="Times New Roman"/>
          <w:sz w:val="16"/>
          <w:szCs w:val="16"/>
          <w:color w:val="auto"/>
        </w:rPr>
      </w:pPr>
    </w:p>
    <w:p>
      <w:pPr>
        <w:ind w:left="1760" w:right="40" w:hanging="366"/>
        <w:spacing w:after="0" w:line="258" w:lineRule="auto"/>
        <w:tabs>
          <w:tab w:leader="none" w:pos="1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This could materially and adversely affect our business, financial condition, results of operations, and growth prospects.</w:t>
      </w:r>
    </w:p>
    <w:p>
      <w:pPr>
        <w:spacing w:after="0" w:line="77" w:lineRule="exact"/>
        <w:rPr>
          <w:rFonts w:ascii="Times New Roman" w:cs="Times New Roman" w:eastAsia="Times New Roman" w:hAnsi="Times New Roman"/>
          <w:sz w:val="16"/>
          <w:szCs w:val="16"/>
          <w:color w:val="auto"/>
        </w:rPr>
      </w:pPr>
    </w:p>
    <w:p>
      <w:pPr>
        <w:jc w:val="both"/>
        <w:ind w:left="1760" w:right="100" w:hanging="366"/>
        <w:spacing w:after="0" w:line="263" w:lineRule="auto"/>
        <w:tabs>
          <w:tab w:leader="none" w:pos="1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substantial majority of our revenue is generated from sales of Galleri and we are highly dependent on it for our success.</w:t>
      </w:r>
    </w:p>
    <w:p>
      <w:pPr>
        <w:spacing w:after="0" w:line="113" w:lineRule="exact"/>
        <w:rPr>
          <w:rFonts w:ascii="Times New Roman" w:cs="Times New Roman" w:eastAsia="Times New Roman" w:hAnsi="Times New Roman"/>
          <w:sz w:val="16"/>
          <w:szCs w:val="16"/>
          <w:color w:val="auto"/>
        </w:rPr>
      </w:pPr>
    </w:p>
    <w:p>
      <w:pPr>
        <w:ind w:left="1760" w:right="120" w:hanging="366"/>
        <w:spacing w:after="0" w:line="278" w:lineRule="auto"/>
        <w:tabs>
          <w:tab w:leader="none" w:pos="1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do not receive adequate coverage and reimbursement from third-party payors, if at all, our ability to expand access to our products beyond our existing sales channels will be limited and our overall commercial success will be limited.</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commercial products may fail to achieve the degree of market acceptance necessary for commercial success.</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generate sufficient revenue to offset our ongoing operating expenses and achieve and maintain profitability.</w:t>
      </w:r>
    </w:p>
    <w:p>
      <w:pPr>
        <w:spacing w:after="0" w:line="2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280"/>
          </w:cols>
          <w:pgMar w:left="320" w:top="419" w:right="12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679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71565" cy="5067935"/>
                    </a:xfrm>
                    <a:prstGeom prst="rect">
                      <a:avLst/>
                    </a:prstGeom>
                    <a:noFill/>
                  </pic:spPr>
                </pic:pic>
              </a:graphicData>
            </a:graphic>
          </wp:anchor>
        </w:drawing>
      </w:r>
    </w:p>
    <w:p>
      <w:pPr>
        <w:spacing w:after="0" w:line="267" w:lineRule="exact"/>
        <w:rPr>
          <w:sz w:val="20"/>
          <w:szCs w:val="20"/>
          <w:color w:val="auto"/>
        </w:rPr>
      </w:pPr>
    </w:p>
    <w:p>
      <w:pPr>
        <w:ind w:left="1760" w:hanging="366"/>
        <w:spacing w:after="0"/>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develop and commercialize new products, including enhanced versions of current products.</w:t>
      </w:r>
    </w:p>
    <w:p>
      <w:pPr>
        <w:spacing w:after="0" w:line="113"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similar third-party products are developed and do not perform as intended or cause harm or injury to patients, the market for our products could be impaired.</w:t>
      </w:r>
    </w:p>
    <w:p>
      <w:pPr>
        <w:spacing w:after="0" w:line="61" w:lineRule="exact"/>
        <w:rPr>
          <w:rFonts w:ascii="Times New Roman" w:cs="Times New Roman" w:eastAsia="Times New Roman" w:hAnsi="Times New Roman"/>
          <w:sz w:val="16"/>
          <w:szCs w:val="16"/>
          <w:color w:val="auto"/>
        </w:rPr>
      </w:pPr>
    </w:p>
    <w:p>
      <w:pPr>
        <w:ind w:left="1760" w:right="260" w:hanging="366"/>
        <w:spacing w:after="0" w:line="278"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61" w:lineRule="exact"/>
        <w:rPr>
          <w:rFonts w:ascii="Times New Roman" w:cs="Times New Roman" w:eastAsia="Times New Roman" w:hAnsi="Times New Roman"/>
          <w:sz w:val="16"/>
          <w:szCs w:val="16"/>
          <w:color w:val="auto"/>
        </w:rPr>
      </w:pPr>
    </w:p>
    <w:p>
      <w:pPr>
        <w:ind w:left="1760" w:right="380" w:hanging="366"/>
        <w:spacing w:after="0" w:line="263"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73" w:lineRule="exact"/>
        <w:rPr>
          <w:rFonts w:ascii="Times New Roman" w:cs="Times New Roman" w:eastAsia="Times New Roman" w:hAnsi="Times New Roman"/>
          <w:sz w:val="16"/>
          <w:szCs w:val="16"/>
          <w:color w:val="auto"/>
        </w:rPr>
      </w:pPr>
    </w:p>
    <w:p>
      <w:pPr>
        <w:ind w:left="1760" w:right="100" w:hanging="366"/>
        <w:spacing w:after="0" w:line="281" w:lineRule="auto"/>
        <w:tabs>
          <w:tab w:leader="none" w:pos="1760"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0" w:lineRule="exact"/>
        <w:rPr>
          <w:rFonts w:ascii="Times New Roman" w:cs="Times New Roman" w:eastAsia="Times New Roman" w:hAnsi="Times New Roman"/>
          <w:sz w:val="15"/>
          <w:szCs w:val="15"/>
          <w:color w:val="auto"/>
        </w:rPr>
      </w:pPr>
    </w:p>
    <w:p>
      <w:pPr>
        <w:ind w:left="1760" w:hanging="366"/>
        <w:spacing w:after="0" w:line="258"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launched Galleri as a laboratory developed test (“LDT”), and plan to launch DAC as an LDT in the United States. If the FDA modifies its current policy of enforcement discretion on LDTs, as it has recently proposed through rulemaking, or if Congress enacts legislation that changes the current requirements or oversight for LDTs, we may lose the ability to commercialize any LDTs unless we have obtained FDA marketing authorization, which could require us to incur substantial costs and delays.</w:t>
      </w:r>
    </w:p>
    <w:p>
      <w:pPr>
        <w:spacing w:after="0" w:line="77" w:lineRule="exact"/>
        <w:rPr>
          <w:rFonts w:ascii="Times New Roman" w:cs="Times New Roman" w:eastAsia="Times New Roman" w:hAnsi="Times New Roman"/>
          <w:sz w:val="16"/>
          <w:szCs w:val="16"/>
          <w:color w:val="auto"/>
        </w:rPr>
      </w:pPr>
    </w:p>
    <w:p>
      <w:pPr>
        <w:ind w:left="1760" w:right="20" w:hanging="366"/>
        <w:spacing w:after="0" w:line="258"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77" w:lineRule="exact"/>
        <w:rPr>
          <w:rFonts w:ascii="Times New Roman" w:cs="Times New Roman" w:eastAsia="Times New Roman" w:hAnsi="Times New Roman"/>
          <w:sz w:val="16"/>
          <w:szCs w:val="16"/>
          <w:color w:val="auto"/>
        </w:rPr>
      </w:pPr>
    </w:p>
    <w:p>
      <w:pPr>
        <w:ind w:left="1760" w:right="40" w:hanging="366"/>
        <w:spacing w:after="0" w:line="263"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scale our operations successfully to support demand for our products, our business could suffer.</w:t>
      </w:r>
    </w:p>
    <w:p>
      <w:pPr>
        <w:spacing w:after="0" w:line="113" w:lineRule="exact"/>
        <w:rPr>
          <w:rFonts w:ascii="Times New Roman" w:cs="Times New Roman" w:eastAsia="Times New Roman" w:hAnsi="Times New Roman"/>
          <w:sz w:val="16"/>
          <w:szCs w:val="16"/>
          <w:color w:val="auto"/>
        </w:rPr>
      </w:pPr>
    </w:p>
    <w:p>
      <w:pPr>
        <w:ind w:left="1760" w:right="160" w:hanging="366"/>
        <w:spacing w:after="0" w:line="258"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77" w:lineRule="exact"/>
        <w:rPr>
          <w:rFonts w:ascii="Times New Roman" w:cs="Times New Roman" w:eastAsia="Times New Roman" w:hAnsi="Times New Roman"/>
          <w:sz w:val="16"/>
          <w:szCs w:val="16"/>
          <w:color w:val="auto"/>
        </w:rPr>
      </w:pPr>
    </w:p>
    <w:p>
      <w:pPr>
        <w:jc w:val="both"/>
        <w:ind w:left="1760" w:right="100" w:hanging="366"/>
        <w:spacing w:after="0" w:line="263"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obtain and maintain intellectual property protection for our technology, or if the scope of the intellectual property protection we obtain is not sufficiently broad, third parties could develop and commercialize technology and tests similar or identical to ours, and our ability to successfully commercialize our products may be impaired.</w:t>
      </w:r>
    </w:p>
    <w:p>
      <w:pPr>
        <w:spacing w:after="0" w:line="73" w:lineRule="exact"/>
        <w:rPr>
          <w:rFonts w:ascii="Times New Roman" w:cs="Times New Roman" w:eastAsia="Times New Roman" w:hAnsi="Times New Roman"/>
          <w:sz w:val="16"/>
          <w:szCs w:val="16"/>
          <w:color w:val="auto"/>
        </w:rPr>
      </w:pPr>
    </w:p>
    <w:p>
      <w:pPr>
        <w:ind w:left="1760" w:right="40" w:hanging="366"/>
        <w:spacing w:after="0" w:line="263" w:lineRule="auto"/>
        <w:tabs>
          <w:tab w:leader="none" w:pos="1760"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00"/>
          </w:cols>
          <w:pgMar w:left="320" w:top="419" w:right="12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5892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71565" cy="5589270"/>
                    </a:xfrm>
                    <a:prstGeom prst="rect">
                      <a:avLst/>
                    </a:prstGeom>
                    <a:noFill/>
                  </pic:spPr>
                </pic:pic>
              </a:graphicData>
            </a:graphic>
          </wp:anchor>
        </w:drawing>
      </w:r>
    </w:p>
    <w:p>
      <w:pPr>
        <w:spacing w:after="0" w:line="267" w:lineRule="exact"/>
        <w:rPr>
          <w:sz w:val="20"/>
          <w:szCs w:val="20"/>
          <w:color w:val="auto"/>
        </w:rPr>
      </w:pPr>
    </w:p>
    <w:p>
      <w:pPr>
        <w:ind w:left="1760" w:right="80" w:hanging="366"/>
        <w:spacing w:after="0" w:line="278" w:lineRule="auto"/>
        <w:tabs>
          <w:tab w:leader="none" w:pos="1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Distribution does not qualify as a transaction that is tax-free for U.S. federal income tax purposes, Illumina and its stockholders could be subject to significant tax liability.</w:t>
      </w:r>
    </w:p>
    <w:p>
      <w:pPr>
        <w:spacing w:after="0" w:line="61" w:lineRule="exact"/>
        <w:rPr>
          <w:rFonts w:ascii="Times New Roman" w:cs="Times New Roman" w:eastAsia="Times New Roman" w:hAnsi="Times New Roman"/>
          <w:sz w:val="16"/>
          <w:szCs w:val="16"/>
          <w:color w:val="auto"/>
        </w:rPr>
      </w:pPr>
    </w:p>
    <w:p>
      <w:pPr>
        <w:jc w:val="both"/>
        <w:ind w:left="1760" w:right="500" w:hanging="366"/>
        <w:spacing w:after="0" w:line="263" w:lineRule="auto"/>
        <w:tabs>
          <w:tab w:leader="none" w:pos="1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73" w:lineRule="exact"/>
        <w:rPr>
          <w:rFonts w:ascii="Times New Roman" w:cs="Times New Roman" w:eastAsia="Times New Roman" w:hAnsi="Times New Roman"/>
          <w:sz w:val="16"/>
          <w:szCs w:val="16"/>
          <w:color w:val="auto"/>
        </w:rPr>
      </w:pPr>
    </w:p>
    <w:p>
      <w:pPr>
        <w:ind w:left="1760" w:right="420" w:hanging="366"/>
        <w:spacing w:after="0" w:line="278" w:lineRule="auto"/>
        <w:tabs>
          <w:tab w:leader="none" w:pos="1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agree to numerous restrictions to preserve the non-recognition treatment of the Distribution, which may reduce our strategic and operating flexibility.</w:t>
      </w:r>
    </w:p>
    <w:p>
      <w:pPr>
        <w:spacing w:after="0" w:line="61" w:lineRule="exact"/>
        <w:rPr>
          <w:rFonts w:ascii="Times New Roman" w:cs="Times New Roman" w:eastAsia="Times New Roman" w:hAnsi="Times New Roman"/>
          <w:sz w:val="16"/>
          <w:szCs w:val="16"/>
          <w:color w:val="auto"/>
        </w:rPr>
      </w:pPr>
    </w:p>
    <w:p>
      <w:pPr>
        <w:ind w:left="1760" w:right="640" w:hanging="366"/>
        <w:spacing w:after="0" w:line="278" w:lineRule="auto"/>
        <w:tabs>
          <w:tab w:leader="none" w:pos="1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achieve some or all of the benefits that we expect to achieve from the Spin-Off, which could materially adversely affect our business, financial condition and results of operations.</w:t>
      </w:r>
    </w:p>
    <w:p>
      <w:pPr>
        <w:spacing w:after="0" w:line="61"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market for our common stock currently exists and an active trading market may not develop or be sustained after the Spin-Off. Following the Spin-Off our stock price may fluctuate significantly.</w:t>
      </w:r>
    </w:p>
    <w:p>
      <w:pPr>
        <w:spacing w:after="0" w:line="61" w:lineRule="exact"/>
        <w:rPr>
          <w:rFonts w:ascii="Times New Roman" w:cs="Times New Roman" w:eastAsia="Times New Roman" w:hAnsi="Times New Roman"/>
          <w:sz w:val="16"/>
          <w:szCs w:val="16"/>
          <w:color w:val="auto"/>
        </w:rPr>
      </w:pPr>
    </w:p>
    <w:p>
      <w:pPr>
        <w:ind w:left="1760" w:right="320" w:hanging="366"/>
        <w:spacing w:after="0" w:line="278" w:lineRule="auto"/>
        <w:tabs>
          <w:tab w:leader="none" w:pos="1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analysts do not publish research or reports about our business or if they publish negative evaluations of our stock, the price of our stock could decline.</w:t>
      </w:r>
    </w:p>
    <w:p>
      <w:pPr>
        <w:spacing w:after="0" w:line="61"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Raising additional capital may cause dilution to our existing stockholders, restrict our operations, or require us to relinquish rights to our technologies or our products.</w:t>
      </w:r>
    </w:p>
    <w:p>
      <w:pPr>
        <w:spacing w:after="0" w:line="61" w:lineRule="exact"/>
        <w:rPr>
          <w:rFonts w:ascii="Times New Roman" w:cs="Times New Roman" w:eastAsia="Times New Roman" w:hAnsi="Times New Roman"/>
          <w:sz w:val="16"/>
          <w:szCs w:val="16"/>
          <w:color w:val="auto"/>
        </w:rPr>
      </w:pPr>
    </w:p>
    <w:p>
      <w:pPr>
        <w:ind w:left="1760" w:hanging="366"/>
        <w:spacing w:after="0" w:line="313" w:lineRule="auto"/>
        <w:tabs>
          <w:tab w:leader="none" w:pos="176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37" w:lineRule="exact"/>
        <w:rPr>
          <w:rFonts w:ascii="Times New Roman" w:cs="Times New Roman" w:eastAsia="Times New Roman" w:hAnsi="Times New Roman"/>
          <w:sz w:val="15"/>
          <w:szCs w:val="15"/>
          <w:color w:val="auto"/>
        </w:rPr>
      </w:pPr>
    </w:p>
    <w:p>
      <w:pPr>
        <w:ind w:left="1760" w:right="80" w:hanging="366"/>
        <w:spacing w:after="0" w:line="278" w:lineRule="auto"/>
        <w:tabs>
          <w:tab w:leader="none" w:pos="176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04" w:lineRule="exact"/>
        <w:rPr>
          <w:sz w:val="20"/>
          <w:szCs w:val="20"/>
          <w:color w:val="auto"/>
        </w:rPr>
      </w:pPr>
    </w:p>
    <w:p>
      <w:pPr>
        <w:ind w:left="920" w:firstLine="375"/>
        <w:spacing w:after="0" w:line="267" w:lineRule="auto"/>
        <w:rPr>
          <w:sz w:val="20"/>
          <w:szCs w:val="20"/>
          <w:color w:val="auto"/>
        </w:rPr>
      </w:pPr>
      <w:r>
        <w:rPr>
          <w:rFonts w:ascii="Times New Roman" w:cs="Times New Roman" w:eastAsia="Times New Roman" w:hAnsi="Times New Roman"/>
          <w:sz w:val="15"/>
          <w:szCs w:val="15"/>
          <w:color w:val="auto"/>
        </w:rPr>
        <w:t>Illumina acquired the common stock of GRAIL that it did not own and completed its acquisition of GRAIL on August 18, 2021 (the “Acquisition”). The Acquisition has been subject to various legal challenges, including by the U.S. Federal Trade Commission and the European Commission. Pursuant to the binding Hold Separate Commitments (as defined in the section entitled “The Spin-Off—Background” beginning on page 96 of this Information Statement) that Illumina put in place and the various orders of the European Commission related to its review of the Acquisition, Illumina and GRAIL have operated as independent legal entities that transact at arms’ length and the day-to-day operation of GRAIL has remained the sole responsibility of GRAIL’s management. On July 12, 2023, the European Commission adopted a final decision finding that Illumina breached the EU Merger Regulation (as defined in the section entitled “The Spin-Off—Background” beginning on page 96 of this Information Statement) by, in its view, acquiring the possibility to exert decisive influence over GRAIL and exerting such influence during the pendency of the European Commission’s review. On September 26, 2023, Illumina sought the annulment of this decision. On October 12, 2023, the</w:t>
      </w:r>
    </w:p>
    <w:p>
      <w:pPr>
        <w:spacing w:after="0" w:line="3" w:lineRule="exact"/>
        <w:rPr>
          <w:sz w:val="20"/>
          <w:szCs w:val="20"/>
          <w:color w:val="auto"/>
        </w:rPr>
      </w:pPr>
    </w:p>
    <w:p>
      <w:pPr>
        <w:ind w:left="920" w:right="100"/>
        <w:spacing w:after="0" w:line="248" w:lineRule="auto"/>
        <w:rPr>
          <w:sz w:val="20"/>
          <w:szCs w:val="20"/>
          <w:color w:val="auto"/>
        </w:rPr>
      </w:pPr>
      <w:r>
        <w:rPr>
          <w:rFonts w:ascii="Times New Roman" w:cs="Times New Roman" w:eastAsia="Times New Roman" w:hAnsi="Times New Roman"/>
          <w:sz w:val="16"/>
          <w:szCs w:val="16"/>
          <w:color w:val="auto"/>
        </w:rPr>
        <w:t>European Commission adopted a decision (the “EC Divestment Decision”) requiring Illumina to (among other things) divest GRAIL. On , 2023, Illumina applied for the suspension of the execution of certain provisions of the EC Divestment Decision, and sought the annulment of the EC Divestment Decision. On , the European Commission approved a divestment plan (the “Divestment Plan”) submitted by Illumina</w:t>
      </w:r>
    </w:p>
    <w:p>
      <w:pPr>
        <w:spacing w:after="0" w:line="1" w:lineRule="exact"/>
        <w:rPr>
          <w:sz w:val="20"/>
          <w:szCs w:val="20"/>
          <w:color w:val="auto"/>
        </w:rPr>
      </w:pPr>
    </w:p>
    <w:p>
      <w:pPr>
        <w:ind w:left="920" w:right="100"/>
        <w:spacing w:after="0" w:line="264" w:lineRule="auto"/>
        <w:rPr>
          <w:sz w:val="20"/>
          <w:szCs w:val="20"/>
          <w:color w:val="auto"/>
        </w:rPr>
      </w:pPr>
      <w:r>
        <w:rPr>
          <w:rFonts w:ascii="Times New Roman" w:cs="Times New Roman" w:eastAsia="Times New Roman" w:hAnsi="Times New Roman"/>
          <w:sz w:val="15"/>
          <w:szCs w:val="15"/>
          <w:color w:val="auto"/>
        </w:rPr>
        <w:t>pursuant to which Illumina agreed to divest GRAIL on specified terms. The EC Divestment Decision permits Illumina to retain up to a 14.5% ownership interest in GRAIL. See the section entitled “The Spin-Off—Background” beginning on page 96 of this Information Statement for more</w:t>
      </w:r>
    </w:p>
    <w:p>
      <w:pPr>
        <w:spacing w:after="0" w:line="1" w:lineRule="exact"/>
        <w:rPr>
          <w:sz w:val="20"/>
          <w:szCs w:val="20"/>
          <w:color w:val="auto"/>
        </w:rPr>
      </w:pPr>
    </w:p>
    <w:p>
      <w:pPr>
        <w:ind w:left="920"/>
        <w:spacing w:after="0"/>
        <w:tabs>
          <w:tab w:leader="none" w:pos="2200" w:val="left"/>
        </w:tabs>
        <w:rPr>
          <w:sz w:val="20"/>
          <w:szCs w:val="20"/>
          <w:color w:val="auto"/>
        </w:rPr>
      </w:pPr>
      <w:r>
        <w:rPr>
          <w:rFonts w:ascii="Times New Roman" w:cs="Times New Roman" w:eastAsia="Times New Roman" w:hAnsi="Times New Roman"/>
          <w:sz w:val="16"/>
          <w:szCs w:val="16"/>
          <w:color w:val="auto"/>
        </w:rPr>
        <w:t>detail. On</w:t>
      </w:r>
      <w:r>
        <w:rPr>
          <w:sz w:val="20"/>
          <w:szCs w:val="20"/>
          <w:color w:val="auto"/>
        </w:rPr>
        <w:tab/>
      </w:r>
      <w:r>
        <w:rPr>
          <w:rFonts w:ascii="Times New Roman" w:cs="Times New Roman" w:eastAsia="Times New Roman" w:hAnsi="Times New Roman"/>
          <w:sz w:val="15"/>
          <w:szCs w:val="15"/>
          <w:color w:val="auto"/>
        </w:rPr>
        <w:t>, 2024, Illumina announced plans for the separation of GRAIL from Illumina via the Spin-Off.</w:t>
      </w:r>
    </w:p>
    <w:p>
      <w:pPr>
        <w:spacing w:after="0" w:line="180" w:lineRule="exact"/>
        <w:rPr>
          <w:sz w:val="20"/>
          <w:szCs w:val="20"/>
          <w:color w:val="auto"/>
        </w:rPr>
      </w:pPr>
    </w:p>
    <w:p>
      <w:pPr>
        <w:ind w:left="920" w:right="440" w:firstLine="375"/>
        <w:spacing w:after="0" w:line="278"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to Illumina’s stockholders, and GRAIL will become an independent, publicly traded</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300"/>
          </w:cols>
          <w:pgMar w:left="320" w:top="419" w:right="12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235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71565" cy="5423535"/>
                    </a:xfrm>
                    <a:prstGeom prst="rect">
                      <a:avLst/>
                    </a:prstGeom>
                    <a:noFill/>
                  </pic:spPr>
                </pic:pic>
              </a:graphicData>
            </a:graphic>
          </wp:anchor>
        </w:drawing>
      </w:r>
    </w:p>
    <w:p>
      <w:pPr>
        <w:spacing w:after="0" w:line="2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company. Immediately after the Distribution becomes effective, Illumina may retain up to 14.5% of GRAIL’s common stock.</w:t>
      </w:r>
    </w:p>
    <w:p>
      <w:pPr>
        <w:spacing w:after="0" w:line="197" w:lineRule="exact"/>
        <w:rPr>
          <w:sz w:val="20"/>
          <w:szCs w:val="20"/>
          <w:color w:val="auto"/>
        </w:rPr>
      </w:pPr>
    </w:p>
    <w:p>
      <w:pPr>
        <w:ind w:left="920" w:right="260" w:firstLine="375"/>
        <w:spacing w:after="0" w:line="254" w:lineRule="auto"/>
        <w:rPr>
          <w:sz w:val="20"/>
          <w:szCs w:val="20"/>
          <w:color w:val="auto"/>
        </w:rPr>
      </w:pPr>
      <w:r>
        <w:rPr>
          <w:rFonts w:ascii="Times New Roman" w:cs="Times New Roman" w:eastAsia="Times New Roman" w:hAnsi="Times New Roman"/>
          <w:sz w:val="16"/>
          <w:szCs w:val="16"/>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tax-related assets and liabilities. See the section entitled “Certain Relationships and Related Party Transactions” beginning on page 202 of this Information Statement for more detail. No approval of Illumina’s stockholders is required in connection with the Spin-Off, and Illumina’s stockholders will not have any appraisal rights in connection with the Spin-Off.</w:t>
      </w:r>
    </w:p>
    <w:p>
      <w:pPr>
        <w:spacing w:after="0" w:line="165" w:lineRule="exact"/>
        <w:rPr>
          <w:sz w:val="20"/>
          <w:szCs w:val="20"/>
          <w:color w:val="auto"/>
        </w:rPr>
      </w:pPr>
    </w:p>
    <w:p>
      <w:pPr>
        <w:ind w:left="920" w:right="180" w:firstLine="375"/>
        <w:spacing w:after="0" w:line="253"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6" w:lineRule="exact"/>
        <w:rPr>
          <w:sz w:val="20"/>
          <w:szCs w:val="20"/>
          <w:color w:val="auto"/>
        </w:rPr>
      </w:pPr>
    </w:p>
    <w:p>
      <w:pPr>
        <w:ind w:left="920" w:right="60" w:firstLine="375"/>
        <w:spacing w:after="0" w:line="270" w:lineRule="auto"/>
        <w:rPr>
          <w:sz w:val="20"/>
          <w:szCs w:val="20"/>
          <w:color w:val="auto"/>
        </w:rPr>
      </w:pPr>
      <w:r>
        <w:rPr>
          <w:rFonts w:ascii="Times New Roman" w:cs="Times New Roman" w:eastAsia="Times New Roman" w:hAnsi="Times New Roman"/>
          <w:sz w:val="15"/>
          <w:szCs w:val="15"/>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w:t>
      </w:r>
    </w:p>
    <w:p>
      <w:pPr>
        <w:spacing w:after="0" w:line="2" w:lineRule="exact"/>
        <w:rPr>
          <w:sz w:val="20"/>
          <w:szCs w:val="20"/>
          <w:color w:val="auto"/>
        </w:rPr>
      </w:pPr>
    </w:p>
    <w:p>
      <w:pPr>
        <w:ind w:left="920"/>
        <w:spacing w:after="0" w:line="250" w:lineRule="auto"/>
        <w:rPr>
          <w:sz w:val="20"/>
          <w:szCs w:val="20"/>
          <w:color w:val="auto"/>
        </w:rPr>
      </w:pPr>
      <w:r>
        <w:rPr>
          <w:rFonts w:ascii="Times New Roman" w:cs="Times New Roman" w:eastAsia="Times New Roman" w:hAnsi="Times New Roman"/>
          <w:sz w:val="16"/>
          <w:szCs w:val="16"/>
          <w:color w:val="auto"/>
        </w:rPr>
        <w:t>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105 of this Information Statement for more detail.</w:t>
      </w:r>
    </w:p>
    <w:p>
      <w:pPr>
        <w:spacing w:after="0" w:line="2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920" w:right="100" w:firstLine="375"/>
        <w:spacing w:after="0" w:line="255" w:lineRule="auto"/>
        <w:rPr>
          <w:sz w:val="20"/>
          <w:szCs w:val="20"/>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including the input of various outside advisors,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10" w:lineRule="exact"/>
        <w:rPr>
          <w:sz w:val="20"/>
          <w:szCs w:val="20"/>
          <w:color w:val="auto"/>
        </w:rPr>
      </w:pPr>
    </w:p>
    <w:p>
      <w:pPr>
        <w:ind w:left="1760" w:right="380" w:hanging="366"/>
        <w:spacing w:after="0" w:line="266" w:lineRule="auto"/>
        <w:tabs>
          <w:tab w:leader="none" w:pos="176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right="60" w:hanging="366"/>
        <w:spacing w:after="0" w:line="266" w:lineRule="auto"/>
        <w:tabs>
          <w:tab w:leader="none" w:pos="176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320"/>
          </w:cols>
          <w:pgMar w:left="320" w:top="419" w:right="12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327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71565" cy="5332730"/>
                    </a:xfrm>
                    <a:prstGeom prst="rect">
                      <a:avLst/>
                    </a:prstGeom>
                    <a:noFill/>
                  </pic:spPr>
                </pic:pic>
              </a:graphicData>
            </a:graphic>
          </wp:anchor>
        </w:drawing>
      </w:r>
    </w:p>
    <w:p>
      <w:pPr>
        <w:spacing w:after="0" w:line="267" w:lineRule="exact"/>
        <w:rPr>
          <w:sz w:val="20"/>
          <w:szCs w:val="20"/>
          <w:color w:val="auto"/>
        </w:rPr>
      </w:pPr>
    </w:p>
    <w:p>
      <w:pPr>
        <w:ind w:left="1760" w:right="340"/>
        <w:spacing w:after="0" w:line="278" w:lineRule="auto"/>
        <w:rPr>
          <w:sz w:val="20"/>
          <w:szCs w:val="20"/>
          <w:color w:val="auto"/>
        </w:rPr>
      </w:pPr>
      <w:r>
        <w:rPr>
          <w:rFonts w:ascii="Times New Roman" w:cs="Times New Roman" w:eastAsia="Times New Roman" w:hAnsi="Times New Roman"/>
          <w:sz w:val="16"/>
          <w:szCs w:val="16"/>
          <w:color w:val="auto"/>
        </w:rPr>
        <w:t>may result in greater alignment between the interests of each company’s stockholder base and the characteristics of its respective business, capital structure, and financial results.</w:t>
      </w:r>
    </w:p>
    <w:p>
      <w:pPr>
        <w:spacing w:after="0" w:line="58" w:lineRule="exact"/>
        <w:rPr>
          <w:sz w:val="20"/>
          <w:szCs w:val="20"/>
          <w:color w:val="auto"/>
        </w:rPr>
      </w:pPr>
    </w:p>
    <w:p>
      <w:pPr>
        <w:ind w:left="1760" w:right="140" w:hanging="366"/>
        <w:spacing w:after="0" w:line="266" w:lineRule="auto"/>
        <w:tabs>
          <w:tab w:leader="none" w:pos="176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66" w:lineRule="exact"/>
        <w:rPr>
          <w:rFonts w:ascii="Times New Roman" w:cs="Times New Roman" w:eastAsia="Times New Roman" w:hAnsi="Times New Roman"/>
          <w:sz w:val="16"/>
          <w:szCs w:val="16"/>
          <w:color w:val="auto"/>
        </w:rPr>
      </w:pPr>
    </w:p>
    <w:p>
      <w:pPr>
        <w:ind w:left="1760" w:right="80" w:hanging="366"/>
        <w:spacing w:after="0" w:line="260" w:lineRule="auto"/>
        <w:tabs>
          <w:tab w:leader="none" w:pos="176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920" w:right="200" w:firstLine="375"/>
        <w:spacing w:after="0" w:line="254" w:lineRule="auto"/>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28 and 97, respectively, of this Information Statement.</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920" w:right="80" w:firstLine="375"/>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760" w:hanging="366"/>
        <w:spacing w:after="0"/>
        <w:tabs>
          <w:tab w:leader="none" w:pos="176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jc w:val="both"/>
        <w:ind w:left="17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760" w:right="100" w:hanging="366"/>
        <w:spacing w:after="0" w:line="278" w:lineRule="auto"/>
        <w:tabs>
          <w:tab w:leader="none" w:pos="176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920" w:right="20" w:firstLine="375"/>
        <w:spacing w:after="0" w:line="252"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w:t>
      </w: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280"/>
          </w:cols>
          <w:pgMar w:left="320" w:top="419" w:right="12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3594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171565" cy="3594735"/>
                    </a:xfrm>
                    <a:prstGeom prst="rect">
                      <a:avLst/>
                    </a:prstGeom>
                    <a:noFill/>
                  </pic:spPr>
                </pic:pic>
              </a:graphicData>
            </a:graphic>
          </wp:anchor>
        </w:drawing>
      </w:r>
    </w:p>
    <w:p>
      <w:pPr>
        <w:spacing w:after="0" w:line="267" w:lineRule="exact"/>
        <w:rPr>
          <w:sz w:val="20"/>
          <w:szCs w:val="20"/>
          <w:color w:val="auto"/>
        </w:rPr>
      </w:pPr>
    </w:p>
    <w:p>
      <w:pPr>
        <w:jc w:val="both"/>
        <w:ind w:left="920" w:right="400"/>
        <w:spacing w:after="0" w:line="263" w:lineRule="auto"/>
        <w:rPr>
          <w:sz w:val="20"/>
          <w:szCs w:val="20"/>
          <w:color w:val="auto"/>
        </w:rPr>
      </w:pPr>
      <w:r>
        <w:rPr>
          <w:rFonts w:ascii="Times New Roman" w:cs="Times New Roman" w:eastAsia="Times New Roman" w:hAnsi="Times New Roman"/>
          <w:sz w:val="16"/>
          <w:szCs w:val="16"/>
          <w:color w:val="auto"/>
        </w:rPr>
        <w:t>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57" w:lineRule="exact"/>
        <w:rPr>
          <w:sz w:val="20"/>
          <w:szCs w:val="20"/>
          <w:color w:val="auto"/>
        </w:rPr>
      </w:pPr>
    </w:p>
    <w:p>
      <w:pPr>
        <w:ind w:left="920" w:right="80" w:firstLine="375"/>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104" w:lineRule="exact"/>
        <w:rPr>
          <w:sz w:val="20"/>
          <w:szCs w:val="20"/>
          <w:color w:val="auto"/>
        </w:rPr>
      </w:pPr>
    </w:p>
    <w:p>
      <w:pPr>
        <w:ind w:left="920" w:firstLine="375"/>
        <w:spacing w:after="0" w:line="254" w:lineRule="auto"/>
        <w:rPr>
          <w:sz w:val="20"/>
          <w:szCs w:val="20"/>
          <w:color w:val="auto"/>
        </w:rPr>
      </w:pPr>
      <w:r>
        <w:rPr>
          <w:rFonts w:ascii="Times New Roman" w:cs="Times New Roman" w:eastAsia="Times New Roman" w:hAnsi="Times New Roman"/>
          <w:sz w:val="16"/>
          <w:szCs w:val="16"/>
          <w:color w:val="auto"/>
        </w:rPr>
        <w:t>We are a Delaware limited liability company. Prior to the completion of the Spin-Off, we will be converted into a Delaware corporation and change our name to GRAIL, Inc. Our headquarters are located in Menlo Park and our principal executive offices are located at 1525 O’Brien Drive, Menlo Park, California 94025. Our telephone number is (833) 694-2553. Our website address is https://grail.com. Information contained on, or connected to, our website or Illumina’s website does not and will not constitute part of this Information Statement or the Registration Statement on Form 10, of which this Information Statement is a part, or any other filings with, or any information furnished or submitted to, the Securities and Exchange Commission (the “SEC”).</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920" w:right="20" w:firstLine="375"/>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your shares of GRAIL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respective public disclosure obligations and practices.</w:t>
      </w: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320"/>
          </w:cols>
          <w:pgMar w:left="320" w:top="419" w:right="12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6121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71565" cy="5612130"/>
                    </a:xfrm>
                    <a:prstGeom prst="rect">
                      <a:avLst/>
                    </a:prstGeom>
                    <a:noFill/>
                  </pic:spPr>
                </pic:pic>
              </a:graphicData>
            </a:graphic>
          </wp:anchor>
        </w:drawing>
      </w:r>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QUESTIONS AND ANSWERS ABOUT THE SPIN-OFF</w:t>
      </w:r>
    </w:p>
    <w:p>
      <w:pPr>
        <w:spacing w:after="0" w:line="199" w:lineRule="exact"/>
        <w:rPr>
          <w:sz w:val="20"/>
          <w:szCs w:val="20"/>
          <w:color w:val="auto"/>
        </w:rPr>
      </w:pPr>
    </w:p>
    <w:p>
      <w:pPr>
        <w:ind w:left="920" w:right="320" w:firstLine="375"/>
        <w:spacing w:after="0" w:line="278" w:lineRule="auto"/>
        <w:rPr>
          <w:sz w:val="20"/>
          <w:szCs w:val="20"/>
          <w:color w:val="auto"/>
        </w:rPr>
      </w:pPr>
      <w:r>
        <w:rPr>
          <w:rFonts w:ascii="Times New Roman" w:cs="Times New Roman" w:eastAsia="Times New Roman" w:hAnsi="Times New Roman"/>
          <w:sz w:val="16"/>
          <w:szCs w:val="16"/>
          <w:color w:val="auto"/>
        </w:rPr>
        <w:t>The following provides only a summary of certain information regarding the Spin-Off. You should read this Information Statement in its entirety for a more detailed description of the matters described below.</w:t>
      </w:r>
    </w:p>
    <w:p>
      <w:pPr>
        <w:spacing w:after="0" w:line="272" w:lineRule="exact"/>
        <w:rPr>
          <w:sz w:val="20"/>
          <w:szCs w:val="20"/>
          <w:color w:val="auto"/>
        </w:rPr>
      </w:pPr>
    </w:p>
    <w:p>
      <w:pPr>
        <w:ind w:left="1300" w:hanging="370"/>
        <w:spacing w:after="0"/>
        <w:tabs>
          <w:tab w:leader="none" w:pos="1300" w:val="left"/>
        </w:tabs>
        <w:numPr>
          <w:ilvl w:val="0"/>
          <w:numId w:val="29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am I receiving this Information Statement?</w:t>
      </w:r>
    </w:p>
    <w:p>
      <w:pPr>
        <w:ind w:left="1300" w:hanging="370"/>
        <w:spacing w:after="0" w:line="188" w:lineRule="auto"/>
        <w:tabs>
          <w:tab w:leader="none" w:pos="1300"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Illumina is making this Information Statement available to you because you are a holder of shares of Illumina common stock. If you are a</w:t>
      </w:r>
    </w:p>
    <w:p>
      <w:pPr>
        <w:spacing w:after="0" w:line="173" w:lineRule="exact"/>
        <w:rPr>
          <w:sz w:val="20"/>
          <w:szCs w:val="20"/>
          <w:color w:val="auto"/>
        </w:rPr>
      </w:pPr>
    </w:p>
    <w:p>
      <w:pPr>
        <w:ind w:left="1300"/>
        <w:spacing w:after="0" w:line="259" w:lineRule="auto"/>
        <w:rPr>
          <w:sz w:val="20"/>
          <w:szCs w:val="20"/>
          <w:color w:val="auto"/>
        </w:rPr>
      </w:pPr>
      <w:r>
        <w:rPr>
          <w:rFonts w:ascii="Times New Roman" w:cs="Times New Roman" w:eastAsia="Times New Roman" w:hAnsi="Times New Roman"/>
          <w:sz w:val="16"/>
          <w:szCs w:val="16"/>
          <w:color w:val="auto"/>
        </w:rPr>
        <w:t>holder of shares of Illumina common stock as of the Record Date (as defined below), for every share[s] of Illumina common stock that you hold as of the Record Date, you will be entitled to receive share[s] of GRAIL common stock. This Information Statement is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intended to help you understand how the Spin-Off will affect your post-Distribution ownership in each of Illumina and GRAIL.</w:t>
      </w:r>
    </w:p>
    <w:p>
      <w:pPr>
        <w:spacing w:after="0" w:line="307" w:lineRule="exact"/>
        <w:rPr>
          <w:sz w:val="20"/>
          <w:szCs w:val="20"/>
          <w:color w:val="auto"/>
        </w:rPr>
      </w:pPr>
    </w:p>
    <w:p>
      <w:pPr>
        <w:ind w:left="1300" w:hanging="370"/>
        <w:spacing w:after="0"/>
        <w:tabs>
          <w:tab w:leader="none" w:pos="1300" w:val="left"/>
        </w:tabs>
        <w:numPr>
          <w:ilvl w:val="0"/>
          <w:numId w:val="29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Spin-Off?</w:t>
      </w:r>
    </w:p>
    <w:p>
      <w:pPr>
        <w:spacing w:after="0" w:line="118" w:lineRule="exact"/>
        <w:rPr>
          <w:sz w:val="20"/>
          <w:szCs w:val="20"/>
          <w:color w:val="auto"/>
        </w:rPr>
      </w:pPr>
    </w:p>
    <w:p>
      <w:pPr>
        <w:ind w:left="1300" w:hanging="370"/>
        <w:spacing w:after="0"/>
        <w:tabs>
          <w:tab w:leader="none" w:pos="1300"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is the method by which we will separate from Illumina. In the Spin-Off, Illumina will distribute to its stockholders at least</w:t>
      </w:r>
    </w:p>
    <w:p>
      <w:pPr>
        <w:spacing w:after="0" w:line="23" w:lineRule="exact"/>
        <w:rPr>
          <w:rFonts w:ascii="Times New Roman" w:cs="Times New Roman" w:eastAsia="Times New Roman" w:hAnsi="Times New Roman"/>
          <w:sz w:val="16"/>
          <w:szCs w:val="16"/>
          <w:color w:val="auto"/>
        </w:rPr>
      </w:pPr>
    </w:p>
    <w:p>
      <w:pPr>
        <w:ind w:left="1300" w:right="1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85.5% of the outstanding shares of our common stock owned by Illumina in a transaction (the “Distribution”). Following the Spin-Off, we will be an independent, publicly traded company, and Illumina may retain up to 14.5% ownership interest in us. Illumina will continue as an independent, publicly traded company.</w:t>
      </w:r>
    </w:p>
    <w:p>
      <w:pPr>
        <w:spacing w:after="0" w:line="292" w:lineRule="exact"/>
        <w:rPr>
          <w:sz w:val="20"/>
          <w:szCs w:val="20"/>
          <w:color w:val="auto"/>
        </w:rPr>
      </w:pPr>
    </w:p>
    <w:p>
      <w:pPr>
        <w:ind w:left="1300" w:hanging="370"/>
        <w:spacing w:after="0"/>
        <w:tabs>
          <w:tab w:leader="none" w:pos="1300" w:val="left"/>
        </w:tabs>
        <w:numPr>
          <w:ilvl w:val="0"/>
          <w:numId w:val="29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number of Illumina shares I own change as a result of the Spin-Off?</w:t>
      </w:r>
    </w:p>
    <w:p>
      <w:pPr>
        <w:spacing w:after="0" w:line="118" w:lineRule="exact"/>
        <w:rPr>
          <w:sz w:val="20"/>
          <w:szCs w:val="20"/>
          <w:color w:val="auto"/>
        </w:rPr>
      </w:pPr>
    </w:p>
    <w:p>
      <w:pPr>
        <w:ind w:left="1300" w:hanging="370"/>
        <w:spacing w:after="0"/>
        <w:tabs>
          <w:tab w:leader="none" w:pos="1300"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number of shares of Illumina common stock you own will not change as a result of the Spin-Off.</w:t>
      </w:r>
    </w:p>
    <w:p>
      <w:pPr>
        <w:spacing w:after="0" w:line="324" w:lineRule="exact"/>
        <w:rPr>
          <w:sz w:val="20"/>
          <w:szCs w:val="20"/>
          <w:color w:val="auto"/>
        </w:rPr>
      </w:pPr>
    </w:p>
    <w:p>
      <w:pPr>
        <w:ind w:left="1300" w:hanging="370"/>
        <w:spacing w:after="0"/>
        <w:tabs>
          <w:tab w:leader="none" w:pos="1300" w:val="left"/>
        </w:tabs>
        <w:numPr>
          <w:ilvl w:val="0"/>
          <w:numId w:val="29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reasons for the Spin-Off?</w:t>
      </w:r>
    </w:p>
    <w:p>
      <w:pPr>
        <w:spacing w:after="0" w:line="118" w:lineRule="exact"/>
        <w:rPr>
          <w:sz w:val="20"/>
          <w:szCs w:val="20"/>
          <w:color w:val="auto"/>
        </w:rPr>
      </w:pPr>
    </w:p>
    <w:p>
      <w:pPr>
        <w:ind w:left="1300" w:right="60" w:hanging="370"/>
        <w:spacing w:after="0" w:line="255" w:lineRule="auto"/>
        <w:tabs>
          <w:tab w:leader="none" w:pos="130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including the input of various outside advisors,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4"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09" w:lineRule="exact"/>
        <w:rPr>
          <w:rFonts w:ascii="Times New Roman" w:cs="Times New Roman" w:eastAsia="Times New Roman" w:hAnsi="Times New Roman"/>
          <w:sz w:val="16"/>
          <w:szCs w:val="16"/>
          <w:color w:val="auto"/>
        </w:rPr>
      </w:pPr>
    </w:p>
    <w:p>
      <w:pPr>
        <w:ind w:left="1760" w:right="360" w:hanging="366"/>
        <w:spacing w:after="0" w:line="266" w:lineRule="auto"/>
        <w:tabs>
          <w:tab w:leader="none" w:pos="1760"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right="40" w:hanging="366"/>
        <w:spacing w:after="0" w:line="260" w:lineRule="auto"/>
        <w:tabs>
          <w:tab w:leader="none" w:pos="1760"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60" w:hanging="366"/>
        <w:spacing w:after="0" w:line="266" w:lineRule="auto"/>
        <w:tabs>
          <w:tab w:leader="none" w:pos="1760"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300"/>
          </w:cols>
          <w:pgMar w:left="320" w:top="419" w:right="12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99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71565" cy="5499100"/>
                    </a:xfrm>
                    <a:prstGeom prst="rect">
                      <a:avLst/>
                    </a:prstGeom>
                    <a:noFill/>
                  </pic:spPr>
                </pic:pic>
              </a:graphicData>
            </a:graphic>
          </wp:anchor>
        </w:drawing>
      </w:r>
    </w:p>
    <w:p>
      <w:pPr>
        <w:spacing w:after="0" w:line="263" w:lineRule="exact"/>
        <w:rPr>
          <w:sz w:val="20"/>
          <w:szCs w:val="20"/>
          <w:color w:val="auto"/>
        </w:rPr>
      </w:pPr>
    </w:p>
    <w:p>
      <w:pPr>
        <w:ind w:left="1760" w:right="100" w:hanging="366"/>
        <w:spacing w:after="0" w:line="260" w:lineRule="auto"/>
        <w:tabs>
          <w:tab w:leader="none" w:pos="1760"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64" w:lineRule="exact"/>
        <w:rPr>
          <w:sz w:val="20"/>
          <w:szCs w:val="20"/>
          <w:color w:val="auto"/>
        </w:rPr>
      </w:pPr>
    </w:p>
    <w:p>
      <w:pPr>
        <w:ind w:left="1300"/>
        <w:spacing w:after="0" w:line="254" w:lineRule="auto"/>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28 and 97, respectively, of this Information Statement.</w:t>
      </w:r>
    </w:p>
    <w:p>
      <w:pPr>
        <w:spacing w:after="0" w:line="291" w:lineRule="exact"/>
        <w:rPr>
          <w:sz w:val="20"/>
          <w:szCs w:val="20"/>
          <w:color w:val="auto"/>
        </w:rPr>
      </w:pPr>
    </w:p>
    <w:p>
      <w:pPr>
        <w:ind w:left="1300" w:hanging="370"/>
        <w:spacing w:after="0"/>
        <w:tabs>
          <w:tab w:leader="none" w:pos="1300" w:val="left"/>
        </w:tabs>
        <w:numPr>
          <w:ilvl w:val="0"/>
          <w:numId w:val="30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is the separation of GRAIL structured as a spin-off?</w:t>
      </w:r>
    </w:p>
    <w:p>
      <w:pPr>
        <w:spacing w:after="0" w:line="118" w:lineRule="exact"/>
        <w:rPr>
          <w:sz w:val="20"/>
          <w:szCs w:val="20"/>
          <w:color w:val="auto"/>
        </w:rPr>
      </w:pPr>
    </w:p>
    <w:p>
      <w:pPr>
        <w:ind w:left="1300" w:right="220" w:hanging="370"/>
        <w:spacing w:after="0" w:line="278" w:lineRule="auto"/>
        <w:tabs>
          <w:tab w:leader="none" w:pos="1300"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believes that a tax-free distribution of our shares is the most efficient way to separate our business from Illumina in a manner that will achieve the above benefits.</w:t>
      </w:r>
    </w:p>
    <w:p>
      <w:pPr>
        <w:spacing w:after="0" w:line="272" w:lineRule="exact"/>
        <w:rPr>
          <w:sz w:val="20"/>
          <w:szCs w:val="20"/>
          <w:color w:val="auto"/>
        </w:rPr>
      </w:pPr>
    </w:p>
    <w:p>
      <w:pPr>
        <w:ind w:left="1300" w:hanging="370"/>
        <w:spacing w:after="0"/>
        <w:tabs>
          <w:tab w:leader="none" w:pos="1300" w:val="left"/>
        </w:tabs>
        <w:numPr>
          <w:ilvl w:val="0"/>
          <w:numId w:val="30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I receive in the Spin-Off in respect of my shares of Illumina common stock?</w:t>
      </w:r>
    </w:p>
    <w:p>
      <w:pPr>
        <w:spacing w:after="0" w:line="118" w:lineRule="exact"/>
        <w:rPr>
          <w:sz w:val="20"/>
          <w:szCs w:val="20"/>
          <w:color w:val="auto"/>
        </w:rPr>
      </w:pPr>
    </w:p>
    <w:p>
      <w:pPr>
        <w:ind w:left="1300" w:right="80" w:hanging="379"/>
        <w:spacing w:after="0" w:line="259" w:lineRule="auto"/>
        <w:tabs>
          <w:tab w:leader="none" w:pos="1280" w:val="left"/>
        </w:tabs>
        <w:rPr>
          <w:sz w:val="20"/>
          <w:szCs w:val="20"/>
          <w:color w:val="auto"/>
        </w:rPr>
      </w:pPr>
      <w:r>
        <w:rPr>
          <w:rFonts w:ascii="Times New Roman" w:cs="Times New Roman" w:eastAsia="Times New Roman" w:hAnsi="Times New Roman"/>
          <w:sz w:val="16"/>
          <w:szCs w:val="16"/>
          <w:color w:val="auto"/>
        </w:rPr>
        <w:t>A:</w:t>
        <w:tab/>
        <w:t>As a holder of Illumina common stock, for every share[s] of Illumina common stock you hold on the Record Date, you will receive a dividend of share[s] of GRAIL common stock. The distribution agent will distribute only whole shares of our common stock in</w:t>
      </w:r>
    </w:p>
    <w:p>
      <w:pPr>
        <w:spacing w:after="0" w:line="1"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16"/>
          <w:szCs w:val="16"/>
          <w:color w:val="auto"/>
        </w:rPr>
        <w:t>the Spin-Off. See “—How will fractional shares be treated in the Distribution?” beginning on page 18 of this Information Statement for more information on the treatment of the fractional shares you may be entitled to receive in the Distribution. Your proportionate interest in Illumina will not change as a result of the Spin-Off.</w:t>
      </w:r>
    </w:p>
    <w:p>
      <w:pPr>
        <w:spacing w:after="0" w:line="292" w:lineRule="exact"/>
        <w:rPr>
          <w:sz w:val="20"/>
          <w:szCs w:val="20"/>
          <w:color w:val="auto"/>
        </w:rPr>
      </w:pPr>
    </w:p>
    <w:p>
      <w:pPr>
        <w:ind w:left="1300" w:hanging="370"/>
        <w:spacing w:after="0"/>
        <w:tabs>
          <w:tab w:leader="none" w:pos="1300" w:val="left"/>
        </w:tabs>
        <w:numPr>
          <w:ilvl w:val="0"/>
          <w:numId w:val="30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being distributed in the Spin-Off?</w:t>
      </w:r>
    </w:p>
    <w:p>
      <w:pPr>
        <w:spacing w:after="0" w:line="118" w:lineRule="exact"/>
        <w:rPr>
          <w:sz w:val="20"/>
          <w:szCs w:val="20"/>
          <w:color w:val="auto"/>
        </w:rPr>
      </w:pPr>
    </w:p>
    <w:p>
      <w:pPr>
        <w:ind w:left="1300" w:hanging="379"/>
        <w:spacing w:after="0" w:line="259" w:lineRule="auto"/>
        <w:tabs>
          <w:tab w:leader="none" w:pos="1280" w:val="left"/>
        </w:tabs>
        <w:rPr>
          <w:sz w:val="20"/>
          <w:szCs w:val="20"/>
          <w:color w:val="auto"/>
        </w:rPr>
      </w:pPr>
      <w:r>
        <w:rPr>
          <w:rFonts w:ascii="Times New Roman" w:cs="Times New Roman" w:eastAsia="Times New Roman" w:hAnsi="Times New Roman"/>
          <w:sz w:val="16"/>
          <w:szCs w:val="16"/>
          <w:color w:val="auto"/>
        </w:rPr>
        <w:t>A:</w:t>
        <w:tab/>
        <w:t>Illumina will distribute approximately shares of our common stock in the Spin-Off, based on the approximately shares of Illumina common stock outstanding as of , 2024. The actual number of shares of our common stock that Illumina will distribute will</w:t>
      </w:r>
    </w:p>
    <w:p>
      <w:pPr>
        <w:spacing w:after="0" w:line="1" w:lineRule="exact"/>
        <w:rPr>
          <w:sz w:val="20"/>
          <w:szCs w:val="20"/>
          <w:color w:val="auto"/>
        </w:rPr>
      </w:pPr>
    </w:p>
    <w:p>
      <w:pPr>
        <w:ind w:left="1300" w:right="80"/>
        <w:spacing w:after="0" w:line="251" w:lineRule="auto"/>
        <w:rPr>
          <w:sz w:val="20"/>
          <w:szCs w:val="20"/>
          <w:color w:val="auto"/>
        </w:rPr>
      </w:pPr>
      <w:r>
        <w:rPr>
          <w:rFonts w:ascii="Times New Roman" w:cs="Times New Roman" w:eastAsia="Times New Roman" w:hAnsi="Times New Roman"/>
          <w:sz w:val="16"/>
          <w:szCs w:val="16"/>
          <w:color w:val="auto"/>
        </w:rPr>
        <w:t>depend on the total number of shares of Illumina common stock outstanding on the Record Date. The shares of our common stock that Illumina distributes will constitute at least 85.5% of the issued and outstanding shares of our common stock immediately prior to the Distribution. For more information on the shares being distributed in the Spin-Off, see the section entitled “Description of Our Capital Stock —Common Stock” beginning on page 206 of this Information Statement.</w:t>
      </w:r>
    </w:p>
    <w:p>
      <w:pPr>
        <w:spacing w:after="0" w:line="292" w:lineRule="exact"/>
        <w:rPr>
          <w:sz w:val="20"/>
          <w:szCs w:val="20"/>
          <w:color w:val="auto"/>
        </w:rPr>
      </w:pPr>
    </w:p>
    <w:p>
      <w:pPr>
        <w:ind w:left="1300" w:hanging="370"/>
        <w:spacing w:after="0"/>
        <w:tabs>
          <w:tab w:leader="none" w:pos="1300" w:val="left"/>
        </w:tabs>
        <w:numPr>
          <w:ilvl w:val="0"/>
          <w:numId w:val="30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record date for the Distribution?</w:t>
      </w:r>
    </w:p>
    <w:p>
      <w:pPr>
        <w:spacing w:after="0" w:line="118" w:lineRule="exact"/>
        <w:rPr>
          <w:sz w:val="20"/>
          <w:szCs w:val="20"/>
          <w:color w:val="auto"/>
        </w:rPr>
      </w:pPr>
    </w:p>
    <w:p>
      <w:pPr>
        <w:ind w:left="920"/>
        <w:spacing w:after="0"/>
        <w:tabs>
          <w:tab w:leader="none" w:pos="1280" w:val="left"/>
          <w:tab w:leader="none" w:pos="6440" w:val="left"/>
        </w:tabs>
        <w:rPr>
          <w:sz w:val="20"/>
          <w:szCs w:val="20"/>
          <w:color w:val="auto"/>
        </w:rPr>
      </w:pPr>
      <w:r>
        <w:rPr>
          <w:rFonts w:ascii="Times New Roman" w:cs="Times New Roman" w:eastAsia="Times New Roman" w:hAnsi="Times New Roman"/>
          <w:sz w:val="16"/>
          <w:szCs w:val="16"/>
          <w:color w:val="auto"/>
        </w:rPr>
        <w:t>A:</w:t>
        <w:tab/>
        <w:t>Illumina will determine record ownership as of the close of business on</w:t>
      </w:r>
      <w:r>
        <w:rPr>
          <w:sz w:val="20"/>
          <w:szCs w:val="20"/>
          <w:color w:val="auto"/>
        </w:rPr>
        <w:tab/>
      </w:r>
      <w:r>
        <w:rPr>
          <w:rFonts w:ascii="Times New Roman" w:cs="Times New Roman" w:eastAsia="Times New Roman" w:hAnsi="Times New Roman"/>
          <w:sz w:val="15"/>
          <w:szCs w:val="15"/>
          <w:color w:val="auto"/>
        </w:rPr>
        <w:t>, 2024 (the “Record Date”).</w:t>
      </w:r>
    </w:p>
    <w:p>
      <w:pPr>
        <w:spacing w:after="0" w:line="324" w:lineRule="exact"/>
        <w:rPr>
          <w:sz w:val="20"/>
          <w:szCs w:val="20"/>
          <w:color w:val="auto"/>
        </w:rPr>
      </w:pPr>
    </w:p>
    <w:p>
      <w:pPr>
        <w:ind w:left="1300" w:hanging="370"/>
        <w:spacing w:after="0"/>
        <w:tabs>
          <w:tab w:leader="none" w:pos="1300" w:val="left"/>
        </w:tabs>
        <w:numPr>
          <w:ilvl w:val="0"/>
          <w:numId w:val="30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When will the Distribution occur?</w:t>
      </w:r>
    </w:p>
    <w:p>
      <w:pPr>
        <w:spacing w:after="0" w:line="118" w:lineRule="exact"/>
        <w:rPr>
          <w:sz w:val="20"/>
          <w:szCs w:val="20"/>
          <w:color w:val="auto"/>
        </w:rPr>
      </w:pPr>
    </w:p>
    <w:p>
      <w:pPr>
        <w:ind w:left="1300" w:right="20" w:hanging="379"/>
        <w:spacing w:after="0" w:line="271" w:lineRule="auto"/>
        <w:tabs>
          <w:tab w:leader="none" w:pos="1280" w:val="left"/>
        </w:tabs>
        <w:rPr>
          <w:sz w:val="20"/>
          <w:szCs w:val="20"/>
          <w:color w:val="auto"/>
        </w:rPr>
      </w:pPr>
      <w:r>
        <w:rPr>
          <w:rFonts w:ascii="Times New Roman" w:cs="Times New Roman" w:eastAsia="Times New Roman" w:hAnsi="Times New Roman"/>
          <w:sz w:val="16"/>
          <w:szCs w:val="16"/>
          <w:color w:val="auto"/>
        </w:rPr>
        <w:t>A:</w:t>
        <w:tab/>
        <w:t>The Distribution will be effective as of , New York City time, on , 2024 (the “Distribution Date”). On or shortly after the Distribution Date, the whole shares of our common stock will be credited in book-entry accounts for Illumina stockholders entitled to receive the shares in the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300"/>
          </w:cols>
          <w:pgMar w:left="320" w:top="419" w:right="12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54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71565" cy="5354955"/>
                    </a:xfrm>
                    <a:prstGeom prst="rect">
                      <a:avLst/>
                    </a:prstGeom>
                    <a:noFill/>
                  </pic:spPr>
                </pic:pic>
              </a:graphicData>
            </a:graphic>
          </wp:anchor>
        </w:drawing>
      </w:r>
    </w:p>
    <w:p>
      <w:pPr>
        <w:spacing w:after="0" w:line="267" w:lineRule="exact"/>
        <w:rPr>
          <w:sz w:val="20"/>
          <w:szCs w:val="20"/>
          <w:color w:val="auto"/>
        </w:rPr>
      </w:pPr>
    </w:p>
    <w:p>
      <w:pPr>
        <w:ind w:left="1300"/>
        <w:spacing w:after="0" w:line="263" w:lineRule="auto"/>
        <w:rPr>
          <w:sz w:val="20"/>
          <w:szCs w:val="20"/>
          <w:color w:val="auto"/>
        </w:rPr>
      </w:pPr>
      <w:r>
        <w:rPr>
          <w:rFonts w:ascii="Times New Roman" w:cs="Times New Roman" w:eastAsia="Times New Roman" w:hAnsi="Times New Roman"/>
          <w:sz w:val="16"/>
          <w:szCs w:val="16"/>
          <w:color w:val="auto"/>
        </w:rPr>
        <w:t>Distribution. See “—How will Illumina distribute shares of our common stock?” beginning on page 17 of this Information Statement for more information on how to access your book-entry account or your bank, brokerage or other account holding the GRAIL common stock you receive in the Distribution on and following the Distribution Date.</w:t>
      </w:r>
    </w:p>
    <w:p>
      <w:pPr>
        <w:spacing w:after="0" w:line="284" w:lineRule="exact"/>
        <w:rPr>
          <w:sz w:val="20"/>
          <w:szCs w:val="20"/>
          <w:color w:val="auto"/>
        </w:rPr>
      </w:pPr>
    </w:p>
    <w:p>
      <w:pPr>
        <w:ind w:left="1300" w:hanging="370"/>
        <w:spacing w:after="0"/>
        <w:tabs>
          <w:tab w:leader="none" w:pos="1300" w:val="left"/>
        </w:tabs>
        <w:numPr>
          <w:ilvl w:val="0"/>
          <w:numId w:val="30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 I have to do to participate in the Distribution?</w:t>
      </w:r>
    </w:p>
    <w:p>
      <w:pPr>
        <w:spacing w:after="0" w:line="118" w:lineRule="exact"/>
        <w:rPr>
          <w:sz w:val="20"/>
          <w:szCs w:val="20"/>
          <w:color w:val="auto"/>
        </w:rPr>
      </w:pPr>
    </w:p>
    <w:p>
      <w:pPr>
        <w:ind w:left="1300" w:right="20" w:hanging="370"/>
        <w:spacing w:after="0" w:line="255" w:lineRule="auto"/>
        <w:tabs>
          <w:tab w:leader="none" w:pos="1300"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holders of Illumina common stock as of the Record Date will participate in the Distribution. You are not required to take any action in order to participate, but we urge you to read this Information Statement carefully. Holders of Illumina common stock on the Record Date will not need to pay any cash or deliver any other consideration, including any shares of Illumina common stock, in order to receive shares of our common stock in the Distribution. In addition, no stockholder approval of the Distribution is required. We are not asking you for a vote and request that you do not send us a proxy card.</w:t>
      </w:r>
    </w:p>
    <w:p>
      <w:pPr>
        <w:spacing w:after="0" w:line="292" w:lineRule="exact"/>
        <w:rPr>
          <w:sz w:val="20"/>
          <w:szCs w:val="20"/>
          <w:color w:val="auto"/>
        </w:rPr>
      </w:pPr>
    </w:p>
    <w:p>
      <w:pPr>
        <w:ind w:left="1300" w:right="580" w:hanging="370"/>
        <w:spacing w:after="0" w:line="284" w:lineRule="auto"/>
        <w:tabs>
          <w:tab w:leader="none" w:pos="1300" w:val="left"/>
        </w:tabs>
        <w:numPr>
          <w:ilvl w:val="0"/>
          <w:numId w:val="30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If I sell my shares of Illumina common stock on or before the Distribution Date, will I still be entitled to receive shares of GRAIL common stock in the Distribution?</w:t>
      </w:r>
    </w:p>
    <w:p>
      <w:pPr>
        <w:spacing w:after="0" w:line="56" w:lineRule="exact"/>
        <w:rPr>
          <w:sz w:val="20"/>
          <w:szCs w:val="20"/>
          <w:color w:val="auto"/>
        </w:rPr>
      </w:pPr>
    </w:p>
    <w:p>
      <w:pPr>
        <w:ind w:left="1300" w:right="20" w:hanging="370"/>
        <w:spacing w:after="0" w:line="253" w:lineRule="auto"/>
        <w:tabs>
          <w:tab w:leader="none" w:pos="1300"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sell your shares of Illumina common stock before the Record Date, you will not be entitled to receive shares of GRAIL common stock in the Distribution. If you hold shares of Illumina common stock on the Record Date and decide to sell them on or before the Distribution Date, you may be able to choose to sell your Illumina common stock with or without your entitlement to the GRAIL common stock to be distributed in the Spin-Off. You are encouraged to consult with your bank, broker or other nominee, as applicable, and your financial advisor regarding your options and the specific implications of selling your shares of Illumina common stock prior to or on the Distribution Date. See the section entitled “The Spin-Off—Trading Prior to the Distribution Date” beginning on page 105 of this Information Statement for more information.</w:t>
      </w:r>
    </w:p>
    <w:p>
      <w:pPr>
        <w:spacing w:after="0" w:line="292" w:lineRule="exact"/>
        <w:rPr>
          <w:sz w:val="20"/>
          <w:szCs w:val="20"/>
          <w:color w:val="auto"/>
        </w:rPr>
      </w:pPr>
    </w:p>
    <w:p>
      <w:pPr>
        <w:ind w:left="1300" w:hanging="370"/>
        <w:spacing w:after="0"/>
        <w:tabs>
          <w:tab w:leader="none" w:pos="1300" w:val="left"/>
        </w:tabs>
        <w:numPr>
          <w:ilvl w:val="0"/>
          <w:numId w:val="3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Is the completion of the Spin-Off subject to the satisfaction or waiver of any conditions?</w:t>
      </w:r>
    </w:p>
    <w:p>
      <w:pPr>
        <w:spacing w:after="0" w:line="118" w:lineRule="exact"/>
        <w:rPr>
          <w:sz w:val="20"/>
          <w:szCs w:val="20"/>
          <w:color w:val="auto"/>
        </w:rPr>
      </w:pPr>
    </w:p>
    <w:p>
      <w:pPr>
        <w:ind w:left="1300" w:hanging="370"/>
        <w:spacing w:after="0"/>
        <w:tabs>
          <w:tab w:leader="none" w:pos="1300"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completion of the Spin-Off is subject to the satisfaction, or the Illumina Board’s waiver, of the following conditions:</w:t>
      </w:r>
    </w:p>
    <w:p>
      <w:pPr>
        <w:spacing w:after="0" w:line="113"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the Nasdaq Global Select Market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760" w:right="60" w:hanging="366"/>
        <w:spacing w:after="0" w:line="263" w:lineRule="auto"/>
        <w:tabs>
          <w:tab w:leader="none" w:pos="1760"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760" w:right="40" w:hanging="366"/>
        <w:spacing w:after="0" w:line="258" w:lineRule="auto"/>
        <w:tabs>
          <w:tab w:leader="none" w:pos="1760"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received a private letter ruling from the U.S. Internal Revenue Service (“IRS”) and the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Sections 355 and 368 of the Code;</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300"/>
          </w:cols>
          <w:pgMar w:left="320" w:top="419" w:right="12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228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71565" cy="5022850"/>
                    </a:xfrm>
                    <a:prstGeom prst="rect">
                      <a:avLst/>
                    </a:prstGeom>
                    <a:noFill/>
                  </pic:spPr>
                </pic:pic>
              </a:graphicData>
            </a:graphic>
          </wp:anchor>
        </w:drawing>
      </w:r>
    </w:p>
    <w:p>
      <w:pPr>
        <w:spacing w:after="0" w:line="267" w:lineRule="exact"/>
        <w:rPr>
          <w:sz w:val="20"/>
          <w:szCs w:val="20"/>
          <w:color w:val="auto"/>
        </w:rPr>
      </w:pPr>
    </w:p>
    <w:p>
      <w:pPr>
        <w:jc w:val="both"/>
        <w:ind w:left="1760" w:right="260" w:hanging="366"/>
        <w:spacing w:after="0" w:line="289" w:lineRule="auto"/>
        <w:tabs>
          <w:tab w:leader="none" w:pos="1760"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55" w:lineRule="exact"/>
        <w:rPr>
          <w:rFonts w:ascii="Times New Roman" w:cs="Times New Roman" w:eastAsia="Times New Roman" w:hAnsi="Times New Roman"/>
          <w:sz w:val="15"/>
          <w:szCs w:val="15"/>
          <w:color w:val="auto"/>
        </w:rPr>
      </w:pPr>
    </w:p>
    <w:p>
      <w:pPr>
        <w:ind w:left="1760" w:right="120" w:hanging="366"/>
        <w:spacing w:after="0" w:line="263" w:lineRule="auto"/>
        <w:tabs>
          <w:tab w:leader="none" w:pos="176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760" w:right="100" w:hanging="366"/>
        <w:spacing w:after="0" w:line="278" w:lineRule="auto"/>
        <w:tabs>
          <w:tab w:leader="none" w:pos="176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61" w:lineRule="exact"/>
        <w:rPr>
          <w:rFonts w:ascii="Times New Roman" w:cs="Times New Roman" w:eastAsia="Times New Roman" w:hAnsi="Times New Roman"/>
          <w:sz w:val="16"/>
          <w:szCs w:val="16"/>
          <w:color w:val="auto"/>
        </w:rPr>
      </w:pPr>
    </w:p>
    <w:p>
      <w:pPr>
        <w:ind w:left="1760" w:right="300" w:hanging="366"/>
        <w:spacing w:after="0" w:line="278" w:lineRule="auto"/>
        <w:tabs>
          <w:tab w:leader="none" w:pos="176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760" w:right="240" w:hanging="366"/>
        <w:spacing w:after="0" w:line="278" w:lineRule="auto"/>
        <w:tabs>
          <w:tab w:leader="none" w:pos="176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as members of our post-Distribution Board of Directors (the “Board”), the individuals listed in this Information Statement, and such individuals shall be the members of our Board immediately after the Distribution; and</w:t>
      </w:r>
    </w:p>
    <w:p>
      <w:pPr>
        <w:spacing w:after="0" w:line="61" w:lineRule="exact"/>
        <w:rPr>
          <w:rFonts w:ascii="Times New Roman" w:cs="Times New Roman" w:eastAsia="Times New Roman" w:hAnsi="Times New Roman"/>
          <w:sz w:val="16"/>
          <w:szCs w:val="16"/>
          <w:color w:val="auto"/>
        </w:rPr>
      </w:pPr>
    </w:p>
    <w:p>
      <w:pPr>
        <w:ind w:left="1760" w:right="380" w:hanging="366"/>
        <w:spacing w:after="0" w:line="278" w:lineRule="auto"/>
        <w:tabs>
          <w:tab w:leader="none" w:pos="176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50" w:lineRule="exact"/>
        <w:rPr>
          <w:sz w:val="20"/>
          <w:szCs w:val="20"/>
          <w:color w:val="auto"/>
        </w:rPr>
      </w:pPr>
    </w:p>
    <w:p>
      <w:pPr>
        <w:ind w:left="1300"/>
        <w:spacing w:after="0" w:line="252" w:lineRule="auto"/>
        <w:rPr>
          <w:sz w:val="20"/>
          <w:szCs w:val="20"/>
          <w:color w:val="auto"/>
        </w:rPr>
      </w:pPr>
      <w:r>
        <w:rPr>
          <w:rFonts w:ascii="Times New Roman" w:cs="Times New Roman" w:eastAsia="Times New Roman" w:hAnsi="Times New Roman"/>
          <w:sz w:val="16"/>
          <w:szCs w:val="16"/>
          <w:color w:val="auto"/>
        </w:rPr>
        <w:t>Illumina and GRAIL cannot assure you that any or all of these conditions will be met, or that the Distribution will be consummated even if all of the conditions are met. Illumina may at any time prior to the Distribution Date decide to abandon the Distribution or modify or change the terms of the Distribution.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105 of this Information Statement.</w:t>
      </w:r>
    </w:p>
    <w:p>
      <w:pPr>
        <w:spacing w:after="0" w:line="292" w:lineRule="exact"/>
        <w:rPr>
          <w:sz w:val="20"/>
          <w:szCs w:val="20"/>
          <w:color w:val="auto"/>
        </w:rPr>
      </w:pPr>
    </w:p>
    <w:p>
      <w:pPr>
        <w:ind w:left="1300" w:hanging="370"/>
        <w:spacing w:after="0"/>
        <w:tabs>
          <w:tab w:leader="none" w:pos="1300" w:val="left"/>
        </w:tabs>
        <w:numPr>
          <w:ilvl w:val="0"/>
          <w:numId w:val="31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Can Illumina decide to cancel the Distribution even if all the conditions have been satisfied?</w:t>
      </w:r>
    </w:p>
    <w:p>
      <w:pPr>
        <w:spacing w:after="0" w:line="118" w:lineRule="exact"/>
        <w:rPr>
          <w:sz w:val="20"/>
          <w:szCs w:val="20"/>
          <w:color w:val="auto"/>
        </w:rPr>
      </w:pPr>
    </w:p>
    <w:p>
      <w:pPr>
        <w:ind w:left="1300" w:right="220" w:hanging="370"/>
        <w:spacing w:after="0" w:line="258" w:lineRule="auto"/>
        <w:tabs>
          <w:tab w:leader="none" w:pos="1300"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Illumina Board may, in its sole discretion and at any time prior to the Distribution Date, decide to terminate or abandon the Distribution even if all the conditions to the Distribution have been satisfied if the Illumina Board determines that the Distribution is not in the best interests of Illumina or its stockholders or is otherwise not advisable. For a more detailed description, see the section entitled “The Spin-Off—Conditions to the Spin-Off” beginning on page 105 of this Information Statement.</w:t>
      </w:r>
    </w:p>
    <w:p>
      <w:pPr>
        <w:spacing w:after="0" w:line="288" w:lineRule="exact"/>
        <w:rPr>
          <w:sz w:val="20"/>
          <w:szCs w:val="20"/>
          <w:color w:val="auto"/>
        </w:rPr>
      </w:pPr>
    </w:p>
    <w:p>
      <w:pPr>
        <w:ind w:left="1300" w:hanging="370"/>
        <w:spacing w:after="0"/>
        <w:tabs>
          <w:tab w:leader="none" w:pos="1300" w:val="left"/>
        </w:tabs>
        <w:numPr>
          <w:ilvl w:val="0"/>
          <w:numId w:val="31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distribute shares of our common stock?</w:t>
      </w:r>
    </w:p>
    <w:p>
      <w:pPr>
        <w:spacing w:after="0" w:line="116" w:lineRule="exact"/>
        <w:rPr>
          <w:sz w:val="20"/>
          <w:szCs w:val="20"/>
          <w:color w:val="auto"/>
        </w:rPr>
      </w:pPr>
    </w:p>
    <w:p>
      <w:pPr>
        <w:ind w:left="1300" w:right="60" w:hanging="370"/>
        <w:spacing w:after="0" w:line="290" w:lineRule="auto"/>
        <w:tabs>
          <w:tab w:leader="none" w:pos="1300"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Registered stockholders. </w:t>
      </w:r>
      <w:r>
        <w:rPr>
          <w:rFonts w:ascii="Times New Roman" w:cs="Times New Roman" w:eastAsia="Times New Roman" w:hAnsi="Times New Roman"/>
          <w:sz w:val="15"/>
          <w:szCs w:val="15"/>
          <w:color w:val="auto"/>
        </w:rPr>
        <w:t>If you are a registered stockholder (meaning you own your shares of Illumina common stock directly through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Illumina’s transfer agent, Computershare Trust Company, N.A. (“Computershare”)), our distribution agent will credit the whole shares of our common stock you receive in the Distribution to a new book-entry account with our transfer agent, Computershare, on or shortly after the</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320"/>
          </w:cols>
          <w:pgMar w:left="320" w:top="419" w:right="12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663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71565" cy="5166360"/>
                    </a:xfrm>
                    <a:prstGeom prst="rect">
                      <a:avLst/>
                    </a:prstGeom>
                    <a:noFill/>
                  </pic:spPr>
                </pic:pic>
              </a:graphicData>
            </a:graphic>
          </wp:anchor>
        </w:drawing>
      </w:r>
    </w:p>
    <w:p>
      <w:pPr>
        <w:spacing w:after="0" w:line="267" w:lineRule="exact"/>
        <w:rPr>
          <w:sz w:val="20"/>
          <w:szCs w:val="20"/>
          <w:color w:val="auto"/>
        </w:rPr>
      </w:pPr>
    </w:p>
    <w:p>
      <w:pPr>
        <w:ind w:left="1300" w:right="480"/>
        <w:spacing w:after="0" w:line="259" w:lineRule="auto"/>
        <w:rPr>
          <w:sz w:val="20"/>
          <w:szCs w:val="20"/>
          <w:color w:val="auto"/>
        </w:rPr>
      </w:pPr>
      <w:r>
        <w:rPr>
          <w:rFonts w:ascii="Times New Roman" w:cs="Times New Roman" w:eastAsia="Times New Roman" w:hAnsi="Times New Roman"/>
          <w:sz w:val="16"/>
          <w:szCs w:val="16"/>
          <w:color w:val="auto"/>
        </w:rPr>
        <w:t>Distribution Date. Our distribution agent will mail you a book-entry account statement that reflects the number of whole shares of our common stock you own. You will be able to access information regarding your book-entry account holding the GRAIL shares at</w:t>
      </w:r>
    </w:p>
    <w:p>
      <w:pPr>
        <w:spacing w:after="0" w:line="1" w:lineRule="exact"/>
        <w:rPr>
          <w:sz w:val="20"/>
          <w:szCs w:val="20"/>
          <w:color w:val="auto"/>
        </w:rPr>
      </w:pPr>
    </w:p>
    <w:p>
      <w:pPr>
        <w:ind w:left="1300"/>
        <w:spacing w:after="0"/>
        <w:tabs>
          <w:tab w:leader="none" w:pos="2920" w:val="left"/>
          <w:tab w:leader="none" w:pos="5380" w:val="left"/>
        </w:tabs>
        <w:rPr>
          <w:sz w:val="20"/>
          <w:szCs w:val="20"/>
          <w:color w:val="auto"/>
        </w:rPr>
      </w:pPr>
      <w:r>
        <w:rPr>
          <w:rFonts w:ascii="Times New Roman" w:cs="Times New Roman" w:eastAsia="Times New Roman" w:hAnsi="Times New Roman"/>
          <w:sz w:val="16"/>
          <w:szCs w:val="16"/>
          <w:color w:val="auto"/>
        </w:rPr>
        <w:t>www.</w:t>
      </w:r>
      <w:r>
        <w:rPr>
          <w:sz w:val="20"/>
          <w:szCs w:val="20"/>
          <w:color w:val="auto"/>
        </w:rPr>
        <w:tab/>
      </w:r>
      <w:r>
        <w:rPr>
          <w:rFonts w:ascii="Times New Roman" w:cs="Times New Roman" w:eastAsia="Times New Roman" w:hAnsi="Times New Roman"/>
          <w:sz w:val="16"/>
          <w:szCs w:val="16"/>
          <w:color w:val="auto"/>
        </w:rPr>
        <w:t>.com or by calling</w:t>
      </w:r>
      <w:r>
        <w:rPr>
          <w:sz w:val="20"/>
          <w:szCs w:val="20"/>
          <w:color w:val="auto"/>
        </w:rPr>
        <w:tab/>
      </w:r>
      <w:r>
        <w:rPr>
          <w:rFonts w:ascii="Times New Roman" w:cs="Times New Roman" w:eastAsia="Times New Roman" w:hAnsi="Times New Roman"/>
          <w:sz w:val="16"/>
          <w:szCs w:val="16"/>
          <w:color w:val="auto"/>
        </w:rPr>
        <w:t>.</w:t>
      </w:r>
    </w:p>
    <w:p>
      <w:pPr>
        <w:spacing w:after="0" w:line="83" w:lineRule="exact"/>
        <w:rPr>
          <w:sz w:val="20"/>
          <w:szCs w:val="20"/>
          <w:color w:val="auto"/>
        </w:rPr>
      </w:pPr>
    </w:p>
    <w:p>
      <w:pPr>
        <w:ind w:left="1300" w:right="16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“Street name” or beneficial stockholders. </w:t>
      </w:r>
      <w:r>
        <w:rPr>
          <w:rFonts w:ascii="Times New Roman" w:cs="Times New Roman" w:eastAsia="Times New Roman" w:hAnsi="Times New Roman"/>
          <w:sz w:val="16"/>
          <w:szCs w:val="16"/>
          <w:color w:val="auto"/>
        </w:rPr>
        <w:t>If you own your shares of Illumina common stock beneficially through a bank, broker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nominee, your bank, broker or other nominee will credit your account with the whole shares of our common stock you receive in the Distribution on or shortly after the Distribution Date. Please contact your bank, broker or other nominee for further information about your account.</w:t>
      </w:r>
    </w:p>
    <w:p>
      <w:pPr>
        <w:spacing w:after="0" w:line="65" w:lineRule="exact"/>
        <w:rPr>
          <w:sz w:val="20"/>
          <w:szCs w:val="20"/>
          <w:color w:val="auto"/>
        </w:rPr>
      </w:pPr>
    </w:p>
    <w:p>
      <w:pPr>
        <w:ind w:left="1300" w:right="200"/>
        <w:spacing w:after="0" w:line="278" w:lineRule="auto"/>
        <w:rPr>
          <w:sz w:val="20"/>
          <w:szCs w:val="20"/>
          <w:color w:val="auto"/>
        </w:rPr>
      </w:pPr>
      <w:r>
        <w:rPr>
          <w:rFonts w:ascii="Times New Roman" w:cs="Times New Roman" w:eastAsia="Times New Roman" w:hAnsi="Times New Roman"/>
          <w:sz w:val="16"/>
          <w:szCs w:val="16"/>
          <w:color w:val="auto"/>
        </w:rPr>
        <w:t>We will not issue any physical stock certificates to any stockholders, even if requested. See the section entitled “The Spin-Off—When and How You Will Receive GRAIL Shares” beginning on page 99 of this Information Statement for a more detailed explanation.</w:t>
      </w:r>
    </w:p>
    <w:p>
      <w:pPr>
        <w:spacing w:after="0" w:line="272" w:lineRule="exact"/>
        <w:rPr>
          <w:sz w:val="20"/>
          <w:szCs w:val="20"/>
          <w:color w:val="auto"/>
        </w:rPr>
      </w:pPr>
    </w:p>
    <w:p>
      <w:pPr>
        <w:ind w:left="1300" w:hanging="370"/>
        <w:spacing w:after="0"/>
        <w:tabs>
          <w:tab w:leader="none" w:pos="1300" w:val="left"/>
        </w:tabs>
        <w:numPr>
          <w:ilvl w:val="0"/>
          <w:numId w:val="31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fractional shares be treated in the Distribution?</w:t>
      </w:r>
    </w:p>
    <w:p>
      <w:pPr>
        <w:spacing w:after="0" w:line="118" w:lineRule="exact"/>
        <w:rPr>
          <w:sz w:val="20"/>
          <w:szCs w:val="20"/>
          <w:color w:val="auto"/>
        </w:rPr>
      </w:pPr>
    </w:p>
    <w:p>
      <w:pPr>
        <w:ind w:left="1300" w:hanging="370"/>
        <w:spacing w:after="0" w:line="251" w:lineRule="auto"/>
        <w:tabs>
          <w:tab w:leader="none" w:pos="130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 See “—How will GRAIL common stock trade?” beginning on page 19 of this Information Statement for additional information regarding “when-issued” trading and the section entitled “The Spin-Off—Treatment of Fractional Shares” beginning on page 100 of this Information Statement for a more detailed explanation of the treatment of fractional shares. The distribution agent will, in its sole discretion, without any influence by Illumina or us, determine when, how, through which broker-dealer and at what price to sell the whole shares of GRAIL common stock. The distribution agent is not, and any broker-dealer used by the distribution agent will not be, an affiliate of either Illumina or us.</w:t>
      </w:r>
    </w:p>
    <w:p>
      <w:pPr>
        <w:spacing w:after="0" w:line="295" w:lineRule="exact"/>
        <w:rPr>
          <w:sz w:val="20"/>
          <w:szCs w:val="20"/>
          <w:color w:val="auto"/>
        </w:rPr>
      </w:pPr>
    </w:p>
    <w:p>
      <w:pPr>
        <w:ind w:left="1300" w:hanging="370"/>
        <w:spacing w:after="0"/>
        <w:tabs>
          <w:tab w:leader="none" w:pos="1300" w:val="left"/>
        </w:tabs>
        <w:numPr>
          <w:ilvl w:val="0"/>
          <w:numId w:val="3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U.S. federal income tax consequences to me of the Distribution?</w:t>
      </w:r>
    </w:p>
    <w:p>
      <w:pPr>
        <w:spacing w:after="0" w:line="118" w:lineRule="exact"/>
        <w:rPr>
          <w:sz w:val="20"/>
          <w:szCs w:val="20"/>
          <w:color w:val="auto"/>
        </w:rPr>
      </w:pPr>
    </w:p>
    <w:p>
      <w:pPr>
        <w:ind w:left="1300" w:right="60" w:hanging="370"/>
        <w:spacing w:after="0" w:line="251" w:lineRule="auto"/>
        <w:tabs>
          <w:tab w:leader="none" w:pos="1300"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the Spin-Off is conditioned upon Illumina’s receipt of a private letter ruling from the IRS and a written opinion of Cravath, Swaine &amp; Moore LLP, each of which shall remain in full force in effect, that, subject to the limitations specified therein and the accuracy of and compliance with certain representations, warranties and covenants, the Spin-Off will qualify for non-recognition of gain and loss under Sections 355 and 368 of the Code. If the Spin-Off qualifies for such treatment, for U.S. federal income tax purposes, no gain or loss will be recognized by, or be includible in the income of, a U.S. Holder (as defined in the section entitled “The Spin-Off—Material U.S. Federal Income Tax Consequences of the Spin-Off” beginning on page 101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101 of this Information Statement for more information regarding the potential tax consequences to you of the Spin-Off.</w:t>
      </w:r>
    </w:p>
    <w:p>
      <w:pPr>
        <w:spacing w:after="0" w:line="73" w:lineRule="exact"/>
        <w:rPr>
          <w:rFonts w:ascii="Times New Roman" w:cs="Times New Roman" w:eastAsia="Times New Roman" w:hAnsi="Times New Roman"/>
          <w:sz w:val="16"/>
          <w:szCs w:val="16"/>
          <w:color w:val="auto"/>
        </w:rPr>
      </w:pPr>
    </w:p>
    <w:p>
      <w:pPr>
        <w:ind w:left="1300" w:right="48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280"/>
          </w:cols>
          <w:pgMar w:left="320" w:top="419" w:right="12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54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71565" cy="5354955"/>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32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Does GRAIL intend to pay cash dividends?</w:t>
      </w:r>
    </w:p>
    <w:p>
      <w:pPr>
        <w:spacing w:after="0" w:line="118" w:lineRule="exact"/>
        <w:rPr>
          <w:sz w:val="20"/>
          <w:szCs w:val="20"/>
          <w:color w:val="auto"/>
        </w:rPr>
      </w:pPr>
    </w:p>
    <w:p>
      <w:pPr>
        <w:ind w:left="1300" w:hanging="370"/>
        <w:spacing w:after="0" w:line="252" w:lineRule="auto"/>
        <w:tabs>
          <w:tab w:leader="none" w:pos="1300"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the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the section entitled “Dividend Policy” beginning on</w:t>
      </w:r>
    </w:p>
    <w:p>
      <w:pPr>
        <w:spacing w:after="0" w:line="3"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page 108 of this Information Statement for more information.</w:t>
      </w:r>
    </w:p>
    <w:p>
      <w:pPr>
        <w:spacing w:after="0" w:line="307" w:lineRule="exact"/>
        <w:rPr>
          <w:sz w:val="20"/>
          <w:szCs w:val="20"/>
          <w:color w:val="auto"/>
        </w:rPr>
      </w:pPr>
    </w:p>
    <w:p>
      <w:pPr>
        <w:ind w:left="1300" w:hanging="370"/>
        <w:spacing w:after="0"/>
        <w:tabs>
          <w:tab w:leader="none" w:pos="1300" w:val="left"/>
        </w:tabs>
        <w:numPr>
          <w:ilvl w:val="0"/>
          <w:numId w:val="3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GRAIL common stock trade?</w:t>
      </w:r>
    </w:p>
    <w:p>
      <w:pPr>
        <w:spacing w:after="0" w:line="118" w:lineRule="exact"/>
        <w:rPr>
          <w:sz w:val="20"/>
          <w:szCs w:val="20"/>
          <w:color w:val="auto"/>
        </w:rPr>
      </w:pPr>
    </w:p>
    <w:p>
      <w:pPr>
        <w:ind w:left="1300" w:hanging="370"/>
        <w:spacing w:after="0"/>
        <w:tabs>
          <w:tab w:leader="none" w:pos="1300"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Currently, there is no public market for our common stock. We intend to list our common stock on Nasdaq under the ticker symbol “GRAL.”</w:t>
      </w:r>
    </w:p>
    <w:p>
      <w:pPr>
        <w:spacing w:after="0" w:line="113" w:lineRule="exact"/>
        <w:rPr>
          <w:rFonts w:ascii="Times New Roman" w:cs="Times New Roman" w:eastAsia="Times New Roman" w:hAnsi="Times New Roman"/>
          <w:sz w:val="15"/>
          <w:szCs w:val="15"/>
          <w:color w:val="auto"/>
        </w:rPr>
      </w:pPr>
    </w:p>
    <w:p>
      <w:pPr>
        <w:ind w:left="1300" w:right="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anticipate that trading in our common stock will begin on a “when-issued” basis on or shortly before the Record Date for the Distribution and will continue up to and including the Distribution Date. “When-issued” trading in the context of a spin-off refers to a sale or purchase made conditionally on or before the Distribution Date because the securities of the spun-off entity have not yet been distributed. “When-issued” trades generally settle within two trading days after the Distribution Date. On the first trading day following the Distribution Date, any “when-issued” trading of our common stock will end and “regular-way” trading will begin. “Regular-way” trading refers to trading after the security has been distributed and typically involves a trade that settles on the second full trading day following the date of the trade. See the section entitled “The Spin-Off—Trading Prior to the Distribution Date” beginning on page 105 of this Information Statement for more information. We cannot predict the trading prices for our common stock before, on or after the Distribution Date.</w:t>
      </w:r>
    </w:p>
    <w:p>
      <w:pPr>
        <w:spacing w:after="0" w:line="282" w:lineRule="exact"/>
        <w:rPr>
          <w:sz w:val="20"/>
          <w:szCs w:val="20"/>
          <w:color w:val="auto"/>
        </w:rPr>
      </w:pPr>
    </w:p>
    <w:p>
      <w:pPr>
        <w:ind w:left="1300" w:hanging="370"/>
        <w:spacing w:after="0"/>
        <w:tabs>
          <w:tab w:leader="none" w:pos="1300" w:val="left"/>
        </w:tabs>
        <w:numPr>
          <w:ilvl w:val="0"/>
          <w:numId w:val="32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the listing of Illumina’s common stock?</w:t>
      </w:r>
    </w:p>
    <w:p>
      <w:pPr>
        <w:spacing w:after="0" w:line="118" w:lineRule="exact"/>
        <w:rPr>
          <w:sz w:val="20"/>
          <w:szCs w:val="20"/>
          <w:color w:val="auto"/>
        </w:rPr>
      </w:pPr>
    </w:p>
    <w:p>
      <w:pPr>
        <w:ind w:left="1300" w:hanging="370"/>
        <w:spacing w:after="0"/>
        <w:tabs>
          <w:tab w:leader="none" w:pos="130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common stock will continue to trade on Nasdaq under the ticker symbol “ILMN” after the Distribution.</w:t>
      </w:r>
    </w:p>
    <w:p>
      <w:pPr>
        <w:spacing w:after="0" w:line="324" w:lineRule="exact"/>
        <w:rPr>
          <w:sz w:val="20"/>
          <w:szCs w:val="20"/>
          <w:color w:val="auto"/>
        </w:rPr>
      </w:pPr>
    </w:p>
    <w:p>
      <w:pPr>
        <w:ind w:left="1300" w:hanging="370"/>
        <w:spacing w:after="0"/>
        <w:tabs>
          <w:tab w:leader="none" w:pos="1300" w:val="left"/>
        </w:tabs>
        <w:numPr>
          <w:ilvl w:val="0"/>
          <w:numId w:val="3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Spin-Off affect the trading price of my Illumina common stock?</w:t>
      </w:r>
    </w:p>
    <w:p>
      <w:pPr>
        <w:spacing w:after="0" w:line="118" w:lineRule="exact"/>
        <w:rPr>
          <w:sz w:val="20"/>
          <w:szCs w:val="20"/>
          <w:color w:val="auto"/>
        </w:rPr>
      </w:pPr>
    </w:p>
    <w:p>
      <w:pPr>
        <w:ind w:left="1300" w:hanging="370"/>
        <w:spacing w:after="0" w:line="254" w:lineRule="auto"/>
        <w:tabs>
          <w:tab w:leader="none" w:pos="130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the trading price of shares of Illumina common stock immediately following the Distribution to be lower than the trading price immediately prior to the Distribution because the trading price will no longer reflect the value of GRAIL. Furthermore, until the market has fully analyzed the value of Illumina without GRAIL, the trading price of shares of Illumina common stock may fluctuate and result in a higher volatility in the price of our common stock. There can be no assurance that, following the Distribution, the combined trading prices of the Illumina common stock and the GRAIL common stock will equal or exceed what the trading price of Illumina common stock would have been in the absence of the Spin-Off.</w:t>
      </w:r>
    </w:p>
    <w:p>
      <w:pPr>
        <w:spacing w:after="0" w:line="69" w:lineRule="exact"/>
        <w:rPr>
          <w:rFonts w:ascii="Times New Roman" w:cs="Times New Roman" w:eastAsia="Times New Roman" w:hAnsi="Times New Roman"/>
          <w:sz w:val="16"/>
          <w:szCs w:val="16"/>
          <w:color w:val="auto"/>
        </w:rPr>
      </w:pPr>
    </w:p>
    <w:p>
      <w:pPr>
        <w:ind w:left="1300" w:right="14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after the Spin-Off, the combined equity value of Illumina and GRAIL will be less than Illumina’s equity value before the Spin-Off.</w:t>
      </w:r>
    </w:p>
    <w:p>
      <w:pPr>
        <w:spacing w:after="0" w:line="272" w:lineRule="exact"/>
        <w:rPr>
          <w:sz w:val="20"/>
          <w:szCs w:val="20"/>
          <w:color w:val="auto"/>
        </w:rPr>
      </w:pPr>
    </w:p>
    <w:p>
      <w:pPr>
        <w:ind w:left="1300" w:hanging="370"/>
        <w:spacing w:after="0"/>
        <w:tabs>
          <w:tab w:leader="none" w:pos="1300" w:val="left"/>
        </w:tabs>
        <w:numPr>
          <w:ilvl w:val="0"/>
          <w:numId w:val="3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Illumina’s equity incentive awards in connection with the Spin-Off?</w:t>
      </w:r>
    </w:p>
    <w:p>
      <w:pPr>
        <w:spacing w:after="0" w:line="118" w:lineRule="exact"/>
        <w:rPr>
          <w:sz w:val="20"/>
          <w:szCs w:val="20"/>
          <w:color w:val="auto"/>
        </w:rPr>
      </w:pPr>
    </w:p>
    <w:p>
      <w:pPr>
        <w:ind w:left="1300" w:right="20" w:hanging="370"/>
        <w:spacing w:after="0" w:line="263" w:lineRule="auto"/>
        <w:tabs>
          <w:tab w:leader="none" w:pos="1300"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that will continue at Illumina will remain outstanding and continue to be subject to the same terms and conditions following the Distribution Date, but with adjustments to the number of shares of Illumina common stock subject to such award in order to preserve its value.</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280"/>
          </w:cols>
          <w:pgMar w:left="320" w:top="419" w:right="12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76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71565" cy="5476240"/>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3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GRAIL’s cash-based equity incentive awards in connection with the Spin-Off?</w:t>
      </w:r>
    </w:p>
    <w:p>
      <w:pPr>
        <w:spacing w:after="0" w:line="118" w:lineRule="exact"/>
        <w:rPr>
          <w:sz w:val="20"/>
          <w:szCs w:val="20"/>
          <w:color w:val="auto"/>
        </w:rPr>
      </w:pPr>
    </w:p>
    <w:p>
      <w:pPr>
        <w:ind w:left="1300" w:right="100" w:hanging="370"/>
        <w:spacing w:after="0" w:line="255" w:lineRule="auto"/>
        <w:tabs>
          <w:tab w:leader="none" w:pos="1300"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GRAIL cash-based equity incentive award (each, a “Cash-Based Equity Award”) outstanding as of the Distribution Date may convert into an equity-based award that settles in shares of GRAIL common stock. If converted, we expect that the number of shares subject to such award will be based on the value of the award at the time of the Distribution compared to the value of the GRAIL shares in the Distribution, and will otherwise continue to be subject to the same terms and conditions following the Distribution Date (each such converted award, a “GRAIL RSU”).</w:t>
      </w:r>
    </w:p>
    <w:p>
      <w:pPr>
        <w:spacing w:after="0" w:line="292" w:lineRule="exact"/>
        <w:rPr>
          <w:sz w:val="20"/>
          <w:szCs w:val="20"/>
          <w:color w:val="auto"/>
        </w:rPr>
      </w:pPr>
    </w:p>
    <w:p>
      <w:pPr>
        <w:ind w:left="1300" w:hanging="370"/>
        <w:spacing w:after="0"/>
        <w:tabs>
          <w:tab w:leader="none" w:pos="1300" w:val="left"/>
        </w:tabs>
        <w:numPr>
          <w:ilvl w:val="0"/>
          <w:numId w:val="3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GRAIL’s relationship be with Illumina following the Spin-Off?</w:t>
      </w:r>
    </w:p>
    <w:p>
      <w:pPr>
        <w:spacing w:after="0" w:line="118" w:lineRule="exact"/>
        <w:rPr>
          <w:sz w:val="20"/>
          <w:szCs w:val="20"/>
          <w:color w:val="auto"/>
        </w:rPr>
      </w:pPr>
    </w:p>
    <w:p>
      <w:pPr>
        <w:ind w:left="1300" w:hanging="370"/>
        <w:spacing w:after="0" w:line="251" w:lineRule="auto"/>
        <w:tabs>
          <w:tab w:leader="none" w:pos="130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Distribution, GRAIL and Illumina will be separate companies with separate management teams and separate boards of directors and Illumina may retain up to 14.5% of the outstanding shares of our common stock. GRAIL will enter into a separation and distribution agreement with Illumina to effect the separation and provide a framework for the relationship between GRAIL and Illumina after the Spin-Off (the “Separation and Distribution Agreement”), and will enter into certain other agreements, including a Tax Matters Agreement (as defined below), and a Stockholder and Registration Rights Agreement (as defined below) with respect to Illumina’s continuing ownership of GRAIL common stock. These agreements will allocate between GRAIL and Illumina the obligations of Illumina and its subsidiaries attributable to periods prior to, at and after the Distribution and govern the relationship between GRAIL and Illumina following the Spin-Off. In addition to the aforementioned agreements, we are also currently party to, or intend to enter into, various other agreements with Illumina and its subsidiaries, including a supply and commercialization agreement and license agreements. For additional information regarding the Separation and Distribution Agreement, Tax Matters Agreement, and Stockholder and Registration Rights Agreement, see the sections entitled “Risk Factors—Risks Relating to the Spin-Off” and “Certain Relationships and Related Party Transactions” beginning on pages 84 and 202, respectively, of this Information Statement.</w:t>
      </w:r>
    </w:p>
    <w:p>
      <w:pPr>
        <w:spacing w:after="0" w:line="293" w:lineRule="exact"/>
        <w:rPr>
          <w:sz w:val="20"/>
          <w:szCs w:val="20"/>
          <w:color w:val="auto"/>
        </w:rPr>
      </w:pPr>
    </w:p>
    <w:p>
      <w:pPr>
        <w:ind w:left="1300" w:hanging="370"/>
        <w:spacing w:after="0"/>
        <w:tabs>
          <w:tab w:leader="none" w:pos="1300" w:val="left"/>
        </w:tabs>
        <w:numPr>
          <w:ilvl w:val="0"/>
          <w:numId w:val="33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vote any shares of GRAIL common stock it retains?</w:t>
      </w:r>
    </w:p>
    <w:p>
      <w:pPr>
        <w:spacing w:after="0" w:line="118" w:lineRule="exact"/>
        <w:rPr>
          <w:sz w:val="20"/>
          <w:szCs w:val="20"/>
          <w:color w:val="auto"/>
        </w:rPr>
      </w:pPr>
    </w:p>
    <w:p>
      <w:pPr>
        <w:ind w:left="1300" w:right="320" w:hanging="370"/>
        <w:spacing w:after="0" w:line="258" w:lineRule="auto"/>
        <w:tabs>
          <w:tab w:leader="none" w:pos="130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expected to agree to vote any shares of GRAIL common stock that it retains in proportion to the votes cast by GRAIL’s other stockholders and is expected to grant GRAIL a proxy to vote its shares of GRAIL common stock in such proportion. For additional information on these voting arrangements, see “Certain Relationships and Related Party Transactions—Agreements with Illumina— Stockholder and Registration Rights Agreement” beginning on page 203 of this Information Statement.</w:t>
      </w:r>
    </w:p>
    <w:p>
      <w:pPr>
        <w:spacing w:after="0" w:line="288" w:lineRule="exact"/>
        <w:rPr>
          <w:sz w:val="20"/>
          <w:szCs w:val="20"/>
          <w:color w:val="auto"/>
        </w:rPr>
      </w:pPr>
    </w:p>
    <w:p>
      <w:pPr>
        <w:ind w:left="1300" w:hanging="370"/>
        <w:spacing w:after="0"/>
        <w:tabs>
          <w:tab w:leader="none" w:pos="1300" w:val="left"/>
        </w:tabs>
        <w:numPr>
          <w:ilvl w:val="0"/>
          <w:numId w:val="33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does Illumina intend to do with any shares of GRAIL common stock it retains?</w:t>
      </w:r>
    </w:p>
    <w:p>
      <w:pPr>
        <w:spacing w:after="0" w:line="118" w:lineRule="exact"/>
        <w:rPr>
          <w:sz w:val="20"/>
          <w:szCs w:val="20"/>
          <w:color w:val="auto"/>
        </w:rPr>
      </w:pPr>
    </w:p>
    <w:p>
      <w:pPr>
        <w:ind w:left="1300" w:right="20" w:hanging="370"/>
        <w:spacing w:after="0" w:line="255" w:lineRule="auto"/>
        <w:tabs>
          <w:tab w:leader="none" w:pos="130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intends to hold for investment purposes any GRAIL common stock that it retains after the Distribution.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w:t>
      </w:r>
    </w:p>
    <w:p>
      <w:pPr>
        <w:spacing w:after="0" w:line="292" w:lineRule="exact"/>
        <w:rPr>
          <w:sz w:val="20"/>
          <w:szCs w:val="20"/>
          <w:color w:val="auto"/>
        </w:rPr>
      </w:pPr>
    </w:p>
    <w:p>
      <w:pPr>
        <w:ind w:left="1300" w:hanging="370"/>
        <w:spacing w:after="0"/>
        <w:tabs>
          <w:tab w:leader="none" w:pos="1300" w:val="left"/>
        </w:tabs>
        <w:numPr>
          <w:ilvl w:val="0"/>
          <w:numId w:val="33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will manage GRAIL following the Spin-Off?</w:t>
      </w:r>
    </w:p>
    <w:p>
      <w:pPr>
        <w:spacing w:after="0" w:line="118" w:lineRule="exact"/>
        <w:rPr>
          <w:sz w:val="20"/>
          <w:szCs w:val="20"/>
          <w:color w:val="auto"/>
        </w:rPr>
      </w:pPr>
    </w:p>
    <w:p>
      <w:pPr>
        <w:ind w:left="1300" w:right="120" w:hanging="370"/>
        <w:spacing w:after="0" w:line="263" w:lineRule="auto"/>
        <w:tabs>
          <w:tab w:leader="none" w:pos="130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is led by Robert Ragusa, who is GRAIL’s Chief Executive Officer, and Aaron Freidin, who is GRAIL’s Chief Financial Officer. For more information regarding GRAIL’s directors and management, see the section entitled “Management” beginning on page 187 of this Information Statement.</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280"/>
          </w:cols>
          <w:pgMar w:left="320" w:top="419" w:right="12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2647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71565" cy="5264785"/>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34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 I have appraisal rights in connection with the Spin-Off?</w:t>
      </w:r>
    </w:p>
    <w:p>
      <w:pPr>
        <w:spacing w:after="0" w:line="118" w:lineRule="exact"/>
        <w:rPr>
          <w:sz w:val="20"/>
          <w:szCs w:val="20"/>
          <w:color w:val="auto"/>
        </w:rPr>
      </w:pPr>
    </w:p>
    <w:p>
      <w:pPr>
        <w:ind w:left="1300" w:hanging="370"/>
        <w:spacing w:after="0"/>
        <w:tabs>
          <w:tab w:leader="none" w:pos="130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Holders of Illumina common stock are not entitled to appraisal rights in connection with the Spin-Off.</w:t>
      </w:r>
    </w:p>
    <w:p>
      <w:pPr>
        <w:spacing w:after="0" w:line="324" w:lineRule="exact"/>
        <w:rPr>
          <w:sz w:val="20"/>
          <w:szCs w:val="20"/>
          <w:color w:val="auto"/>
        </w:rPr>
      </w:pPr>
    </w:p>
    <w:p>
      <w:pPr>
        <w:ind w:left="1300" w:hanging="370"/>
        <w:spacing w:after="0"/>
        <w:tabs>
          <w:tab w:leader="none" w:pos="1300" w:val="left"/>
        </w:tabs>
        <w:numPr>
          <w:ilvl w:val="0"/>
          <w:numId w:val="34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is the transfer agent and registrar for GRAIL common stock?</w:t>
      </w:r>
    </w:p>
    <w:p>
      <w:pPr>
        <w:spacing w:after="0" w:line="118" w:lineRule="exact"/>
        <w:rPr>
          <w:sz w:val="20"/>
          <w:szCs w:val="20"/>
          <w:color w:val="auto"/>
        </w:rPr>
      </w:pPr>
    </w:p>
    <w:p>
      <w:pPr>
        <w:ind w:left="1300" w:hanging="370"/>
        <w:spacing w:after="0"/>
        <w:tabs>
          <w:tab w:leader="none" w:pos="130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Computershare is the transfer agent and registrar for GRAIL common stock.</w:t>
      </w:r>
    </w:p>
    <w:p>
      <w:pPr>
        <w:spacing w:after="0" w:line="324" w:lineRule="exact"/>
        <w:rPr>
          <w:sz w:val="20"/>
          <w:szCs w:val="20"/>
          <w:color w:val="auto"/>
        </w:rPr>
      </w:pPr>
    </w:p>
    <w:p>
      <w:pPr>
        <w:ind w:left="1300" w:hanging="370"/>
        <w:spacing w:after="0"/>
        <w:tabs>
          <w:tab w:leader="none" w:pos="1300" w:val="left"/>
        </w:tabs>
        <w:numPr>
          <w:ilvl w:val="0"/>
          <w:numId w:val="34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Are there risks associated with owning shares of GRAIL common stock?</w:t>
      </w:r>
    </w:p>
    <w:p>
      <w:pPr>
        <w:spacing w:after="0" w:line="118" w:lineRule="exact"/>
        <w:rPr>
          <w:sz w:val="20"/>
          <w:szCs w:val="20"/>
          <w:color w:val="auto"/>
        </w:rPr>
      </w:pPr>
    </w:p>
    <w:p>
      <w:pPr>
        <w:ind w:left="1300" w:hanging="370"/>
        <w:spacing w:after="0" w:line="263" w:lineRule="auto"/>
        <w:tabs>
          <w:tab w:leader="none" w:pos="130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Our business faces both general and specific risks and uncertainties. Our business also faces risks relating to the Spin-Off. Following the Spin-Off, we will also face risks associated with being an independent, publicly traded company. Accordingly, you should read carefully the information set forth in the section entitled “Risk Factors” beginning on page 28 of this Information Statement.</w:t>
      </w:r>
    </w:p>
    <w:p>
      <w:pPr>
        <w:spacing w:after="0" w:line="284" w:lineRule="exact"/>
        <w:rPr>
          <w:sz w:val="20"/>
          <w:szCs w:val="20"/>
          <w:color w:val="auto"/>
        </w:rPr>
      </w:pPr>
    </w:p>
    <w:p>
      <w:pPr>
        <w:ind w:left="1300" w:hanging="370"/>
        <w:spacing w:after="0"/>
        <w:tabs>
          <w:tab w:leader="none" w:pos="1300" w:val="left"/>
        </w:tabs>
        <w:numPr>
          <w:ilvl w:val="0"/>
          <w:numId w:val="34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Where can I get more information?</w:t>
      </w:r>
    </w:p>
    <w:p>
      <w:pPr>
        <w:spacing w:after="0" w:line="118" w:lineRule="exact"/>
        <w:rPr>
          <w:sz w:val="20"/>
          <w:szCs w:val="20"/>
          <w:color w:val="auto"/>
        </w:rPr>
      </w:pPr>
    </w:p>
    <w:p>
      <w:pPr>
        <w:ind w:left="1300" w:hanging="370"/>
        <w:spacing w:after="0"/>
        <w:tabs>
          <w:tab w:leader="none" w:pos="1300"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any questions relating to the mechanics of the Distribution, you should contact the distribution agent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Computershare Trust Company, N.A.</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150 Royall Street</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Canton, MA 02021</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(877) 373-6374</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 web.queries@computershare.com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Before the Spin-Off, if you have any questions relating to the Spin-Off, you should contact Illumina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San Diego, CA 92122</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(858) 202-4500</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 ir@illumina.com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After the Spin-Off, if you have any questions relating to GRAIL, you should contact us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(833) 694-2553</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ind w:left="920" w:right="60" w:firstLine="375"/>
        <w:spacing w:after="0" w:line="263" w:lineRule="auto"/>
        <w:rPr>
          <w:sz w:val="20"/>
          <w:szCs w:val="20"/>
          <w:color w:val="auto"/>
        </w:rPr>
      </w:pPr>
      <w:r>
        <w:rPr>
          <w:rFonts w:ascii="Times New Roman" w:cs="Times New Roman" w:eastAsia="Times New Roman" w:hAnsi="Times New Roman"/>
          <w:sz w:val="16"/>
          <w:szCs w:val="16"/>
          <w:color w:val="auto"/>
        </w:rPr>
        <w:t>A link to our investor relations website and additional contact information will be made available at https://grail.com. Information contained on, or connected to, our website does not and will not constitute part of this Information Statement or the Registration Statement on Form 10, of which this Information Statement is a part, or any other filings with, or any information furnished or submitted to, the SEC.</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280"/>
          </w:cols>
          <w:pgMar w:left="320" w:top="419" w:right="12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446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9"/>
        </w:trPr>
        <w:tc>
          <w:tcPr>
            <w:tcW w:w="2360" w:type="dxa"/>
            <w:vAlign w:val="bottom"/>
          </w:tcPr>
          <w:p>
            <w:pPr>
              <w:spacing w:after="0"/>
              <w:rPr>
                <w:sz w:val="18"/>
                <w:szCs w:val="18"/>
                <w:color w:val="auto"/>
              </w:rPr>
            </w:pPr>
          </w:p>
        </w:tc>
        <w:tc>
          <w:tcPr>
            <w:tcW w:w="4460" w:type="dxa"/>
            <w:vAlign w:val="bottom"/>
            <w:gridSpan w:val="3"/>
          </w:tcPr>
          <w:p>
            <w:pPr>
              <w:ind w:left="126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26"/>
        </w:trPr>
        <w:tc>
          <w:tcPr>
            <w:tcW w:w="236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gridSpan w:val="3"/>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r>
        <w:trPr>
          <w:trHeight w:val="341"/>
        </w:trPr>
        <w:tc>
          <w:tcPr>
            <w:tcW w:w="2360" w:type="dxa"/>
            <w:vAlign w:val="bottom"/>
          </w:tcPr>
          <w:p>
            <w:pPr>
              <w:spacing w:after="0"/>
              <w:rPr>
                <w:sz w:val="24"/>
                <w:szCs w:val="24"/>
                <w:color w:val="auto"/>
              </w:rPr>
            </w:pPr>
          </w:p>
        </w:tc>
        <w:tc>
          <w:tcPr>
            <w:tcW w:w="4460" w:type="dxa"/>
            <w:vAlign w:val="bottom"/>
            <w:gridSpan w:val="3"/>
          </w:tcPr>
          <w:p>
            <w:pPr>
              <w:ind w:left="1380"/>
              <w:spacing w:after="0"/>
              <w:rPr>
                <w:sz w:val="20"/>
                <w:szCs w:val="20"/>
                <w:color w:val="auto"/>
              </w:rPr>
            </w:pPr>
            <w:r>
              <w:rPr>
                <w:rFonts w:ascii="Times New Roman" w:cs="Times New Roman" w:eastAsia="Times New Roman" w:hAnsi="Times New Roman"/>
                <w:sz w:val="16"/>
                <w:szCs w:val="16"/>
                <w:b w:val="1"/>
                <w:bCs w:val="1"/>
                <w:color w:val="auto"/>
              </w:rPr>
              <w:t>SUMMARY OF THE SPIN-OFF</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Distributing Company</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Illumina, Inc., or “Illumina,” a Delaware corporation that holds all of our common stock</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issued and outstanding prior to the Distribution. After the Distribution, Illumina will own</w:t>
            </w:r>
          </w:p>
        </w:tc>
      </w:tr>
      <w:tr>
        <w:trPr>
          <w:trHeight w:val="207"/>
        </w:trPr>
        <w:tc>
          <w:tcPr>
            <w:tcW w:w="2360" w:type="dxa"/>
            <w:vAlign w:val="bottom"/>
          </w:tcPr>
          <w:p>
            <w:pPr>
              <w:spacing w:after="0"/>
              <w:rPr>
                <w:sz w:val="18"/>
                <w:szCs w:val="18"/>
                <w:color w:val="auto"/>
              </w:rPr>
            </w:pPr>
          </w:p>
        </w:tc>
        <w:tc>
          <w:tcPr>
            <w:tcW w:w="446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up to 14.5% of the shares of our common stock.</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Distributed Company</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GRAIL, LLC, or “GRAIL,” a Delaware limited liability company and a wholly owned</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subsidiary of Illumina. Prior to the completion of the Spin-Off, GRAIL will be converted</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into a Delaware corporation and will be renamed GRAIL, Inc. After the Spin-Off, we will</w:t>
            </w:r>
          </w:p>
        </w:tc>
      </w:tr>
      <w:tr>
        <w:trPr>
          <w:trHeight w:val="207"/>
        </w:trPr>
        <w:tc>
          <w:tcPr>
            <w:tcW w:w="2360" w:type="dxa"/>
            <w:vAlign w:val="bottom"/>
          </w:tcPr>
          <w:p>
            <w:pPr>
              <w:spacing w:after="0"/>
              <w:rPr>
                <w:sz w:val="18"/>
                <w:szCs w:val="18"/>
                <w:color w:val="auto"/>
              </w:rPr>
            </w:pPr>
          </w:p>
        </w:tc>
        <w:tc>
          <w:tcPr>
            <w:tcW w:w="446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be an independent, publicly traded company.</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Distributed Securities</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At least 85.5% of the shares of our common stock owned by Illumina, which will be at</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least 85.5% of our common stock issued and outstanding immediately prior to the</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Distribution. Illumina may retain up to 14.5% of the outstanding shares of GRAIL’s</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common stock and expects to hold any retained shares for investment purposes. Illumina</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expects that the IRS private letter ruling will require that all retained shares be sold or</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otherwise disposed of by Illumina as soon as warranted consistent with the business</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reasons for the retention of those shares, but in no event later than five years after the</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Distribution. Such dispositions could include a sale of its shares for cash, distributions of</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GRAIL common stock to Illumina stockholders or securityholders as dividends or in</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exchange for outstanding shares of Illumina common stock, indebtedness or other</w:t>
            </w:r>
          </w:p>
        </w:tc>
      </w:tr>
      <w:tr>
        <w:trPr>
          <w:trHeight w:val="190"/>
        </w:trPr>
        <w:tc>
          <w:tcPr>
            <w:tcW w:w="2360" w:type="dxa"/>
            <w:vAlign w:val="bottom"/>
          </w:tcPr>
          <w:p>
            <w:pPr>
              <w:spacing w:after="0"/>
              <w:rPr>
                <w:sz w:val="16"/>
                <w:szCs w:val="16"/>
                <w:color w:val="auto"/>
              </w:rPr>
            </w:pPr>
          </w:p>
        </w:tc>
        <w:tc>
          <w:tcPr>
            <w:tcW w:w="602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rPr>
              <w:t>securities, or any combination thereof. Based on the approximately</w:t>
            </w:r>
          </w:p>
        </w:tc>
        <w:tc>
          <w:tcPr>
            <w:tcW w:w="1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of</w:t>
            </w:r>
          </w:p>
        </w:tc>
      </w:tr>
      <w:tr>
        <w:trPr>
          <w:trHeight w:val="190"/>
        </w:trPr>
        <w:tc>
          <w:tcPr>
            <w:tcW w:w="2360" w:type="dxa"/>
            <w:vAlign w:val="bottom"/>
          </w:tcPr>
          <w:p>
            <w:pPr>
              <w:spacing w:after="0"/>
              <w:rPr>
                <w:sz w:val="16"/>
                <w:szCs w:val="16"/>
                <w:color w:val="auto"/>
              </w:rPr>
            </w:pPr>
          </w:p>
        </w:tc>
        <w:tc>
          <w:tcPr>
            <w:tcW w:w="446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Illumina common stock outstanding on</w:t>
            </w:r>
          </w:p>
        </w:tc>
        <w:tc>
          <w:tcPr>
            <w:tcW w:w="29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2024, and applying the distribution ratio</w:t>
            </w:r>
          </w:p>
        </w:tc>
      </w:tr>
      <w:tr>
        <w:trPr>
          <w:trHeight w:val="190"/>
        </w:trPr>
        <w:tc>
          <w:tcPr>
            <w:tcW w:w="2360" w:type="dxa"/>
            <w:vAlign w:val="bottom"/>
          </w:tcPr>
          <w:p>
            <w:pPr>
              <w:spacing w:after="0"/>
              <w:rPr>
                <w:sz w:val="16"/>
                <w:szCs w:val="16"/>
                <w:color w:val="auto"/>
              </w:rPr>
            </w:pPr>
          </w:p>
        </w:tc>
        <w:tc>
          <w:tcPr>
            <w:tcW w:w="336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pursuant to which, for every</w:t>
            </w:r>
          </w:p>
        </w:tc>
        <w:tc>
          <w:tcPr>
            <w:tcW w:w="400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share[s] of Illumina common stock outstanding,</w:t>
            </w:r>
          </w:p>
        </w:tc>
      </w:tr>
      <w:tr>
        <w:trPr>
          <w:trHeight w:val="190"/>
        </w:trPr>
        <w:tc>
          <w:tcPr>
            <w:tcW w:w="2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share[s] of GRAIL common stock will be distributed, approximately</w:t>
            </w:r>
          </w:p>
        </w:tc>
      </w:tr>
      <w:tr>
        <w:trPr>
          <w:trHeight w:val="207"/>
        </w:trPr>
        <w:tc>
          <w:tcPr>
            <w:tcW w:w="2360" w:type="dxa"/>
            <w:vAlign w:val="bottom"/>
          </w:tcPr>
          <w:p>
            <w:pPr>
              <w:spacing w:after="0"/>
              <w:rPr>
                <w:sz w:val="18"/>
                <w:szCs w:val="18"/>
                <w:color w:val="auto"/>
              </w:rPr>
            </w:pPr>
          </w:p>
        </w:tc>
        <w:tc>
          <w:tcPr>
            <w:tcW w:w="602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rPr>
              <w:t>shares of GRAIL common stock will be distributed in the aggregate.</w:t>
            </w:r>
          </w:p>
        </w:tc>
        <w:tc>
          <w:tcPr>
            <w:tcW w:w="1340" w:type="dxa"/>
            <w:vAlign w:val="bottom"/>
          </w:tcPr>
          <w:p>
            <w:pPr>
              <w:spacing w:after="0"/>
              <w:rPr>
                <w:sz w:val="18"/>
                <w:szCs w:val="18"/>
                <w:color w:val="auto"/>
              </w:rPr>
            </w:pPr>
          </w:p>
        </w:tc>
      </w:tr>
      <w:tr>
        <w:trPr>
          <w:trHeight w:val="388"/>
        </w:trPr>
        <w:tc>
          <w:tcPr>
            <w:tcW w:w="2360" w:type="dxa"/>
            <w:vAlign w:val="bottom"/>
          </w:tcPr>
          <w:p>
            <w:pPr>
              <w:spacing w:after="0"/>
              <w:rPr>
                <w:sz w:val="24"/>
                <w:szCs w:val="24"/>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In connection with the Spin-Off, each Cash-Based Equity Award outstanding as of the</w:t>
            </w:r>
          </w:p>
        </w:tc>
      </w:tr>
      <w:tr>
        <w:trPr>
          <w:trHeight w:val="207"/>
        </w:trPr>
        <w:tc>
          <w:tcPr>
            <w:tcW w:w="2360" w:type="dxa"/>
            <w:vAlign w:val="bottom"/>
          </w:tcPr>
          <w:p>
            <w:pPr>
              <w:spacing w:after="0"/>
              <w:rPr>
                <w:sz w:val="18"/>
                <w:szCs w:val="18"/>
                <w:color w:val="auto"/>
              </w:rPr>
            </w:pPr>
          </w:p>
        </w:tc>
        <w:tc>
          <w:tcPr>
            <w:tcW w:w="602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rPr>
              <w:t>Distribution Date may convert into GRAIL RSUs.</w:t>
            </w:r>
          </w:p>
        </w:tc>
        <w:tc>
          <w:tcPr>
            <w:tcW w:w="1340" w:type="dxa"/>
            <w:vAlign w:val="bottom"/>
          </w:tcPr>
          <w:p>
            <w:pPr>
              <w:spacing w:after="0"/>
              <w:rPr>
                <w:sz w:val="18"/>
                <w:szCs w:val="18"/>
                <w:color w:val="auto"/>
              </w:rPr>
            </w:pPr>
          </w:p>
        </w:tc>
      </w:tr>
      <w:tr>
        <w:trPr>
          <w:trHeight w:val="405"/>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Record Date</w:t>
            </w:r>
          </w:p>
        </w:tc>
        <w:tc>
          <w:tcPr>
            <w:tcW w:w="446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The Record Date is the close of business on</w:t>
            </w:r>
          </w:p>
        </w:tc>
        <w:tc>
          <w:tcPr>
            <w:tcW w:w="1560" w:type="dxa"/>
            <w:vAlign w:val="bottom"/>
          </w:tcPr>
          <w:p>
            <w:pPr>
              <w:jc w:val="right"/>
              <w:ind w:right="681"/>
              <w:spacing w:after="0"/>
              <w:rPr>
                <w:sz w:val="20"/>
                <w:szCs w:val="20"/>
                <w:color w:val="auto"/>
              </w:rPr>
            </w:pPr>
            <w:r>
              <w:rPr>
                <w:rFonts w:ascii="Times New Roman" w:cs="Times New Roman" w:eastAsia="Times New Roman" w:hAnsi="Times New Roman"/>
                <w:sz w:val="16"/>
                <w:szCs w:val="16"/>
                <w:color w:val="auto"/>
              </w:rPr>
              <w:t>, 2024.</w:t>
            </w:r>
          </w:p>
        </w:tc>
        <w:tc>
          <w:tcPr>
            <w:tcW w:w="1340" w:type="dxa"/>
            <w:vAlign w:val="bottom"/>
          </w:tcPr>
          <w:p>
            <w:pPr>
              <w:spacing w:after="0"/>
              <w:rPr>
                <w:sz w:val="24"/>
                <w:szCs w:val="24"/>
                <w:color w:val="auto"/>
              </w:rPr>
            </w:pPr>
          </w:p>
        </w:tc>
      </w:tr>
      <w:tr>
        <w:trPr>
          <w:trHeight w:val="417"/>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Date</w:t>
            </w:r>
          </w:p>
        </w:tc>
        <w:tc>
          <w:tcPr>
            <w:tcW w:w="336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The Distribution Date is</w:t>
            </w:r>
          </w:p>
        </w:tc>
        <w:tc>
          <w:tcPr>
            <w:tcW w:w="11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 2024.</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0"/>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Ratio</w:t>
            </w:r>
          </w:p>
        </w:tc>
        <w:tc>
          <w:tcPr>
            <w:tcW w:w="20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For every</w:t>
            </w:r>
          </w:p>
        </w:tc>
        <w:tc>
          <w:tcPr>
            <w:tcW w:w="534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share[s] of Illumina common stock each Illumina stockholder holds on</w:t>
            </w:r>
          </w:p>
        </w:tc>
      </w:tr>
      <w:tr>
        <w:trPr>
          <w:trHeight w:val="190"/>
        </w:trPr>
        <w:tc>
          <w:tcPr>
            <w:tcW w:w="2360" w:type="dxa"/>
            <w:vAlign w:val="bottom"/>
          </w:tcPr>
          <w:p>
            <w:pPr>
              <w:spacing w:after="0"/>
              <w:rPr>
                <w:sz w:val="16"/>
                <w:szCs w:val="16"/>
                <w:color w:val="auto"/>
              </w:rPr>
            </w:pPr>
          </w:p>
        </w:tc>
        <w:tc>
          <w:tcPr>
            <w:tcW w:w="446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the Record Date, such stockholder will receive</w:t>
            </w:r>
          </w:p>
        </w:tc>
        <w:tc>
          <w:tcPr>
            <w:tcW w:w="2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share[s] of our common stock.</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The distribution agent will distribute only whole shares of our common stock in the</w:t>
            </w:r>
          </w:p>
        </w:tc>
      </w:tr>
      <w:tr>
        <w:trPr>
          <w:trHeight w:val="207"/>
        </w:trPr>
        <w:tc>
          <w:tcPr>
            <w:tcW w:w="2360" w:type="dxa"/>
            <w:vAlign w:val="bottom"/>
          </w:tcPr>
          <w:p>
            <w:pPr>
              <w:spacing w:after="0"/>
              <w:rPr>
                <w:sz w:val="18"/>
                <w:szCs w:val="18"/>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Spin-Off. See the section entitled “The Spin-Off—Treatment of Fractional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-4823460</wp:posOffset>
            </wp:positionV>
            <wp:extent cx="6171565" cy="52870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71565" cy="5287010"/>
                    </a:xfrm>
                    <a:prstGeom prst="rect">
                      <a:avLst/>
                    </a:prstGeom>
                    <a:noFill/>
                  </pic:spPr>
                </pic:pic>
              </a:graphicData>
            </a:graphic>
          </wp:anchor>
        </w:drawing>
      </w:r>
    </w:p>
    <w:p>
      <w:pPr>
        <w:ind w:left="4480" w:right="400"/>
        <w:spacing w:after="0" w:line="277" w:lineRule="auto"/>
        <w:rPr>
          <w:sz w:val="20"/>
          <w:szCs w:val="20"/>
          <w:color w:val="auto"/>
        </w:rPr>
      </w:pPr>
      <w:r>
        <w:rPr>
          <w:rFonts w:ascii="Times New Roman" w:cs="Times New Roman" w:eastAsia="Times New Roman" w:hAnsi="Times New Roman"/>
          <w:sz w:val="15"/>
          <w:szCs w:val="15"/>
          <w:color w:val="auto"/>
        </w:rPr>
        <w:t>beginning on page 100 of this Information Statement for more detail. Please note that if you sell your shares of Illumina common stock on or before the Distribution Date, the buyer of those shares may in some circumstances be entitled to receive the shares of our</w:t>
      </w: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480"/>
          </w:cols>
          <w:pgMar w:left="320" w:top="419" w:right="10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7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r>
      <w:tr>
        <w:trPr>
          <w:trHeight w:val="209"/>
        </w:trPr>
        <w:tc>
          <w:tcPr>
            <w:tcW w:w="2480" w:type="dxa"/>
            <w:vAlign w:val="bottom"/>
          </w:tcPr>
          <w:p>
            <w:pPr>
              <w:spacing w:after="0"/>
              <w:rPr>
                <w:sz w:val="18"/>
                <w:szCs w:val="18"/>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r>
      <w:tr>
        <w:trPr>
          <w:trHeight w:val="126"/>
        </w:trPr>
        <w:tc>
          <w:tcPr>
            <w:tcW w:w="248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r>
      <w:tr>
        <w:trPr>
          <w:trHeight w:val="325"/>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common stock to be distributed in respect of the Illumina shares that you sold. For more</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information, see the section entitled “The Spin-Off—Trading Prior to the Distribution</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Date” beginning on page 105 of this Information Statement.</w:t>
            </w:r>
          </w:p>
        </w:tc>
      </w:tr>
      <w:tr>
        <w:trPr>
          <w:trHeight w:val="400"/>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The Distribution</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On the Distribution Date, Illumina will release the shares of our common stock to the</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distribution agent to distribute to Illumina stockholders. Illumina will distribute our shares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 book-entry form and thus we will not issue any physical stock certificates. You will not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be required to make any payment, surrender or exchange your shares of Illumina common</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stock or take any other action to receive your shares of our common stock.</w:t>
            </w:r>
          </w:p>
        </w:tc>
      </w:tr>
      <w:tr>
        <w:trPr>
          <w:trHeight w:val="38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Fractional Shares</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to</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Illumina stockholders. Instead, the distribution agent will first aggregate fractional shares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into whole shares, then sell the whole shares in the open market at prevailing market prices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on behalf of Illumina stockholders entitled to receive a fractional share, and finally</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distribute the aggregate cash proceeds of the sales, net of brokerage fees and other costs,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pro rata to these holders (net of any required withholding for taxes applicable to each</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holder). If you receive cash in lieu of fractional shares, you will not be entitled to any</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interest on the payments. The cash you receive in lieu of fractional shares generally will,</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for U.S. federal income tax purposes, be taxable as described under the section entitled</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Spin-Off—Material U.S. Federal Income Tax Consequences of the Spin-Off”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beginning on page 101 of this Information Statement.</w:t>
            </w:r>
          </w:p>
        </w:tc>
      </w:tr>
      <w:tr>
        <w:trPr>
          <w:trHeight w:val="38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Conditions to the Spin-Off</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Completion of the Spin-Off is subject to the satisfaction, or the Illumina Board’s waiver,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following conditions: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Illumina Board shall have authorized and approved the Distribution and not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withdrawn such authorization and approval, and shall have declared the dividend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our common stock to Illumina stockholders;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ancillary agreements contemplated by the Separation and Distribution</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Agreement shall have been executed by each party to those agreements;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our common stock shall have been accepted for listing on Nasdaq or another</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national securities exchange approved by Illumina, subject to official notice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issuance;</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SEC shall have declared effective our Registration Statement on Form 10, of</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which this Information Statement is a part, under the Exchange Act, and no stop</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order suspending the effectiveness of the Registration Statement shall be in effect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and no proceedings for that purpose shall be pending before or threatened by the</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SEC;</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Illumina shall have received a private letter ruling from the IRS and the written</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opinion of Cravath, Swaine &amp; Moore LLP, each</w:t>
            </w:r>
          </w:p>
        </w:tc>
      </w:tr>
      <w:tr>
        <w:trPr>
          <w:trHeight w:val="138"/>
        </w:trPr>
        <w:tc>
          <w:tcPr>
            <w:tcW w:w="2480" w:type="dxa"/>
            <w:vAlign w:val="bottom"/>
            <w:tcBorders>
              <w:left w:val="single" w:sz="8" w:color="auto"/>
              <w:bottom w:val="single" w:sz="8" w:color="auto"/>
            </w:tcBorders>
          </w:tcPr>
          <w:p>
            <w:pPr>
              <w:spacing w:after="0"/>
              <w:rPr>
                <w:sz w:val="12"/>
                <w:szCs w:val="12"/>
                <w:color w:val="auto"/>
              </w:rPr>
            </w:pPr>
          </w:p>
        </w:tc>
        <w:tc>
          <w:tcPr>
            <w:tcW w:w="7240" w:type="dxa"/>
            <w:vAlign w:val="bottom"/>
            <w:tcBorders>
              <w:bottom w:val="single" w:sz="8" w:color="auto"/>
              <w:right w:val="single" w:sz="8" w:color="auto"/>
            </w:tcBorders>
          </w:tcPr>
          <w:p>
            <w:pPr>
              <w:spacing w:after="0"/>
              <w:rPr>
                <w:sz w:val="12"/>
                <w:szCs w:val="12"/>
                <w:color w:val="auto"/>
              </w:rPr>
            </w:pPr>
          </w:p>
        </w:tc>
      </w:tr>
      <w:tr>
        <w:trPr>
          <w:trHeight w:val="318"/>
        </w:trPr>
        <w:tc>
          <w:tcPr>
            <w:tcW w:w="2480" w:type="dxa"/>
            <w:vAlign w:val="bottom"/>
          </w:tcPr>
          <w:p>
            <w:pPr>
              <w:spacing w:after="0"/>
              <w:rPr>
                <w:sz w:val="24"/>
                <w:szCs w:val="24"/>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color w:val="auto"/>
                <w:w w:val="99"/>
              </w:rPr>
              <w:t>23</w:t>
            </w:r>
          </w:p>
        </w:tc>
      </w:tr>
    </w:tbl>
    <w:p>
      <w:pPr>
        <w:sectPr>
          <w:pgSz w:w="11900" w:h="16838" w:orient="portrait"/>
          <w:cols w:equalWidth="0" w:num="1">
            <w:col w:w="10480"/>
          </w:cols>
          <w:pgMar w:left="320" w:top="419" w:right="10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2266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71565" cy="5226685"/>
                    </a:xfrm>
                    <a:prstGeom prst="rect">
                      <a:avLst/>
                    </a:prstGeom>
                    <a:noFill/>
                  </pic:spPr>
                </pic:pic>
              </a:graphicData>
            </a:graphic>
          </wp:anchor>
        </w:drawing>
      </w:r>
    </w:p>
    <w:p>
      <w:pPr>
        <w:spacing w:after="0" w:line="267" w:lineRule="exact"/>
        <w:rPr>
          <w:sz w:val="20"/>
          <w:szCs w:val="20"/>
          <w:color w:val="auto"/>
        </w:rPr>
      </w:pPr>
    </w:p>
    <w:p>
      <w:pPr>
        <w:ind w:left="4960" w:right="60"/>
        <w:spacing w:after="0" w:line="258" w:lineRule="auto"/>
        <w:rPr>
          <w:sz w:val="20"/>
          <w:szCs w:val="20"/>
          <w:color w:val="auto"/>
        </w:rPr>
      </w:pPr>
      <w:r>
        <w:rPr>
          <w:rFonts w:ascii="Times New Roman" w:cs="Times New Roman" w:eastAsia="Times New Roman" w:hAnsi="Times New Roman"/>
          <w:sz w:val="16"/>
          <w:szCs w:val="16"/>
          <w:color w:val="auto"/>
        </w:rPr>
        <w:t>of which shall remain in full force and effect, that, subject to the limitations specified therein and the accuracy of and compliance with certain representations, warranties and covenants, the Spin-Off will qualify for non-recognition of gain and loss under Sections 355 and 368 of the Code;</w:t>
      </w:r>
    </w:p>
    <w:p>
      <w:pPr>
        <w:spacing w:after="0" w:line="78" w:lineRule="exact"/>
        <w:rPr>
          <w:sz w:val="20"/>
          <w:szCs w:val="20"/>
          <w:color w:val="auto"/>
        </w:rPr>
      </w:pPr>
    </w:p>
    <w:p>
      <w:pPr>
        <w:ind w:left="4940" w:right="120" w:hanging="262"/>
        <w:spacing w:after="0" w:line="255" w:lineRule="auto"/>
        <w:tabs>
          <w:tab w:leader="none" w:pos="494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81" w:lineRule="exact"/>
        <w:rPr>
          <w:rFonts w:ascii="Times New Roman" w:cs="Times New Roman" w:eastAsia="Times New Roman" w:hAnsi="Times New Roman"/>
          <w:sz w:val="16"/>
          <w:szCs w:val="16"/>
          <w:color w:val="auto"/>
        </w:rPr>
      </w:pPr>
    </w:p>
    <w:p>
      <w:pPr>
        <w:ind w:left="4940" w:right="180" w:hanging="262"/>
        <w:spacing w:after="0" w:line="255" w:lineRule="auto"/>
        <w:tabs>
          <w:tab w:leader="none" w:pos="494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81" w:lineRule="exact"/>
        <w:rPr>
          <w:rFonts w:ascii="Times New Roman" w:cs="Times New Roman" w:eastAsia="Times New Roman" w:hAnsi="Times New Roman"/>
          <w:sz w:val="16"/>
          <w:szCs w:val="16"/>
          <w:color w:val="auto"/>
        </w:rPr>
      </w:pPr>
    </w:p>
    <w:p>
      <w:pPr>
        <w:jc w:val="both"/>
        <w:ind w:left="4940" w:right="100" w:hanging="262"/>
        <w:spacing w:after="0" w:line="263" w:lineRule="auto"/>
        <w:tabs>
          <w:tab w:leader="none" w:pos="494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73" w:lineRule="exact"/>
        <w:rPr>
          <w:rFonts w:ascii="Times New Roman" w:cs="Times New Roman" w:eastAsia="Times New Roman" w:hAnsi="Times New Roman"/>
          <w:sz w:val="16"/>
          <w:szCs w:val="16"/>
          <w:color w:val="auto"/>
        </w:rPr>
      </w:pPr>
    </w:p>
    <w:p>
      <w:pPr>
        <w:ind w:left="4940" w:right="260" w:hanging="262"/>
        <w:spacing w:after="0" w:line="263" w:lineRule="auto"/>
        <w:tabs>
          <w:tab w:leader="none" w:pos="494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73" w:lineRule="exact"/>
        <w:rPr>
          <w:rFonts w:ascii="Times New Roman" w:cs="Times New Roman" w:eastAsia="Times New Roman" w:hAnsi="Times New Roman"/>
          <w:sz w:val="16"/>
          <w:szCs w:val="16"/>
          <w:color w:val="auto"/>
        </w:rPr>
      </w:pPr>
    </w:p>
    <w:p>
      <w:pPr>
        <w:ind w:left="4940" w:right="40" w:hanging="262"/>
        <w:spacing w:after="0" w:line="263" w:lineRule="auto"/>
        <w:tabs>
          <w:tab w:leader="none" w:pos="494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immediately after the Distribution; and</w:t>
      </w:r>
    </w:p>
    <w:p>
      <w:pPr>
        <w:spacing w:after="0" w:line="73" w:lineRule="exact"/>
        <w:rPr>
          <w:rFonts w:ascii="Times New Roman" w:cs="Times New Roman" w:eastAsia="Times New Roman" w:hAnsi="Times New Roman"/>
          <w:sz w:val="16"/>
          <w:szCs w:val="16"/>
          <w:color w:val="auto"/>
        </w:rPr>
      </w:pPr>
    </w:p>
    <w:p>
      <w:pPr>
        <w:ind w:left="4940" w:right="300" w:hanging="262"/>
        <w:spacing w:after="0" w:line="258" w:lineRule="auto"/>
        <w:tabs>
          <w:tab w:leader="none" w:pos="494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185" w:lineRule="exact"/>
        <w:rPr>
          <w:sz w:val="20"/>
          <w:szCs w:val="20"/>
          <w:color w:val="auto"/>
        </w:rPr>
      </w:pPr>
    </w:p>
    <w:p>
      <w:pPr>
        <w:ind w:left="4480"/>
        <w:spacing w:after="0" w:line="251" w:lineRule="auto"/>
        <w:rPr>
          <w:sz w:val="20"/>
          <w:szCs w:val="20"/>
          <w:color w:val="auto"/>
        </w:rPr>
      </w:pPr>
      <w:r>
        <w:rPr>
          <w:rFonts w:ascii="Times New Roman" w:cs="Times New Roman" w:eastAsia="Times New Roman" w:hAnsi="Times New Roman"/>
          <w:sz w:val="16"/>
          <w:szCs w:val="16"/>
          <w:color w:val="auto"/>
        </w:rPr>
        <w:t>The fulfillment of the foregoing conditions will not create any obligation on the part of Illumina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w:t>
      </w: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300"/>
          </w:cols>
          <w:pgMar w:left="320" w:top="419" w:right="127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8717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71565" cy="4871720"/>
                    </a:xfrm>
                    <a:prstGeom prst="rect">
                      <a:avLst/>
                    </a:prstGeom>
                    <a:noFill/>
                  </pic:spPr>
                </pic:pic>
              </a:graphicData>
            </a:graphic>
          </wp:anchor>
        </w:drawing>
      </w:r>
    </w:p>
    <w:p>
      <w:pPr>
        <w:spacing w:after="0" w:line="267" w:lineRule="exact"/>
        <w:rPr>
          <w:sz w:val="20"/>
          <w:szCs w:val="20"/>
          <w:color w:val="auto"/>
        </w:rPr>
      </w:pPr>
    </w:p>
    <w:p>
      <w:pPr>
        <w:ind w:left="4480" w:right="220"/>
        <w:spacing w:after="0" w:line="278" w:lineRule="auto"/>
        <w:rPr>
          <w:sz w:val="20"/>
          <w:szCs w:val="20"/>
          <w:color w:val="auto"/>
        </w:rPr>
      </w:pPr>
      <w:r>
        <w:rPr>
          <w:rFonts w:ascii="Times New Roman" w:cs="Times New Roman" w:eastAsia="Times New Roman" w:hAnsi="Times New Roman"/>
          <w:sz w:val="16"/>
          <w:szCs w:val="16"/>
          <w:color w:val="auto"/>
        </w:rPr>
        <w:t>conditions to the Distribution, see the section entitled “The Spin-Off—Conditions to the Spin-Off” beginning on page 105 of this Information Statement.</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In addition, Illumina has the right not to complete the Spin-Off if, at any time, the Illumina</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Board determines, in its sole and absolute discretion, that the Spin-Off is not in the best</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interests of Illumina or its stockholders, or is otherwise not advisable. If the Spin-Off is not</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completed for any reason, Illumina and GRAIL will have incurred significant costs related</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to the Spin-Off, including fees for consultants, financial and legal advisors, accountants</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and auditors, that will not be recouped. Total one-time transaction costs associated with the</w:t>
            </w:r>
          </w:p>
        </w:tc>
      </w:tr>
      <w:tr>
        <w:trPr>
          <w:trHeight w:val="190"/>
        </w:trPr>
        <w:tc>
          <w:tcPr>
            <w:tcW w:w="3160" w:type="dxa"/>
            <w:vAlign w:val="bottom"/>
          </w:tcPr>
          <w:p>
            <w:pPr>
              <w:spacing w:after="0"/>
              <w:rPr>
                <w:sz w:val="16"/>
                <w:szCs w:val="16"/>
                <w:color w:val="auto"/>
              </w:rPr>
            </w:pPr>
          </w:p>
        </w:tc>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Spin-Off are preliminarily estimated to range from $</w:t>
            </w:r>
          </w:p>
        </w:tc>
        <w:tc>
          <w:tcPr>
            <w:tcW w:w="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w:t>
            </w:r>
          </w:p>
        </w:tc>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if the Spin-Off is</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completed. If the Spin-Off is not completed for any reason, the one-time transaction costs</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will generally be limited to the transaction costs incurred for services rendered as of the</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date the Spin-Off is abandoned, which will be less than the range noted above. Our</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management will also have devoted significant time to manage the Spin-Off process, which</w:t>
            </w:r>
          </w:p>
        </w:tc>
      </w:tr>
      <w:tr>
        <w:trPr>
          <w:trHeight w:val="207"/>
        </w:trPr>
        <w:tc>
          <w:tcPr>
            <w:tcW w:w="31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will decrease the time they will have to manage the business of GRAIL.</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Trading Market and Ticker Symbol</w:t>
            </w: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We intend to file an application to list our common stock on Nasdaq under the ticker</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symbol “GRAL.” We anticipate that, on or shortly before the Record Date, trading of</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shares of our common stock will begin on a “when-issued” basis and will continue up to</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and including the Distribution Date, and we expect that “regular-way” trading of our</w:t>
            </w:r>
          </w:p>
        </w:tc>
      </w:tr>
      <w:tr>
        <w:trPr>
          <w:trHeight w:val="207"/>
        </w:trPr>
        <w:tc>
          <w:tcPr>
            <w:tcW w:w="31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common stock will begin the first trading day after the Distribution Date.</w:t>
            </w:r>
          </w:p>
        </w:tc>
      </w:tr>
      <w:tr>
        <w:trPr>
          <w:trHeight w:val="388"/>
        </w:trPr>
        <w:tc>
          <w:tcPr>
            <w:tcW w:w="3160" w:type="dxa"/>
            <w:vAlign w:val="bottom"/>
          </w:tcPr>
          <w:p>
            <w:pPr>
              <w:spacing w:after="0"/>
              <w:rPr>
                <w:sz w:val="24"/>
                <w:szCs w:val="24"/>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We also anticipate that, on or shortly before the Record Date, there will be two markets in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Illumina common stock: (i) a “regular-way” market on which shares of Illumina common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stock will trade with an entitlement for the purchaser of Illumina common stock to receive</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shares of our common stock to be distributed in the Distribution, and (ii) an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“ex-distribution” market on which shares of Illumina common stock will trade without an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entitlement for the purchaser of Illumina common stock to receive shares of our common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stock. For more information, see the section entitled “The Spin-Off—Trading Prior to the</w:t>
            </w:r>
          </w:p>
        </w:tc>
      </w:tr>
      <w:tr>
        <w:trPr>
          <w:trHeight w:val="207"/>
        </w:trPr>
        <w:tc>
          <w:tcPr>
            <w:tcW w:w="31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Distribution Date” beginning on page 105 of this Information Statement.</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Tax Consequences to Illumina Stockholders</w:t>
            </w: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Completion of the Spin-Off is conditioned upon Illumina’s receipt of a private letter ruling</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from the IRS and a written opinion of Cravath, Swaine &amp; Moore LLP, each of which shall</w:t>
            </w:r>
          </w:p>
        </w:tc>
      </w:tr>
      <w:tr>
        <w:trPr>
          <w:trHeight w:val="207"/>
        </w:trPr>
        <w:tc>
          <w:tcPr>
            <w:tcW w:w="31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remain in full force and effect, that, subject to the limitations specified therein and the</w:t>
            </w:r>
          </w:p>
        </w:tc>
      </w:tr>
    </w:tbl>
    <w:p>
      <w:pPr>
        <w:ind w:left="4480"/>
        <w:spacing w:after="0" w:line="251" w:lineRule="auto"/>
        <w:rPr>
          <w:sz w:val="20"/>
          <w:szCs w:val="20"/>
          <w:color w:val="auto"/>
        </w:rPr>
      </w:pPr>
      <w:r>
        <w:rPr>
          <w:rFonts w:ascii="Times New Roman" w:cs="Times New Roman" w:eastAsia="Times New Roman" w:hAnsi="Times New Roman"/>
          <w:sz w:val="16"/>
          <w:szCs w:val="16"/>
          <w:color w:val="auto"/>
        </w:rPr>
        <w:t>accuracy of and compliance with certain representations, warranties and covenants, the Spin-Off will qualify for non-recognition of gain and loss under Sections 355 and 368 of the Code. If the Spin-Off qualifies for such treatment, for U.S. federal income tax purposes, no</w:t>
      </w: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0300"/>
          </w:cols>
          <w:pgMar w:left="320" w:top="419" w:right="12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7885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71565" cy="4788535"/>
                    </a:xfrm>
                    <a:prstGeom prst="rect">
                      <a:avLst/>
                    </a:prstGeom>
                    <a:noFill/>
                  </pic:spPr>
                </pic:pic>
              </a:graphicData>
            </a:graphic>
          </wp:anchor>
        </w:drawing>
      </w:r>
    </w:p>
    <w:p>
      <w:pPr>
        <w:spacing w:after="0" w:line="267" w:lineRule="exact"/>
        <w:rPr>
          <w:sz w:val="20"/>
          <w:szCs w:val="20"/>
          <w:color w:val="auto"/>
        </w:rPr>
      </w:pPr>
    </w:p>
    <w:p>
      <w:pPr>
        <w:ind w:left="4480"/>
        <w:spacing w:after="0" w:line="269" w:lineRule="auto"/>
        <w:rPr>
          <w:sz w:val="20"/>
          <w:szCs w:val="20"/>
          <w:color w:val="auto"/>
        </w:rPr>
      </w:pPr>
      <w:r>
        <w:rPr>
          <w:rFonts w:ascii="Times New Roman" w:cs="Times New Roman" w:eastAsia="Times New Roman" w:hAnsi="Times New Roman"/>
          <w:sz w:val="15"/>
          <w:szCs w:val="15"/>
          <w:color w:val="auto"/>
        </w:rPr>
        <w:t>gain or loss will be recognized by, or be includible in the income of, a U.S. Holder (as defined in the section entitled “The Spin-Off—Material U.S. Federal Income Tax Consequences of the Spin-Off” beginning on page 101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101 of this Information Statement for more information regarding the potential tax consequences to you of the Spin-Off.</w:t>
      </w:r>
    </w:p>
    <w:p>
      <w:pPr>
        <w:spacing w:after="0" w:line="194" w:lineRule="exact"/>
        <w:rPr>
          <w:sz w:val="20"/>
          <w:szCs w:val="20"/>
          <w:color w:val="auto"/>
        </w:rPr>
      </w:pPr>
    </w:p>
    <w:p>
      <w:pPr>
        <w:ind w:left="4480" w:right="60"/>
        <w:spacing w:after="0" w:line="255" w:lineRule="auto"/>
        <w:rPr>
          <w:sz w:val="20"/>
          <w:szCs w:val="20"/>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 w:lineRule="exact"/>
        <w:rPr>
          <w:sz w:val="20"/>
          <w:szCs w:val="20"/>
          <w:color w:val="auto"/>
        </w:rPr>
      </w:pPr>
    </w:p>
    <w:p>
      <w:pPr>
        <w:ind w:left="4480" w:right="20" w:hanging="3556"/>
        <w:spacing w:after="0" w:line="249" w:lineRule="auto"/>
        <w:tabs>
          <w:tab w:leader="none" w:pos="4460" w:val="left"/>
        </w:tabs>
        <w:rPr>
          <w:sz w:val="20"/>
          <w:szCs w:val="20"/>
          <w:color w:val="auto"/>
        </w:rPr>
      </w:pPr>
      <w:r>
        <w:rPr>
          <w:rFonts w:ascii="Times New Roman" w:cs="Times New Roman" w:eastAsia="Times New Roman" w:hAnsi="Times New Roman"/>
          <w:sz w:val="16"/>
          <w:szCs w:val="16"/>
          <w:color w:val="auto"/>
        </w:rPr>
        <w:t>Relationship with Illumina After the Spin-Off</w:t>
      </w:r>
      <w:r>
        <w:rPr>
          <w:sz w:val="20"/>
          <w:szCs w:val="20"/>
          <w:color w:val="auto"/>
        </w:rPr>
        <w:tab/>
      </w:r>
      <w:r>
        <w:rPr>
          <w:rFonts w:ascii="Times New Roman" w:cs="Times New Roman" w:eastAsia="Times New Roman" w:hAnsi="Times New Roman"/>
          <w:sz w:val="16"/>
          <w:szCs w:val="16"/>
          <w:color w:val="auto"/>
        </w:rPr>
        <w:t>Following the Distribution, Illumina may retain up to 14.5% of the outstanding shares of our common stock. Illumina intends to hold any retained shares for investment purposes.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We intend to enter into several agreements with Illumina related to the Spin-Off, which will govern the relationship between Illumina and us after completion of the Spin-Off and allocate between Illumina and us various assets, liabilities, rights and obligations. These agreements include:</w:t>
      </w:r>
    </w:p>
    <w:p>
      <w:pPr>
        <w:spacing w:after="0" w:line="84" w:lineRule="exact"/>
        <w:rPr>
          <w:sz w:val="20"/>
          <w:szCs w:val="20"/>
          <w:color w:val="auto"/>
        </w:rPr>
      </w:pPr>
    </w:p>
    <w:p>
      <w:pPr>
        <w:ind w:left="4940" w:right="120" w:hanging="262"/>
        <w:spacing w:after="0" w:line="289" w:lineRule="auto"/>
        <w:tabs>
          <w:tab w:leader="none" w:pos="4940" w:val="left"/>
        </w:tabs>
        <w:numPr>
          <w:ilvl w:val="0"/>
          <w:numId w:val="3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Separation and Distribution Agreement that will set forth Illumina’s and our agreements regarding the principal actions that both parties will take in connection with the Spin-Off and aspects of our relationship following the Spin-Off;</w:t>
      </w:r>
    </w:p>
    <w:p>
      <w:pPr>
        <w:spacing w:after="0" w:line="55" w:lineRule="exact"/>
        <w:rPr>
          <w:rFonts w:ascii="Times New Roman" w:cs="Times New Roman" w:eastAsia="Times New Roman" w:hAnsi="Times New Roman"/>
          <w:sz w:val="15"/>
          <w:szCs w:val="15"/>
          <w:color w:val="auto"/>
        </w:rPr>
      </w:pPr>
    </w:p>
    <w:p>
      <w:pPr>
        <w:jc w:val="both"/>
        <w:ind w:left="4940" w:right="80" w:hanging="262"/>
        <w:spacing w:after="0" w:line="289" w:lineRule="auto"/>
        <w:tabs>
          <w:tab w:leader="none" w:pos="4940" w:val="left"/>
        </w:tabs>
        <w:numPr>
          <w:ilvl w:val="0"/>
          <w:numId w:val="3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 Matters Agreement that will govern the respective rights, responsibilities and obligations of Illumina and us after the Spin-Off with respect to all tax matters and will include restrictions to preserve the tax-free status of the Distribution; and</w:t>
      </w:r>
    </w:p>
    <w:p>
      <w:pPr>
        <w:spacing w:after="0" w:line="55" w:lineRule="exact"/>
        <w:rPr>
          <w:rFonts w:ascii="Times New Roman" w:cs="Times New Roman" w:eastAsia="Times New Roman" w:hAnsi="Times New Roman"/>
          <w:sz w:val="15"/>
          <w:szCs w:val="15"/>
          <w:color w:val="auto"/>
        </w:rPr>
      </w:pPr>
    </w:p>
    <w:p>
      <w:pPr>
        <w:jc w:val="both"/>
        <w:ind w:left="4940" w:right="240" w:hanging="262"/>
        <w:spacing w:after="0" w:line="289" w:lineRule="auto"/>
        <w:tabs>
          <w:tab w:leader="none" w:pos="4940" w:val="left"/>
        </w:tabs>
        <w:numPr>
          <w:ilvl w:val="0"/>
          <w:numId w:val="3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 and Registration Rights Agreement that will govern the respective rights, responsibilities and obligations of Illumina and us after the Spin-Off with respect to Illumina’s continuing ownership of GRAIL common stock.</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0300"/>
          </w:cols>
          <w:pgMar w:left="320" w:top="419" w:right="12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3"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24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various other agreements with Illumina and its subsidiaries, including a supply and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commercialization agreement and license agreements. We describe these arrangements in</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greater detail under the section entitled “Certain Relationships and Related Party</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Transactions” beginning on page 202 of this Information Statement and describe some of</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risks of these arrangements under the section entitled “Risk Factors—Risks Relating to</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Spin-Off” beginning on page 84 of this Information Statement.</w:t>
            </w:r>
          </w:p>
        </w:tc>
      </w:tr>
      <w:tr>
        <w:trPr>
          <w:trHeight w:val="388"/>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Dividend Policy</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Any future</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determination to pay dividends on our common stock will be made at the discretion of our</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Board and will depend upon certain factors. For more information, see the section entitled</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“Dividend Policy.”</w:t>
            </w:r>
          </w:p>
        </w:tc>
      </w:tr>
      <w:tr>
        <w:trPr>
          <w:trHeight w:val="405"/>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Transfer Agent</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Computershare Trust Company, N.A. (“Computershare”).</w:t>
            </w:r>
          </w:p>
        </w:tc>
      </w:tr>
      <w:tr>
        <w:trPr>
          <w:trHeight w:val="400"/>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Risk Factors</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Our business faces both general and specific risks and uncertainties. Our business also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faces risks relating to the Spin-Off. Following the Spin-Off, we will also face risks</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associated with being an independent, publicly traded company. Accordingly, you should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read carefully the information set forth under the section entitled “Risk Factors” beginning</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on page 28 of this Information Statement.</w:t>
            </w:r>
          </w:p>
        </w:tc>
      </w:tr>
      <w:tr>
        <w:trPr>
          <w:trHeight w:val="138"/>
        </w:trPr>
        <w:tc>
          <w:tcPr>
            <w:tcW w:w="2460" w:type="dxa"/>
            <w:vAlign w:val="bottom"/>
            <w:tcBorders>
              <w:left w:val="single" w:sz="8" w:color="auto"/>
              <w:bottom w:val="single" w:sz="8" w:color="auto"/>
            </w:tcBorders>
          </w:tcPr>
          <w:p>
            <w:pPr>
              <w:spacing w:after="0"/>
              <w:rPr>
                <w:sz w:val="12"/>
                <w:szCs w:val="12"/>
                <w:color w:val="auto"/>
              </w:rPr>
            </w:pPr>
          </w:p>
        </w:tc>
        <w:tc>
          <w:tcPr>
            <w:tcW w:w="7260" w:type="dxa"/>
            <w:vAlign w:val="bottom"/>
            <w:tcBorders>
              <w:bottom w:val="single" w:sz="8" w:color="auto"/>
              <w:right w:val="single" w:sz="8" w:color="auto"/>
            </w:tcBorders>
          </w:tcPr>
          <w:p>
            <w:pPr>
              <w:spacing w:after="0"/>
              <w:rPr>
                <w:sz w:val="12"/>
                <w:szCs w:val="12"/>
                <w:color w:val="auto"/>
              </w:rPr>
            </w:pPr>
          </w:p>
        </w:tc>
      </w:tr>
      <w:tr>
        <w:trPr>
          <w:trHeight w:val="318"/>
        </w:trPr>
        <w:tc>
          <w:tcPr>
            <w:tcW w:w="2460" w:type="dxa"/>
            <w:vAlign w:val="bottom"/>
          </w:tcPr>
          <w:p>
            <w:pPr>
              <w:spacing w:after="0"/>
              <w:rPr>
                <w:sz w:val="24"/>
                <w:szCs w:val="24"/>
                <w:color w:val="auto"/>
              </w:rPr>
            </w:pPr>
          </w:p>
        </w:tc>
        <w:tc>
          <w:tcPr>
            <w:tcW w:w="726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27</w:t>
            </w:r>
          </w:p>
        </w:tc>
      </w:tr>
    </w:tbl>
    <w:p>
      <w:pPr>
        <w:sectPr>
          <w:pgSz w:w="11900" w:h="16838" w:orient="portrait"/>
          <w:cols w:equalWidth="0" w:num="1">
            <w:col w:w="10480"/>
          </w:cols>
          <w:pgMar w:left="320" w:top="419" w:right="10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7" w:lineRule="exact"/>
        <w:rPr>
          <w:sz w:val="20"/>
          <w:szCs w:val="20"/>
          <w:color w:val="auto"/>
        </w:rPr>
      </w:pPr>
    </w:p>
    <w:p>
      <w:pPr>
        <w:ind w:left="760" w:right="140" w:firstLine="388"/>
        <w:spacing w:after="0" w:line="277" w:lineRule="auto"/>
        <w:rPr>
          <w:sz w:val="20"/>
          <w:szCs w:val="20"/>
          <w:color w:val="auto"/>
        </w:rPr>
      </w:pPr>
      <w:r>
        <w:rPr>
          <w:rFonts w:ascii="Times New Roman" w:cs="Times New Roman" w:eastAsia="Times New Roman" w:hAnsi="Times New Roman"/>
          <w:sz w:val="15"/>
          <w:szCs w:val="15"/>
          <w:i w:val="1"/>
          <w:iCs w:val="1"/>
          <w:color w:val="auto"/>
        </w:rPr>
        <w:t>You should carefully consider the following risks and other information in this Information Statement in evaluating GRAIL and GRAIL common stock. Any of the following risks and uncertainties could materially adversely affect our business, financial condition, and results of operations. The following risks have generally been separated into five groups: risks relating to our business and industry, risks relating to regulation and legal compliance, risks relating to intellectual property, risks relating to the Spin-Off, and risks relating to our common stock. References to “we,” “our,” “us,” and words of similar import in this section refer to GRAIL and, unless otherwise specified, its consolidated subsidiaries.</w:t>
      </w:r>
    </w:p>
    <w:p>
      <w:pPr>
        <w:spacing w:after="0" w:line="2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00" w:lineRule="exact"/>
        <w:rPr>
          <w:sz w:val="20"/>
          <w:szCs w:val="20"/>
          <w:color w:val="auto"/>
        </w:rPr>
      </w:pPr>
    </w:p>
    <w:p>
      <w:pPr>
        <w:ind w:left="760" w:right="4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operate in a rapidly evolving field and have a limited operating history, which makes it difficult to evaluate our current business and predict our future performance.</w:t>
      </w:r>
    </w:p>
    <w:p>
      <w:pPr>
        <w:spacing w:after="0" w:line="45" w:lineRule="exact"/>
        <w:rPr>
          <w:sz w:val="20"/>
          <w:szCs w:val="20"/>
          <w:color w:val="auto"/>
        </w:rPr>
      </w:pPr>
    </w:p>
    <w:p>
      <w:pPr>
        <w:ind w:left="760" w:right="20" w:firstLine="388"/>
        <w:spacing w:after="0" w:line="274" w:lineRule="auto"/>
        <w:rPr>
          <w:sz w:val="20"/>
          <w:szCs w:val="20"/>
          <w:color w:val="auto"/>
        </w:rPr>
      </w:pPr>
      <w:r>
        <w:rPr>
          <w:rFonts w:ascii="Times New Roman" w:cs="Times New Roman" w:eastAsia="Times New Roman" w:hAnsi="Times New Roman"/>
          <w:sz w:val="15"/>
          <w:szCs w:val="15"/>
          <w:color w:val="auto"/>
        </w:rPr>
        <w:t>We operate in a rapidly evolving field and, having commenced operations in January 2016, have a limited operating history. We completed our first sale of our multi-cancer early detection test, Galleri, in mid-2021 and our other products and products in development have an even more limited history, with most still not in commercial distribution. We have funded our operations to date primarily with the proceeds from the sale of equity securities and capital contributions from Illumina and, to a lesser extent, revenue derived from sales of Galleri and biopharmaceutical business revenue. Our short operating history as a company, evolving business strategies, and rapid growth may make it difficult to evaluate our current business or our future success and the risks and challenges we may encounter, and may increase the risk that we will not continue to grow at or near historical rates.</w:t>
      </w:r>
    </w:p>
    <w:p>
      <w:pPr>
        <w:spacing w:after="0" w:line="151"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If we fail to address the risks and difficulties that we face, including those described elsewhere in this “Risk Factors” section, our business, financial condition, results of operations, and growth prospects could be materially adversely affected. We have encountered in the past, and expect to encounter in the future, risks and difficulties frequently experienced by companies with limited operating histories in new and rapidly evolving fields. If our assumptions regarding these risks and difficulties, which we use to plan and operate our business, are incorrect or change, or if we do not address these risks and difficulties, our results of operations could differ materially from our expectations and our business, financial condition, results of operations, and growth prospects could be adversely affected.</w:t>
      </w:r>
    </w:p>
    <w:p>
      <w:pPr>
        <w:spacing w:after="0" w:line="256" w:lineRule="exact"/>
        <w:rPr>
          <w:sz w:val="20"/>
          <w:szCs w:val="20"/>
          <w:color w:val="auto"/>
        </w:rPr>
      </w:pPr>
    </w:p>
    <w:p>
      <w:pPr>
        <w:ind w:left="760" w:right="3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in each period since our inception and anticipate that we will continue to incur net losses for the foreseeable future.</w:t>
      </w:r>
    </w:p>
    <w:p>
      <w:pPr>
        <w:spacing w:after="0" w:line="4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Since our inception, we have incurred significant net losses. Our net loss was $5.4 billion for fiscal year 2022, $911.5 million for the 2021 successor period, and $336.2 million for the 2021 predecessor period. Substantially all of our net losses since inception have resulted from our research and development programs, commercialization efforts, investments in our facilities, payments to licensors, and general and administrative costs associated with our operations, as well as intangible asset amortization and goodwill impairment of $4.7 billion related to the intangibles and goodwill recorded by Illumina upon the acquisition of GRAIL and application of pushdown accounting and other costs. As of January 1, 2023, we had an accumulated deficit of $6.3 billion.</w:t>
      </w:r>
    </w:p>
    <w:p>
      <w:pPr>
        <w:spacing w:after="0" w:line="16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We have invested significant financial resources in research and development activities, including to develop our methylation platform, and to develop our products, such as Galleri and our precision oncology portfolio. We have also invested significant resources to conduct large scale clinical studies to improve Galleri and current and future products, including our diagnostic aid for cancer (“DAC”) test, and to commercialize Galleri and plan for potential commercial launches of our future and current products in other markets. The amount of our future net losses will depend, in part, on the level of our future expenditures and our ability to</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420"/>
          </w:cols>
          <w:pgMar w:left="320" w:top="419" w:right="11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78" w:lineRule="auto"/>
        <w:rPr>
          <w:sz w:val="20"/>
          <w:szCs w:val="20"/>
          <w:color w:val="auto"/>
        </w:rPr>
      </w:pPr>
      <w:r>
        <w:rPr>
          <w:rFonts w:ascii="Times New Roman" w:cs="Times New Roman" w:eastAsia="Times New Roman" w:hAnsi="Times New Roman"/>
          <w:sz w:val="16"/>
          <w:szCs w:val="16"/>
          <w:color w:val="auto"/>
        </w:rPr>
        <w:t>generate additional revenue. Moreover, our net losses may fluctuate significantly from quarter to quarter and year to year, such that a period-to-period comparison of our results of operations may not be a good or reliable indication of our future performance.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continue to incur significant expenses and operating losses for the foreseeable future if and as we:</w:t>
      </w:r>
    </w:p>
    <w:p>
      <w:pPr>
        <w:spacing w:after="0" w:line="114" w:lineRule="exact"/>
        <w:rPr>
          <w:sz w:val="20"/>
          <w:szCs w:val="20"/>
          <w:color w:val="auto"/>
        </w:rPr>
      </w:pPr>
    </w:p>
    <w:p>
      <w:pPr>
        <w:ind w:left="1620" w:hanging="375"/>
        <w:spacing w:after="0"/>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qualified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our research and development activities;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ongoing clinical studies and initiate and conduct additional clinical studies to support the development and commercialization of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expand our laboratory capacity and enhance operating capabilities for greater commercial scale;</w:t>
      </w:r>
    </w:p>
    <w:p>
      <w:pPr>
        <w:spacing w:after="0" w:line="113"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clearances, or certifications, or coverage and reimbursement, that may be necessary or desired for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expand sales, marketing, and distribution infrastructure for purchases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additional intellectual property and technologies;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royalty, or other payments due under any license or collaboration agreements;</w:t>
      </w:r>
    </w:p>
    <w:p>
      <w:pPr>
        <w:spacing w:after="0" w:line="113" w:lineRule="exact"/>
        <w:rPr>
          <w:rFonts w:ascii="Times New Roman" w:cs="Times New Roman" w:eastAsia="Times New Roman" w:hAnsi="Times New Roman"/>
          <w:sz w:val="16"/>
          <w:szCs w:val="16"/>
          <w:color w:val="auto"/>
        </w:rPr>
      </w:pPr>
    </w:p>
    <w:p>
      <w:pPr>
        <w:ind w:left="1620" w:right="680" w:hanging="375"/>
        <w:spacing w:after="0" w:line="278" w:lineRule="auto"/>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protect, and enforce our intellectual property portfolio, including intellectual property obtained through license agreements;</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additional infrastructure to support our continued research and development operations and any planned commercialization efforts in the future;</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 against any litigation, including but not limited to any patent disputes, employment matters, product liability claims or other lawsuits related to our products, our marketing, advertising, or labeling, or our clinical research;</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international commercial expansion of our products;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engage the medical community and others to drive awareness and adoption of multicancer early detection (“MCED”) testing;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the requirements and demands of being a public company.</w:t>
      </w:r>
    </w:p>
    <w:p>
      <w:pPr>
        <w:spacing w:after="0" w:line="288" w:lineRule="exact"/>
        <w:rPr>
          <w:sz w:val="20"/>
          <w:szCs w:val="20"/>
          <w:color w:val="auto"/>
        </w:rPr>
      </w:pPr>
    </w:p>
    <w:p>
      <w:pPr>
        <w:ind w:left="760" w:firstLine="388"/>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w:t>
      </w:r>
    </w:p>
    <w:p>
      <w:pPr>
        <w:spacing w:after="0" w:line="50"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Our success depends on our ability to provide reliable, high-quality products that perform as indicated in our product labeling, marketing, and advertising material, as well as our ability to complete clinical studies and comply with applicable regulatory requirements that enable us to commercialize our products and future products. Our commercial product, Galleri, which we have launched as a laboratory developed test (“LDT”) in the United States and for which we are pursuing a premarket approval application (“PMA”) with the U.S. Food and Drug Administration (the “FDA”) and our precision oncology portfolio, which we currently offer on a research-use-only basis, and our future products in development, including DAC, may not perform as expected. Results from our ongoing or future studies, or from the post-market or real-world setting, involving current or future products or our methylation platform may be inconsistent with certain results obtained from our previous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0440"/>
          </w:cols>
          <w:pgMar w:left="320" w:top="419" w:right="11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studies, or from interim results initially reported on those studies. For example, certain results of an early analysis from the first screening test (the prevalent screening round) in the NHS-Galleri Trial will impact the extent to which NHS commences a potential two-year commercial pilot in England. These results represent limited information from only one year of results out of the three-year trial period, and final results from the full three-year period, which will inform the extent to which NHS commences broad commercial implementation, may differ from these initial results results for a variety of reasons. It is possible that the results of the early analysis or final results will be unsuitable to the NHS, which could have a significant adverse impact on the success of our commercial efforts for Galleri, our ability to achieve FDA authorization at all or within our anticipated timelines, our brand and reputation, our business, and our growth prospects. Furthermore, other studies have been or may be conducted in populations (such as our SUMMIT study which was conducted in a population of tobacco users) or under other circumstances which make their results more complicated to interpret or result in data that is more difficult to compare. In addition, as Galleri and our research-use-only offering are currently available to customers and others, any studies, including those conducted by third parties, that use our current or future products, or that examine elements of our methylation platform, may produce results that are inconsistent to evaluate independently or comparatively from our own studies. If any such inconsistent results were to be produced, either before or after launch of a product or future product, our reputation, business, financial condition, results of operations, and growth prospects would suffer.</w:t>
      </w:r>
    </w:p>
    <w:p>
      <w:pPr>
        <w:spacing w:after="0" w:line="174"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products require a number of complex and sophisticated biochemical and bioinformatics processes, which could be adversely impacted by a number of different factors. An operational or technological failure in one of these complex processes or fluctuations in external variables may result in performance characteristics, such as sensitivity or specificity rates, that are lower than we anticipate or that vary between test runs or in a higher than anticipated number of tests that fail to produce results. In addition, we continue to evaluate and refine our algorithms and other processes under development. These refinements may inadvertently result in unanticipated issues that may reduce our performance characteristics, such as sensitivity or specificity rates, or otherwise adversely affect the performance of our tests and their results. Galleri was launched in the United States as an LDT in mid-2021. We plan to complete a PMA submission for Galleri, for which the FDA has granted breakthrough device designation. Additionally, following the future launch of DAC as an LDT, we may voluntarily decide to seek clearance or approval from the FDA. The FDA and other regulators may require that we generate additional clinical data to support such clearance, approval, or certification, which could result in delays, increased costs, or other limitations on our ability to receive such clearance, approval, or certification, if at all, including narrowed indication or labeling than expected or desired. For additional information, see “—The regulatory clearance, approval, or certification processes of the FDA and comparable foreign regulatory authorities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Our stakeholders include certain third parties, including telemedicine and phlebotomy providers, couriers, storage and data collection management providers, and ordering and results delivery providers, among others, which we refer to as patient-facing service providers. Other important third parties are clinical study providers and collaborators, including clinical research organization (“CRO”) and partners. Negative results experiences or outcomes, including those published by third parties, such as patient-facing service providers and other partners, that use our methylation platform, our products, or our offerings may harm our reputation, business, and growth prospects.</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Further, we plan to improve our products to enhance performance, offerings, scalability, and/or cost of goods. However, we may not be successful in transitioning our products to a new or enhanced version or iteration. Product development involves a lengthy and complex process and we may be unable to commercialize, validate, or improve performance of any of our products on a timely basis, or at all. Our failure to successfully develop new and/or improved products (including new versions of existing products) on a timely basis could have a material adverse effect on our results of operation and business.</w:t>
      </w:r>
    </w:p>
    <w:p>
      <w:pPr>
        <w:spacing w:after="0" w:line="165"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Finally, generating the clinical data necessary to validate and support the launch of our products as LDTs and enhanced versions of products and subsequently obtain regulatory clearance, approval, or certification, or coverage and reimbursement, is time-consuming and carries with it the risk of not yielding the desired results.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480"/>
          </w:cols>
          <w:pgMar w:left="320" w:top="419" w:right="10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60"/>
        <w:spacing w:after="0" w:line="255" w:lineRule="auto"/>
        <w:rPr>
          <w:sz w:val="20"/>
          <w:szCs w:val="20"/>
          <w:color w:val="auto"/>
        </w:rPr>
      </w:pPr>
      <w:r>
        <w:rPr>
          <w:rFonts w:ascii="Times New Roman" w:cs="Times New Roman" w:eastAsia="Times New Roman" w:hAnsi="Times New Roman"/>
          <w:sz w:val="16"/>
          <w:szCs w:val="16"/>
          <w:color w:val="auto"/>
        </w:rPr>
        <w:t>The performance achieved in published studies may not be replicated in later studies that may be required to obtain or maintain premarket clearance, approval, or certification, or coverage and reimbursement. Limited results from earlier-stage studies may not predict results from studies in larger numbers of participants or participants drawn from different populations. Unfavorable results from ongoing or future clinical studies could result in delays in, modifications to, or abandonment of ongoing or future clinical studies, or abandonment of a product development program, or may delay, limit, or prevent regulatory clearances, approvals, or certifications, or coverage and reimbursement of our products.</w:t>
      </w:r>
    </w:p>
    <w:p>
      <w:pPr>
        <w:spacing w:after="0" w:line="256" w:lineRule="exact"/>
        <w:rPr>
          <w:sz w:val="20"/>
          <w:szCs w:val="20"/>
          <w:color w:val="auto"/>
        </w:rPr>
      </w:pPr>
    </w:p>
    <w:p>
      <w:pPr>
        <w:ind w:left="7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 which could materially and adversely impact our ability to launch our products and seek regulatory clearance or approval, or coverage and reimbursement.</w:t>
      </w:r>
    </w:p>
    <w:p>
      <w:pPr>
        <w:spacing w:after="0" w:line="6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Clinical testing is expensive, time-consuming, and subject to uncertainty. Initiating and completing clinical studies necessary to validate and market our products, and to support regulatory authorizations or certifications and coverage and reimbursement, will be time-consuming and expensive and the outcomes are inherently uncertain. Clinical studies must be conducted in accordance with the laws and regulations of the FDA and other applicable regulatory authorities’ legal requirements and regulations, and are subject to oversight by governmental agencies and institutional review boards (“IRBs”) or ethics committees at the medical institutions where the clinical studies are conducted.</w:t>
      </w:r>
    </w:p>
    <w:p>
      <w:pPr>
        <w:spacing w:after="0" w:line="16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results of our development efforts and clinical studies of our products conducted to date and ongoing or future studies of our current or future products may not be predictive of the results of later clinical studies, and interim results of a clinical study do not necessarily predict final results. Our interpretation of data and results from our clinical studies do not ensure that we will achieve similar or favorable results in future clinical studies. In addition, clinical data are often susceptible to various interpretations, analyses, and methodological limitations, and many companies that have believed their products performed satisfactorily in earlier clinical studies have nonetheless failed to replicate results in later clinical studies. Products in later future clinical studies may fail to show the desired safety and efficacy despite having success in previous clinical studies.</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we cannot guarantee that any clinical studies will be conducted as planned or completed on schedule, if at all, or within the anticipated budget. The timely completion of clinical studies in accordance with their protocols and applicable requirements depends, among other things, on our ability to enroll a sufficient number of participants who remain in the study until its conclusion. Many of our clinical studies require enrolling a large number of asymptomatic participants (i.e., individuals without symptoms of cancer) who may not see value in enrollment. Additionally, we may encounter delays as a result of the administrative complexities in managing and recruiting for studies of this scope and size. If we are unable to recruit sufficient participants for our clinical studies, including PATHFINDER 2, or if we are unable to maintain sufficient participation of enrolled participants to maintain statistical power for our endpoints, our product development, commercialization activities, and our ability to seek regulatory clearance or approval for our products could be delayed, require modification, or be prevented.</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For example, our PMA submission for Galleri requires clinical data, including certain data from our ongoing PATHFINDER 2 study and the NHS-Galleri Trial, both of which we are conducting under an FDA-approved Investigational Device Exemption (“IDE”) application. We may encounter difficulties enrolling or maintaining a sufficient number of participants in our current or future studies, including our PATHFINDER 2 study or NHS-Galleri Trial. Delays in our studies would cause us to delay completion of our PMA submission for Galleri, which would negatively impact our business, financial condition, results of operations, and growth prospects.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460"/>
          </w:cols>
          <w:pgMar w:left="320" w:top="419" w:right="111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initiation and completion of clinical studies may be prevented, delayed, or halted for numerous reasons, including as a result of the following:</w:t>
      </w:r>
    </w:p>
    <w:p>
      <w:pPr>
        <w:spacing w:after="0" w:line="125" w:lineRule="exact"/>
        <w:rPr>
          <w:sz w:val="20"/>
          <w:szCs w:val="20"/>
          <w:color w:val="auto"/>
        </w:rPr>
      </w:pPr>
    </w:p>
    <w:p>
      <w:pPr>
        <w:ind w:left="1620" w:hanging="375"/>
        <w:spacing w:after="0"/>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generate sufficient data to support the initiation or continuation of clinical studies;</w:t>
      </w:r>
    </w:p>
    <w:p>
      <w:pPr>
        <w:spacing w:after="0" w:line="113" w:lineRule="exact"/>
        <w:rPr>
          <w:rFonts w:ascii="Times New Roman" w:cs="Times New Roman" w:eastAsia="Times New Roman" w:hAnsi="Times New Roman"/>
          <w:sz w:val="16"/>
          <w:szCs w:val="16"/>
          <w:color w:val="auto"/>
        </w:rPr>
      </w:pPr>
    </w:p>
    <w:p>
      <w:pPr>
        <w:jc w:val="both"/>
        <w:ind w:left="1620" w:right="40" w:hanging="375"/>
        <w:spacing w:after="0" w:line="263"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rely on previously-collected data on earlier versions of our products, such as Galleri, in support of the launch or submission for marketing authorization (or certification) of the later or enhanced versions of our products, including Galleri, or our other products and future products;</w:t>
      </w:r>
    </w:p>
    <w:p>
      <w:pPr>
        <w:spacing w:after="0" w:line="73"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to submit an IDE or comparable foreign application to the FDA or comparable foreign regulatory authorities, which must become effective prior to commencing certain human clinical studies of medical devices, and which the FDA or comparable foreign regulatory authorities may disapprove;</w:t>
      </w:r>
    </w:p>
    <w:p>
      <w:pPr>
        <w:spacing w:after="0" w:line="73"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caused by participants withdrawing from clinical studies or failing to return for follow-up or by institutions failing to submit data, including follow-up data, to us;</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 consensus or agreement, if required, with regulatory agencies on study design or feedback from regulatory agencies necessitating changes to ongoing or planned clinical study design;</w:t>
      </w:r>
    </w:p>
    <w:p>
      <w:pPr>
        <w:spacing w:after="0" w:line="61"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agreement on acceptable terms with CROs, service providers, and clinical study sites, the terms of which can be subject to extensive negotiation and may vary significantly among different CROs and clinical study sites;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obtaining any required IRB approval or ethics committee approval for our clinical study sites;</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amending, or the inability to amend, our IRB- or ethics committee-approved protocols at clinical study sites when necessary or desired;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or delays in collaborating with sites, institutions, and investigators;</w:t>
      </w:r>
    </w:p>
    <w:p>
      <w:pPr>
        <w:spacing w:after="0" w:line="11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investigators, sites, or participants to comply with the applicable study protocol or applicable regulatory requirements and standards for data collection, reporting, records maintenance, or data integrity;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any CROs or other third parties to adhere to clinical study requirements, including the applicable protocol;</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perform in accordance with good clinical practice (“GCP”) and good laboratory practice (“GLP”) requirements, and/or other applicable regulations and requirements of the FDA or other applicable governmental authorities;</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applicable data privacy and security laws, including laws related to clinical studies such as the European Union’s (“ EU”) or United Kingdom’s General Data Protection Regulation (“GDPR”);</w:t>
      </w:r>
    </w:p>
    <w:p>
      <w:pPr>
        <w:spacing w:after="0" w:line="61"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caused by transferring personal information or biological samples from the EU, United Kingdom, or other countries to our systems or facilities in the United States for processing;</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products and future products to achieve acceptable performance metrics, such as sensitivity, specificity, positive predictive value, and/or safety endpoints;</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unacceptable safety findings, including findings related to the risk, such as higher likelihood, of false positive test results (which could lead to unnecessary confirmatory testing, such as biopsy, or anxiety) or false negative test results (which could lead to foregoing standard of care screening, a delay in diagnosis or disease progression);</w:t>
      </w:r>
    </w:p>
    <w:p>
      <w:pPr>
        <w:spacing w:after="0" w:line="7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suspension of a study or site by us or the data safety monitoring board (or independent data monitoring committee), suspension or termination of a study or site by an IRB, ethics committee, or institution, or clinical hold or termination of a study or site by a regulatory authority, including the FDA;</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460"/>
          </w:cols>
          <w:pgMar w:left="320" w:top="419" w:right="11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520" w:hanging="375"/>
        <w:spacing w:after="0" w:line="278" w:lineRule="auto"/>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collaborate with clinical investigators, including if they are disqualified, terminated, suspended, or change affiliated institutions;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inspections of our clinical study sites or results by any applicable regulatory authority, including the FDA, NHS, or United Kingdom Medicines and Healthcare products Regulatory Agency;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statutory or regulatory requirements or guidance, or clinical guidelines, that require amending existing or designing new clinical protocols, obtaining new IRB or ethics committee approvals, modifying our clinical studies, modifying our consent process or obtaining additional consent from study participants, or altering the pathway to clearance, approval, or certification of our products and future products;</w:t>
      </w:r>
    </w:p>
    <w:p>
      <w:pPr>
        <w:spacing w:after="0" w:line="7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standard of care on which a clinical development plan was based, which may require new or additional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studies of our products and future products being greater than we anticipate;</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destruction or compromise of, or other inability to access or receive, clinical study samples processed, stored, managed, or otherwise in the control of a clinical site or other third party;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that data from research conducted outside the United States does not meet the FDA’s requirements for submission and support of a marketing authorization or future clinical study IDE application, for example because the foreign data are not applicable to the U.S. population and U.S. medical practice, the studies have been performed by clinical investigators of unsuitable competence, or the FDA cannot validate the data through an on-site inspection or other appropriate means;</w:t>
      </w:r>
    </w:p>
    <w:p>
      <w:pPr>
        <w:spacing w:after="0" w:line="77"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studies of our products and future products producing negative or inconclusive results, which may result in our deciding, or regulators requiring us, to conduct additional clinical studies or abandon development programs;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Any such delays could adversely affect the costs, timing, or successful completion of our clinical studies. Moreover, we depend on our collaborators and on medical and clinical institutions and CROs to conduct our clinical studies in compliance with applicable GCP and other regulatory requirements, and while we have agreements governing their committed activities, we have limited influence over their actual performance. To the extent we, our collaborators or the CROs fail to enroll participants for our clinical studies, fail to conduct the study according to applicable GCP or other regulatory requirements, or are delayed for a significant time in the execution of studies, including achieving full enrollment, we may be affected by increased costs, program delays, enforcement actions, or a determination that the data are unusable for regulatory or product development purposes. In addition, clinical studies that are conducted in countries outside the United States may subject us to further delays and expenses.</w:t>
      </w:r>
    </w:p>
    <w:p>
      <w:pPr>
        <w:spacing w:after="0" w:line="166"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Any inability to initiate or complete clinical studies successfully could result in additional costs to us, slow down or prevent our product development and receipt of positive reimbursement coverage decisions, or impair our ability to generate revenue. Delays in initiating or completing our planned clinical studies could also allow third parties to bring products to market sooner than expected, which could impair our ability to successfully commercialize our products and future products, if launched, and may harm our business, financial condition, results of operations, and growth prospects. In addition, many of the factors that may cause, or lead to, a delay in initiation or completion of clinical studies may also ultimately lead to the delay or the narrowing or denial of any regulatory clearance, approval, or certification we may seek with respect to our products and future products. Delays in the initiation or completion of any clinical study of our products or future products in development, such as Galleri, our precision oncology portfolio, or DAC, or seeking coverage and reimbursement, will increase our costs, slow down or jeopardize our product development and regulatory clearance, approval, or certification process, and delay or potentially jeopardize broad adoption of our products and future products and their ability to generate revenue.</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460"/>
          </w:cols>
          <w:pgMar w:left="320" w:top="419" w:right="111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products may fail to achieve the degree of market acceptance necessary for commercial success.</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The commercial success of any of our marketed products, including Galleri and our precision oncology portfolio, or future products will depend on the degree of market acceptance by consumers, including self-insured employers, health systems, healthcare providers, life insurance companies, patients, and, over the longer-term, third-party payors. The degree of market acceptance of our products will depend on a number of factors, including:</w:t>
      </w:r>
    </w:p>
    <w:p>
      <w:pPr>
        <w:spacing w:after="0" w:line="55" w:lineRule="exact"/>
        <w:rPr>
          <w:sz w:val="20"/>
          <w:szCs w:val="20"/>
          <w:color w:val="auto"/>
        </w:rPr>
      </w:pPr>
    </w:p>
    <w:p>
      <w:pPr>
        <w:ind w:left="1620" w:right="80" w:hanging="375"/>
        <w:spacing w:after="0" w:line="278"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validation, and clinical utility of such products as demonstrated in clinical studies, from real-world use, and published in peer-reviewed journals;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demonstrate the clinical validation and utility of our products and their potential advantages to the medical community;</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products to demonstrate comparable or non-inferior performance in real-world intended use populations as in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consumers, including self-insured employers, health systems, healthcare providers, life insurance companies, patients, and others in the medical community to utilize our products;</w:t>
      </w:r>
    </w:p>
    <w:p>
      <w:pPr>
        <w:spacing w:after="0" w:line="61"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commercial third-party payors and government payors to cover and reimburse our products, the scope and amount of which will affect an individual’s or entity’s willingness or ability to pay for our products and likely heavily influence healthcare providers’ decisions to recommend our products;</w:t>
      </w:r>
    </w:p>
    <w:p>
      <w:pPr>
        <w:spacing w:after="0" w:line="73" w:lineRule="exact"/>
        <w:rPr>
          <w:rFonts w:ascii="Times New Roman" w:cs="Times New Roman" w:eastAsia="Times New Roman" w:hAnsi="Times New Roman"/>
          <w:sz w:val="16"/>
          <w:szCs w:val="16"/>
          <w:color w:val="auto"/>
        </w:rPr>
      </w:pPr>
    </w:p>
    <w:p>
      <w:pPr>
        <w:ind w:left="1620" w:right="880" w:hanging="375"/>
        <w:spacing w:after="0" w:line="278"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willingness of providers, patients, and others to learn about our products, including Galleri and DAC, and establish a sense of understanding and confidence in the use of our products;</w:t>
      </w:r>
    </w:p>
    <w:p>
      <w:pPr>
        <w:spacing w:after="0" w:line="61" w:lineRule="exact"/>
        <w:rPr>
          <w:rFonts w:ascii="Times New Roman" w:cs="Times New Roman" w:eastAsia="Times New Roman" w:hAnsi="Times New Roman"/>
          <w:sz w:val="16"/>
          <w:szCs w:val="16"/>
          <w:color w:val="auto"/>
        </w:rPr>
      </w:pPr>
    </w:p>
    <w:p>
      <w:pPr>
        <w:ind w:left="1620" w:right="260" w:hanging="375"/>
        <w:spacing w:after="0" w:line="263"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Galleri, which was launched as an LDT in the United States for use in an asymptomatic population, the concern that the product could lead to unnecessary medical screening procedures or a high false positive rate and the associated costs of unnecessary workups resulting from false positives;</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belief of providers, patients, and others that the use of Galleri in its intended use population is clinically appropriate, and not restricting its use to a narrower intended population;</w:t>
      </w:r>
    </w:p>
    <w:p>
      <w:pPr>
        <w:spacing w:after="0" w:line="61"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or market acceptance of future third-party products, including the expansion of the capabilities of existing products and tests that are reimbursed;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partners and our employees and contractors to ensure the safety and privacy of our patient data;</w:t>
      </w:r>
    </w:p>
    <w:p>
      <w:pPr>
        <w:spacing w:after="0" w:line="113"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and</w:t>
      </w:r>
    </w:p>
    <w:p>
      <w:pPr>
        <w:spacing w:after="0" w:line="7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our marketing and distribution support and patient-facing service providers.</w:t>
      </w:r>
    </w:p>
    <w:p>
      <w:pPr>
        <w:spacing w:after="0" w:line="197"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The failure of our products, once introduced, to be listed in physician guidelines or of our studies to produce favorable and consistent results or to be published in peer-reviewed journals could limit the adoption of our products. In addition, healthcare providers and third-party payors, including the Centers for Medicare and Medicaid Services (“CMS”), may rely on physician guidelines issued by industry groups, medical societies, and other key organizations, such as the United States Preventive Services Task Force (“USPSTF”), an independent, volunteer panel of experts in the field of prevention, evidence-based medicine and primary care, before utilizing or reimbursing the cost of any diagnostic or screening test. Although we have a number of clinical studies underway designed to evaluate the clinical validity of Galleri, our product is not yet, and may never be, listed in any such guidelines, even if approved by the FDA.</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460"/>
          </w:cols>
          <w:pgMar w:left="320" w:top="419" w:right="111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Additionally, we believe that FDA approval for Galleri may provide clinical and regulatory credibility and validation in the view of providers, third-party payors, and others, and our failure to achieve FDA approval, at all or within our anticipated timelines, could limit adoption of Galleri, even if we continue to publish data on its clinical validity and utility in peer-reviewed journals. Our PMA submission and a potential subsequent rejection or material delay (including a requirement to conduct additional studies) may reflect negatively on Galleri and the ongoing and planned clinical studies used to support our PMA submission, which could lead healthcare providers, payors, and others to lose confidence in the utility or benefit of Galleri and our other products and future products.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Failure to achieve broad market acceptance of our products would materially harm our business, financial condition, and results of operations.</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generate sufficient revenue to offset our ongoing operating expenses and achieve and maintain profitability.</w:t>
      </w:r>
    </w:p>
    <w:p>
      <w:pPr>
        <w:spacing w:after="0" w:line="10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Our ability to generate future revenue growth from product sales and achieve profitability depends on our ability to continue commercializing our products. We completed our first sale of Galleri in mid-2021 and as of September 30, 2023 we have sold approximately 125,000 Galleri tests through our existing market channels. We also launched our precision oncology portfolio in 2023, which currently comprises a research use only (“RUO”) offering, and have partnered with several biopharmaceutical companies to deploy this offering. While we plan to commercially launch DAC in the United States as an LDT, we cannot assure you that we will successfully be able to do so as planned, if at all, and our failure to do so may prevent us from generating increased revenue. Furthermore, even if we are able to launch any future products in a timely manner, we may not be able to generate sufficient revenue to offset our costs and achieve profitability. Our ability to generate future revenue growth from product sales depends heavily on our success in:</w:t>
      </w:r>
    </w:p>
    <w:p>
      <w:pPr>
        <w:spacing w:after="0" w:line="85" w:lineRule="exact"/>
        <w:rPr>
          <w:sz w:val="20"/>
          <w:szCs w:val="20"/>
          <w:color w:val="auto"/>
        </w:rPr>
      </w:pPr>
    </w:p>
    <w:p>
      <w:pPr>
        <w:ind w:left="1620" w:right="40" w:hanging="375"/>
        <w:spacing w:after="0" w:line="278" w:lineRule="auto"/>
        <w:tabs>
          <w:tab w:leader="none" w:pos="162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clinical development, validation, and demonstration of the clinical utility of our products and future products and continuing to improve product performance and expand product features over time;</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obtaining, and maintaining marketing authorizations or certifications that may be necessary or desired for any versions of Galleri, DAC, and any future products that we develop;</w:t>
      </w:r>
    </w:p>
    <w:p>
      <w:pPr>
        <w:spacing w:after="0" w:line="61"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and commercializing our products by maintaining and expanding our sales force, marketing, medical affairs, and distribution infrastructure, and collaborating with commercialization partners;</w:t>
      </w:r>
    </w:p>
    <w:p>
      <w:pPr>
        <w:spacing w:after="0" w:line="61"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and enhancing our proprietary methylation platform, and enhancing later versions of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right="600" w:hanging="375"/>
        <w:spacing w:after="0" w:line="278" w:lineRule="auto"/>
        <w:tabs>
          <w:tab w:leader="none" w:pos="162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market acceptance by consumers, including self-insured employers, health systems, healthcare providers, life insurance companies, patients, and third-party payors;</w:t>
      </w:r>
    </w:p>
    <w:p>
      <w:pPr>
        <w:spacing w:after="0" w:line="61"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supply and manufacturing relationships with third parties that can timely and consistently provide adequate, in both amount and quality, products and services to support clinical development and the market demand for Galleri, our precision oncology portfolio, and, if launched, future versions of Galleri and DAC;</w:t>
      </w:r>
    </w:p>
    <w:p>
      <w:pPr>
        <w:spacing w:after="0" w:line="7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adequate coverage and reimbursement from government healthcare programs, health insurance organizations, and other third-party payors for products that we launch;</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440"/>
          </w:cols>
          <w:pgMar w:left="320" w:top="419" w:right="11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100" w:hanging="375"/>
        <w:spacing w:after="0" w:line="278" w:lineRule="auto"/>
        <w:tabs>
          <w:tab w:leader="none" w:pos="162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sufficient efficiencies and cost management strategies in our laboratory, supply chain, and elsewhere to maintain an appropriate cost of goods sold to offer our products at an acceptable price in a pre-reimbursement environment;</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any technological and market developments;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negotiating favorable terms in any collaboration, licensing, or other arrangements into which we may enter and maintaining such existing or future arrangements;</w:t>
      </w:r>
    </w:p>
    <w:p>
      <w:pPr>
        <w:spacing w:after="0" w:line="61"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protecting, and expanding our portfolio of intellectual property rights, including patents, trade secrets, know-how, and trademarks;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cost of and delays in product development as a result of any regulatory oversight applicable to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defending against third-party interference, invalidation, or infringement claims, if any;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hiring, and retaining qualified personnel.</w:t>
      </w:r>
    </w:p>
    <w:p>
      <w:pPr>
        <w:spacing w:after="0" w:line="197" w:lineRule="exact"/>
        <w:rPr>
          <w:sz w:val="20"/>
          <w:szCs w:val="20"/>
          <w:color w:val="auto"/>
        </w:rPr>
      </w:pPr>
    </w:p>
    <w:p>
      <w:pPr>
        <w:ind w:left="760" w:right="240" w:firstLine="388"/>
        <w:spacing w:after="0" w:line="253" w:lineRule="auto"/>
        <w:rPr>
          <w:sz w:val="20"/>
          <w:szCs w:val="20"/>
          <w:color w:val="auto"/>
        </w:rPr>
      </w:pPr>
      <w:r>
        <w:rPr>
          <w:rFonts w:ascii="Times New Roman" w:cs="Times New Roman" w:eastAsia="Times New Roman" w:hAnsi="Times New Roman"/>
          <w:sz w:val="16"/>
          <w:szCs w:val="16"/>
          <w:color w:val="auto"/>
        </w:rPr>
        <w:t>We anticipate incurring significant costs to continue commercializing our products. Our expenses could increase beyond expectations if we are required by the FDA or other regulatory agencies, or notified bodies to delay the launch of any new products, narrow or change our intended use or product claims, and modify or expand our clinical studies or to perform additional clinical studies, either pre- or post-approval (or certification), in addition to those that we currently anticipate. Additionally, it may be difficult for us to offset the costs of the high-single-digit royalty that we will be required to pay under our agreement with Illumina. For more information, see “Business,” “Management’s Discussion and Analysis of Financial Condition and Results of Operations—Material Cash Requirements,” and “Certain Relationships and Related Party Transactions—Agreements with Illumina” beginning on pages 113, 182, and 202, respectively, of this Information Statement.</w:t>
      </w:r>
    </w:p>
    <w:p>
      <w:pPr>
        <w:spacing w:after="0" w:line="166"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We will need to generate significant additional revenue to achieve and maintain profitability and will need to obtain additional funding to continue operations. Even if we achieve profitability, we cannot be sure that we will remain profitable for any substantial period of time. We may never be able to generate sufficient revenue to achieve or maintain profitability and our recent and historical growth should not be considered indicative of our future performance. If we do not achieve or maintain profitability, it will be more difficult for us to finance our business and accomplish our strategic objectives, either of which could have a material adverse effect on our business, financial condition, results of operations, and growth prospects.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 substantial majority of our revenue is generated from sales of Galleri and we are highly dependent on it for our success.</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We began selling Galleri in the United States in mid-2021. Sales of Galleri accounted for a substantial majority of our revenue to date and we expect that such sales will continue to account for the substantial majority of our revenue for the foreseeable future. Our ability to execute our growth strategy and become profitable will therefore depend upon the adoption of Galleri as a widely used MCED test. Continued adoption and use of Galleri will depend on several factors discussed in these risk factors, including, among others, the prices we charge for our tests, the scope of coverage and amount of reimbursement available from third-party payors, including managed care organizations, private health insurers, and government healthcare programs, such as Medicare and Medicaid in the United States and similar programs in other countries, the availability of clinical and real-world data that supports the value and impact of our tests, and the extent to which our tests receive FDA authorization or a USPSTF grade A or B recommendation. We cannot assure you that Galleri will continue to maintain or gain market acceptance, and any failure to do so would harm our business and results of operations.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460"/>
          </w:cols>
          <w:pgMar w:left="320" w:top="419" w:right="111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jc w:val="both"/>
        <w:ind w:left="760" w:right="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One of the key elements of our strategy is to expand access to our tests by pursuing coverage and reimbursement from third-party payors, both private and government payors. If our products do not receive adequate coverage and reimbursement, if at all, from third-party payors, our ability to expand access to our products beyond our existing sales channels will be limited and our overall commercial success will be limited.</w:t>
      </w:r>
    </w:p>
    <w:p>
      <w:pPr>
        <w:spacing w:after="0" w:line="59"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do not currently have coverage and reimbursement from third-party payors, either private or government, for Galleri. However, a key element to our strategy is to expand access to our tests by pursuing coverage and reimbursement by third-party payors, including government payors. Coverage and reimbursement by third-party payors, including managed care organizations, private health insurers, and government healthcare programs, such as Medicare and Medicaid in the United States and similar programs in other countries, for early detection tests we offer or are planning to offer, can be limited and uncertain. Healthcare providers may not order our products unless third-party payors cover and provide adequate reimbursement rates for a substantial portion of the price of our products. If we are not able to obtain adequate coverage and an acceptable level of reimbursement for our products from third-party payors, there could be a greater co-insurance or co-payment obligation for any individual for whom a test is ordered. The individual may be forced to pay the entire cost of a test out-of-pocket, which could dissuade physicians from ordering our products and, if ordered, could result in delay in or decreased likelihood of our collection of payment. We believe our revenue and revenue growth will depend on our success in achieving coverage and adequate reimbursement for our products from third-party payors.</w:t>
      </w:r>
    </w:p>
    <w:p>
      <w:pPr>
        <w:spacing w:after="0" w:line="170"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Medicare is the single largest U.S. payor and a particularly important payor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CMS to cover additional preventive services that are not expressly covered by the statute if the service is (a) reasonable and necessary for the prevention or early detection of an illness or disability, (b) recommended with a grade of A or B by the USPSTF, and (c) appropriate for Medicare beneficiaries under Part A or Part B. CMS establishes coverage through a national coverage determination (“NCD”) process, which generally requires, or is significantly more likely following, FDA approval. In its discretion, the USPSTF generally waits for FDA authorization before it considers undertaking reviews of novel technology. Galleri and certain other future products could be considered screening tests under Medicare and, accordingly, are and may not be eligible for traditional Medicare fee-for-service coverage and reimbursement unless we pursue substantial additional measures, including, but not limited to, securing FDA authorization of Galleri and other future products, followed by obtaining a grade A or B recommendation from the USPSTF, in an effort to enable CMS to issue an NCD. Medicare coverage can also be changed by statute, and another possible pathway for Medicare reimbursement would be to amend the Medicare statute to cover MCED testing. This process would generally require new legislation to expressly authorize CMS to cover FDA-approved early cancer screening and detection tests. We are working with stakeholders to advance and shape the public reimbursement landscape to reflect that additional scope of coverage. However, even if we are successful in obtaining an NCD on the basis of the new reimbursement landscape envisioned by this legislation, we intend to seek a USPSTF grade for Galleri. If we receive an NCD for Galleri or our other products and subsequently receive a USPSTF grade lower than A or B, it is possible that CMS would rescind the NCD. Further, such legislation may never be enacted, may be significantly delayed in being enacted, or may be enacted in a different form, including narrower or less favorable terms, any of which could have a material adverse effect on our business, financial condition, results of operations, and growth prospects. Any of these efforts, individually and together, require significant investments and resources, and may ultimately be unsuccessful or may take several years, if at all, to achieve.</w:t>
      </w:r>
    </w:p>
    <w:p>
      <w:pPr>
        <w:spacing w:after="0" w:line="181" w:lineRule="exact"/>
        <w:rPr>
          <w:sz w:val="20"/>
          <w:szCs w:val="20"/>
          <w:color w:val="auto"/>
        </w:rPr>
      </w:pPr>
    </w:p>
    <w:p>
      <w:pPr>
        <w:jc w:val="both"/>
        <w:ind w:left="760" w:right="20" w:firstLine="388"/>
        <w:spacing w:after="0" w:line="289" w:lineRule="auto"/>
        <w:rPr>
          <w:sz w:val="20"/>
          <w:szCs w:val="20"/>
          <w:color w:val="auto"/>
        </w:rPr>
      </w:pPr>
      <w:r>
        <w:rPr>
          <w:rFonts w:ascii="Times New Roman" w:cs="Times New Roman" w:eastAsia="Times New Roman" w:hAnsi="Times New Roman"/>
          <w:sz w:val="15"/>
          <w:szCs w:val="15"/>
          <w:color w:val="auto"/>
        </w:rPr>
        <w:t>If the USPSTF does not recommend any of our products with a grade of A or B, CMS declines to initiate an NCD, CMS decides to rescind a prior NCD, or the decision regarding an NCD is negative, the impacted product would not be eligible for fee-for-service Medicare coverage in the absence of a new statutory provision providing for coverage. Even if the USPSTF were to recommend Galleri or other products we are developing, the USPSTF</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460"/>
          </w:cols>
          <w:pgMar w:left="320" w:top="419" w:right="11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1" w:lineRule="auto"/>
        <w:rPr>
          <w:sz w:val="20"/>
          <w:szCs w:val="20"/>
          <w:color w:val="auto"/>
        </w:rPr>
      </w:pPr>
      <w:r>
        <w:rPr>
          <w:rFonts w:ascii="Times New Roman" w:cs="Times New Roman" w:eastAsia="Times New Roman" w:hAnsi="Times New Roman"/>
          <w:sz w:val="15"/>
          <w:szCs w:val="15"/>
          <w:color w:val="auto"/>
        </w:rPr>
        <w:t>review process and the ensuing NCD process by CMS could take several years to complete, and coverage for our products would be delayed while review is ongoing. The Affordable Care Act (“ACA”) mandates that many private insurance plans cover, among other preventive health services, evidence-based items or services recommended by USPSTF with a grade of A or B, with certain prohibitions on cost-sharing requirements. Accordingly, if USPSTF does not recommend use of Galleri or other products we are developing or requires a substantial amount of time to review such products, our business and results of our operations would be harmed. Coverage and adequate reimbursement under Medicare are also uncertain as discussed further in “Business—Government Regulations—Coverage and Reimbursement”, beginning on page 163 of this Information Statement. DAC is intended to be a diagnostic aid, and we believe it could be eligible, with current or additional clinical study data, for Medicare coverage and reimbursement in the next several years, although there can be no assurances that we will be successful in obtaining such coverage, if and when DAC is launched.</w:t>
      </w:r>
    </w:p>
    <w:p>
      <w:pPr>
        <w:spacing w:after="0" w:line="155"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If eligible for reimbursement, laboratory tests including ours are generally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 HCPCS or CPT code applicable to our products, the submission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 In addition, effective January 1, 2018, a new Medicare payment methodology went into effect for clinical laboratory tests, under which laboratory-reported private payor rates are used to establish Medicare payment rates for tests reimbursed via the Medicare Clinical Laboratory Fee Schedule. The new methodology implements Section 216 of the Protecting Access to Medicare Act of 2014 (“PAMA”) and requires laboratories that meet certain requirements related to volume and type of Medicare revenues to report to CMS their private payor payment rates for each test they perform, the volume of tests paid at each rate, and the HCPCS code associated with the test. CMS uses the reported information to set the payment rate for each test at the weighted median private payor rate. Most affected tests are revalued every three years. A series of legislative amendments delayed the next PAMA reporting period to January 1, 2024 through March 31, 2024, which will cover the original data collection period of January 1, 2019 through June 30, 2019. New CLFS rates for clinical diagnostic laboratory tests (“CDLTs”) will be established based on that data beginning in 2025, subject to phase-in limits. As a result, Medicare payment rates determined by data reported in 2017 will continue through December 31, 2024. In addition, under PAMA, as amended, the payment reduction cap will be 15% per test per year in each of the years 2024 through 2026. PAMA also authorized the adoption of new, temporary billing codes and unique test identifiers for FDA-cleared or approved tests, as well as advanced diagnostic laboratory tests (“ADLTs”). The AMA’s CPT Editorial Panel approved a proposal to create a new section of billing codes called Proprietary Laboratory Analyses (“PLA”) codes, to facilitate implementation of this section of PAMA. The full impact of the PAMA rate-setting methodology and its applicability to our products remains uncertain at this time.</w:t>
      </w:r>
    </w:p>
    <w:p>
      <w:pPr>
        <w:spacing w:after="0" w:line="180"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Coverage and reimbursement by a third-party payor may depend on a number of factors, including a payor’s determination that a product is appropriate, medically necessary, and cost-effective. Each payor will make its own decision as to whether to establish a policy or enter into a contract to cover our products and the amount it will reimburse for such products. Any determination by a payor to cover and the amount for which it will reimburse our products would likely be made on an indication-by-indication basis. For example, we may face additional scrutiny in obtaining coverage and reimbursement from third-party payors given the additional costs of further diagnostic workup in the event the test is deployed at scale, as a result of the false positive rate. As a result, obtaining approvals from third-party payors to cover our products and establishing adequate coding recognition and reimbursement levels is an unpredictable, challenging, time-consuming, and costly process and we may never be successful. If third-party payors do not provide adequate coverage and reimbursement for our products, our ability to succeed commercially will be limited.</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480"/>
          </w:cols>
          <w:pgMar w:left="320" w:top="419" w:right="10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Even if we establish relationships with payors to provide our products at negotiated rates, such agreements would not obligate any healthcare providers to order our products or guarantee that we would receive reimbursement for our products from these or any other payors at adequate levels. Thus, these payor relationships may not result in acceptable levels of coverage and reimbursement for our products, including Galleri and any current or future products, including future versions of Galleri or DAC. We believe it may take several years to achieve coverage and adequate reimbursement with a majority of third-party payors, including with those payors offering negotiated rates. In addition, we cannot predict whether, under what circumstances, or at what payment levels payors will cover and reimburse our products. Although we do not expect Galleri to have Medicare or other broad third-party coverage or reimbursement in the near term, we will continue to market our product to health systems, large self-insured employers, life insurance providers, physician directed channels, health plans, and additional at-risk groups such as firefighters. If we fail to establish and maintain coverage and reimbursement for our products, our ability to expand access to our products, generate increased revenue, and grow our test volume and customer base will be limited and our overall commercial success and growth prospects will be limited.</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develop and commercialize new products, including enhanced versions of current products.</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continue to expand our research and development efforts to use our proprietary methylation platform and our large clinical and genomic datasets to develop enhanced versions of our products and future products. The commercialization of any new products, including enhanced versions of current products, will require the completion of certain clinical development activities, regulatory activities, and the expenditure of additional cash resources. We cannot assure you that we can successfully complete these activities for any such products.</w:t>
      </w:r>
    </w:p>
    <w:p>
      <w:pPr>
        <w:spacing w:after="0" w:line="161" w:lineRule="exact"/>
        <w:rPr>
          <w:sz w:val="20"/>
          <w:szCs w:val="20"/>
          <w:color w:val="auto"/>
        </w:rPr>
      </w:pPr>
    </w:p>
    <w:p>
      <w:pPr>
        <w:ind w:left="760" w:right="40" w:firstLine="388"/>
        <w:spacing w:after="0" w:line="274" w:lineRule="auto"/>
        <w:rPr>
          <w:sz w:val="20"/>
          <w:szCs w:val="20"/>
          <w:color w:val="auto"/>
        </w:rPr>
      </w:pPr>
      <w:r>
        <w:rPr>
          <w:rFonts w:ascii="Times New Roman" w:cs="Times New Roman" w:eastAsia="Times New Roman" w:hAnsi="Times New Roman"/>
          <w:sz w:val="15"/>
          <w:szCs w:val="15"/>
          <w:color w:val="auto"/>
        </w:rPr>
        <w:t>We expect our operating costs to continue to exceed our revenue for the foreseeable future. We also cannot assure you that we will be able to reduce our expenditures sufficiently, generate sufficient revenue from products that we successfully commercialize or otherwise mitigate the risks associated with our business to raise enough capital to develop and commercialize new products. In addition, once our development efforts for a product are completed, commercialization efforts, including allocation of resources necessary to comply with applicable laws and regulations, will require significant expenditures. Any failure to develop, obtain necessary marketing authorizations for, or commercialize new products, and meet and continue compliance with applicable laws and regulations, could have a material adverse effect on our ability to implement our strategy and grow our business.</w:t>
      </w:r>
    </w:p>
    <w:p>
      <w:pPr>
        <w:spacing w:after="0" w:line="242"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similar third-party products are developed and do not perform as intended or cause harm or injury to patients, the market for our products could be impaired.</w:t>
      </w:r>
    </w:p>
    <w:p>
      <w:pPr>
        <w:spacing w:after="0" w:line="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Many companies are attempting to develop competing cancer detection tests and technologies focused on improving cancer care with early cancer detection tests and post-diagnostic products. If any of these tests do not perform to expectations or cause harm or injury to patients, it may result in lower clinical and consumer confidence in early cancer detection and precision medicine in general, which could potentially adversely affect confidence in our products. As a result, the failure of any competing products to perform as expected could significantly adversely affect public perception about cancer detection tests generally, including our products, and could significantly impair our reputation and operating results.</w:t>
      </w:r>
    </w:p>
    <w:p>
      <w:pPr>
        <w:spacing w:after="0" w:line="256"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45" w:lineRule="exact"/>
        <w:rPr>
          <w:sz w:val="20"/>
          <w:szCs w:val="20"/>
          <w:color w:val="auto"/>
        </w:rPr>
      </w:pPr>
    </w:p>
    <w:p>
      <w:pPr>
        <w:ind w:left="760" w:right="140" w:firstLine="388"/>
        <w:spacing w:after="0" w:line="289" w:lineRule="auto"/>
        <w:rPr>
          <w:sz w:val="20"/>
          <w:szCs w:val="20"/>
          <w:color w:val="auto"/>
        </w:rPr>
      </w:pPr>
      <w:r>
        <w:rPr>
          <w:rFonts w:ascii="Times New Roman" w:cs="Times New Roman" w:eastAsia="Times New Roman" w:hAnsi="Times New Roman"/>
          <w:sz w:val="15"/>
          <w:szCs w:val="15"/>
          <w:color w:val="auto"/>
        </w:rPr>
        <w:t>Our operations have required substantial amounts of cash since inception. To date, we have financed our operations primarily through the sale of equity securities and capital contributions from Illumina and, to a lesser extent, revenue derived from Galleri sales and precision oncology portfolio revenue. Our product development and clinical study activities are expensive, and we expect to continue to spend substantial amounts as we expand</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480"/>
          </w:cols>
          <w:pgMar w:left="320" w:top="419" w:right="10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our commercialization efforts with respect to Galleri, including pursuing coverage and reimbursement, prepare for the potential launch and commercialization of DAC, continue to enhance our core technology platform, broaden the applications of our technology platform, and develop new products. In addition, obtaining any necessary or desirable regulatory approvals, clearances, or certifications, as well as coverage and reimbursement, for our products will require substantial additional funding.</w:t>
      </w:r>
    </w:p>
    <w:p>
      <w:pPr>
        <w:spacing w:after="0" w:line="161"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As of January 1, 2023, we had $241.6 million in cash and cash equivalents. We believe that our existing cash and cash equivalents, together with the funding obligations of Illumina required by the EC Divestment Decision (as defined in the section titled “The Spin-Off—Background” beginning on page 96 of this Information Statement), will be sufficient to fund our projected operations for at least the next 12 months. Our estimate as to how long we expect our existing cash, cash equivalents, and funding obligations from Illumina to be available to fund our operations is based on assumptions that may prove to be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w:t>
      </w:r>
    </w:p>
    <w:p>
      <w:pPr>
        <w:spacing w:after="0" w:line="166"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We will require additional capital to expand the commercialization of Galleri and our precision oncology portfolio for the development and potential commercialization of DAC, and for the development of future products. Our future capital requirements depend on many additional factors, including:</w:t>
      </w:r>
    </w:p>
    <w:p>
      <w:pPr>
        <w:spacing w:after="0" w:line="73" w:lineRule="exact"/>
        <w:rPr>
          <w:sz w:val="20"/>
          <w:szCs w:val="20"/>
          <w:color w:val="auto"/>
        </w:rPr>
      </w:pPr>
    </w:p>
    <w:p>
      <w:pPr>
        <w:ind w:left="1620" w:right="120" w:hanging="375"/>
        <w:spacing w:after="0" w:line="278" w:lineRule="auto"/>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development and commercialization activities for our products, including Galleri and our precision oncology portfolio and our future products, such as DAC, including marketing, sales, and distribution costs;</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related to continued scaling operations to support demand for our products, including the cost of operating our laboratory in Durham, North Carolina;</w:t>
      </w:r>
    </w:p>
    <w:p>
      <w:pPr>
        <w:spacing w:after="0" w:line="61" w:lineRule="exact"/>
        <w:rPr>
          <w:rFonts w:ascii="Times New Roman" w:cs="Times New Roman" w:eastAsia="Times New Roman" w:hAnsi="Times New Roman"/>
          <w:sz w:val="16"/>
          <w:szCs w:val="16"/>
          <w:color w:val="auto"/>
        </w:rPr>
      </w:pPr>
    </w:p>
    <w:p>
      <w:pPr>
        <w:ind w:left="1620" w:right="560" w:hanging="375"/>
        <w:spacing w:after="0" w:line="278" w:lineRule="auto"/>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costs involved in, obtaining any required or desired regulatory approvals, clearances, or certifications for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scope, progress, results, and costs of developing additional products and conducting clinical studies;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prosecuting, maintaining, expanding, defending, and enforcing patent and other intellectual property rights and claims, including litigation costs and the outcome of such litigation;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amount of sales of our products and collection of related receivables;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emergence of new technologies, products, or services and other adverse market developments;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potential adverse developments.</w:t>
      </w:r>
    </w:p>
    <w:p>
      <w:pPr>
        <w:spacing w:after="0" w:line="197"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Additional capital may not be available when we need it, on terms acceptable to us or at all. We have no committed source of additional capital, other than the funds to be committed by Illumina as described above. Furthermore, any additional capital raised through the sale of equity or equity-linked securities will dilute stockholders’ ownership interests in us, may require stockholder approval, may have an adverse effect on the price of our common stock, and holders of these securities may have rights, preferences or privileges senior to those of our then-existing stockholders. Debt financing, if available, may include restrictive covenants that could limit how we conduct our business and limit our ability to further raise capital, and if available, may be available only on undesirable terms, particularly as we would borrow as an independent company and not a subsidiary of</w:t>
      </w:r>
    </w:p>
    <w:p>
      <w:pPr>
        <w:ind w:left="760" w:right="820"/>
        <w:spacing w:after="0" w:line="256" w:lineRule="auto"/>
        <w:rPr>
          <w:sz w:val="20"/>
          <w:szCs w:val="20"/>
          <w:color w:val="auto"/>
        </w:rPr>
      </w:pPr>
      <w:r>
        <w:rPr>
          <w:rFonts w:ascii="Times New Roman" w:cs="Times New Roman" w:eastAsia="Times New Roman" w:hAnsi="Times New Roman"/>
          <w:sz w:val="16"/>
          <w:szCs w:val="16"/>
          <w:color w:val="auto"/>
        </w:rPr>
        <w:t>Illumina. If adequate capital is not available to us on a timely basis, we may be required to significantly delay, scale back, or discontinue the commercialization of our products or research and development programs, or be</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480"/>
          </w:cols>
          <w:pgMar w:left="320" w:top="419" w:right="10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236" w:lineRule="exact"/>
        <w:rPr>
          <w:sz w:val="20"/>
          <w:szCs w:val="20"/>
          <w:color w:val="auto"/>
        </w:rPr>
      </w:pPr>
    </w:p>
    <w:p>
      <w:pPr>
        <w:ind w:left="760" w:right="28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23"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success will depend on the market’s confidence that our products, including Galleri and, if successfully developed and launched, enhanced versions of Galleri and DAC, and our precision oncology portfolio can provide reliable, high-quality results. We believe that participants, patients, customers, physicians, and regulators are likely to be sensitive to errors in the use of our products or failure of our products to perform as described, and there can be no guarantee that our products will meet expectations. Galleri is intended to be used to detect a cancer signal in individuals, but its results are not intended to be diagnostic. If a cancer signal is detected, the product is used to localize the origin of the cancer signal; a “cancer signal detected” test result must be followed up by appropriate diagnostic workup. Because the product cannot detect all cancer signals, and may not detect signals for all cancer types, a negative test does not rule out the presence of cancer. Additionally, an individual undergoing unnecessary diagnostic tests on the basis of a false positive result or an erroneous cancer signal origin result could expose us to significant liability and reputational risks. Similarly, an individual who receives a cancer diagnosis shortly following a “no cancer signal detected” test result may create negative publicity about our product, which would discourage adoption. 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in our precision oncology portfolio, such as companion diagnostic development, as our products would be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w:t>
      </w:r>
    </w:p>
    <w:p>
      <w:pPr>
        <w:spacing w:after="0" w:line="263" w:lineRule="exact"/>
        <w:rPr>
          <w:sz w:val="20"/>
          <w:szCs w:val="20"/>
          <w:color w:val="auto"/>
        </w:rPr>
      </w:pPr>
    </w:p>
    <w:p>
      <w:pPr>
        <w:ind w:left="760" w:right="3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We rely on Illumina as the sole supplier of the next-generation sequencers and associated Illumina-supplied reagents we use to perform our genomic tests and as the sole provider of servicing, including maintenance and repair services for these sequencers. Any disruption or interruption in Illumina’s operations or breach of our supply-related agreements would impact our supply chain and laboratory operations. We also rely on Madison as the sole supplier of our blood collection tubes and Twist as the sole supplier of our DNA panels. We rely on other vendors as sole suppliers, although we believe we are less reliant on their offerings than the vendors named above, or that there are alternative vendors more readily available. Any disruption or interruption in supply from these vendors would delay our ability to continue laboratory operations, and develop and commercialize any other future products. Any such disruption or interruption in supply, quality, or servicing would adversely affect our commercial partnerships, our ability to continue supporting clinical studies and conduct new studies, our reputation, and could impact our timing for regulatory authorization and coverage and reimbursement.</w:t>
      </w:r>
    </w:p>
    <w:p>
      <w:pPr>
        <w:spacing w:after="0" w:line="165" w:lineRule="exact"/>
        <w:rPr>
          <w:sz w:val="20"/>
          <w:szCs w:val="20"/>
          <w:color w:val="auto"/>
        </w:rPr>
      </w:pPr>
    </w:p>
    <w:p>
      <w:pPr>
        <w:ind w:left="760" w:right="320" w:firstLine="388"/>
        <w:spacing w:after="0" w:line="263" w:lineRule="auto"/>
        <w:rPr>
          <w:sz w:val="20"/>
          <w:szCs w:val="20"/>
          <w:color w:val="auto"/>
        </w:rPr>
      </w:pPr>
      <w:r>
        <w:rPr>
          <w:rFonts w:ascii="Times New Roman" w:cs="Times New Roman" w:eastAsia="Times New Roman" w:hAnsi="Times New Roman"/>
          <w:sz w:val="16"/>
          <w:szCs w:val="16"/>
          <w:color w:val="auto"/>
        </w:rPr>
        <w:t>Further, we are in the process of submitting a PMA for Galleri to the FDA. We may similarly seek FDA authorization for DAC and other products. For products or components supplied to us by Illumina, we have not negotiated the use of all of their products in any product we intend to submit for an FDA marketing authorization. We are cooperating with Madison to obtain FDA clearance or approval for their blood collection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460"/>
          </w:cols>
          <w:pgMar w:left="320" w:top="419" w:right="11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6"/>
          <w:szCs w:val="16"/>
          <w:color w:val="auto"/>
        </w:rPr>
        <w:t>tubes for use with our products. In some cases, use of these third-party products in any FDA-cleared or approved product we may seek to commercialize will be conditioned on these suppliers having obtained FDA clearance or approval for their products for the uses of those third-party products as intended with ours. Before we pursue approval for our products that incorporate or use materials supplied to us by these suppliers, we will need to negotiate and execute agreements with these parties and in some cases may need to ensure these products have obtained the requisite clearances or approvals for the intended uses with our products. Any failures or delays in negotiating agreements with our suppliers on reasonable terms, or their inability to obtain any required clearances or approvals, may increase our costs or delay or prevent us from obtaining approval of, and thus successfully commercializing, our products.</w:t>
      </w:r>
    </w:p>
    <w:p>
      <w:pPr>
        <w:spacing w:after="0" w:line="16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Moreover, products supplied to us for use in our LDT products may be currently available to us as RUO products, which means, among other things, that the third-party supplier intends for the products not to be used for clinical use and that the products must be labeled “For Research Use Only. Not for use in diagnostic procedures.” If the FDA were to take enforcement action against us or our suppliers for our use of RUO products in connection with our products and future products that we intend to use for clinical purposes, including our launch of LDTs, such action could require us to seek alternative suppliers and thus materially and adversely affect our ability to provide such products to our customers and could significantly increase our costs of conducting business. Products for FDA-approved or cleared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use generally have significantly higher costs than LDT uses, which, in turn, are more costly than products intended for RUO.</w:t>
      </w:r>
    </w:p>
    <w:p>
      <w:pPr>
        <w:spacing w:after="0" w:line="166"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Our current suppliers, including Illumina, Madison, or Twist, may also discontinue or substantially change the specification of products that we utilize or intend to utilize in our products and future products. We believe there are only a few, if any, other manufacturers that may be capable of supplying and servicing the other equipment and materials necessary for our laboratory operations, including certain instruments, components, consumables, and reagents. However, qualifying, contracting with, validating, and transitioning to a new supplier for this equipment or these materials could temporarily result in interruptions in or otherwise affect the performance specifications of our laboratory operations and sample processing or, if we receive FDA authorization for our current or future products, could require that we revalidate such products or submit such changes for regulatory authorization by the FDA. For example, the products supplied to us by Madison are of a quality and availability on which our business relies, including as a result of our use of Madison products for all of our prior, ongoing, and planned clinical studies that support product development and validation. Our ability to identify and engage with another supplier who can provide the same products and with the same quality and availability as Madison may be difficult and could significantly delay our clinical studies and ability to process tests, and materially adversely impact our business. In addition, we purchase certain products on a purchase order basis and cannot guarantee a consistent source of supply. The use of equipment or materials provided by a replacement supplier could require us to alter our laboratory operations and sample collection and processing and related procedures. In the case of attempting to obtain an alternative supplier for Illumina, Madison, or Twist, replacement instruments and associated reagents, tubes, and panels that meet our quality control and performance requirements may not be immediately available. If we encounter delays or difficulties in securing, reconfiguring or revalidating the equipment, reagents, and other materials that we require for our laboratory operations and sample collection and processing, we would likely face significant delays in ongoing clinical studies or conducting new studies, commercializing our products and our reputation, business, financial condition, results of operations, and growth prospects would be adversely affected.</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our facilities become inoperable, our ability to provide our products will be significantly impaired and our business will be harmed.</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currently perform all research and development, and conduct commercial testing work, for our products, including Galleri, in our laboratories located in Menlo Park, California and Durham, North Carolina. We also have offices in Washington D.C. and the United Kingdom, which is important to our international operations. The facilities may be harmed, rendered inoperable by physical damage or otherwise become partially or completely unusable due to fire, floods, earthquakes, power loss, telecommunications failures, break-ins,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460"/>
          </w:cols>
          <w:pgMar w:left="320" w:top="419" w:right="111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0"/>
        <w:spacing w:after="0" w:line="252" w:lineRule="auto"/>
        <w:rPr>
          <w:sz w:val="20"/>
          <w:szCs w:val="20"/>
          <w:color w:val="auto"/>
        </w:rPr>
      </w:pPr>
      <w:r>
        <w:rPr>
          <w:rFonts w:ascii="Times New Roman" w:cs="Times New Roman" w:eastAsia="Times New Roman" w:hAnsi="Times New Roman"/>
          <w:sz w:val="16"/>
          <w:szCs w:val="16"/>
          <w:color w:val="auto"/>
        </w:rPr>
        <w:t>accidents, pandemics, and similar events, which may render it difficult or impossible for us to provide our products for some period of time. Our laboratories and the equipment we use to perform our research and development or commercialization work could be unavailable or costly and time-consuming to repair or replace. It would be difficult, time-consuming, and expensive to rebuild our facilities, particularly in light of the licensure, permits, and accreditation requirements for clinical laboratories like ours. For example, the development and commercial test processing activities for Galleri, and future potential commercial launch of DAC, are dependent on the operation of our Durham, North Carolina laboratory, which received Clinical Laboratory Improvement Amendments of 1988 (“CLIA”) certification to perform high-complexity training, and College of American Pathologists (“CAP”) accreditation. A disruption at this facility could materially adversely impact our business and operations. Although we carry insurance for damage to our properties and the disruption of our business, this insurance may not be sufficient to cover all of our potential losses and may not continue to be available to us on acceptable terms, or at all.</w:t>
      </w:r>
    </w:p>
    <w:p>
      <w:pPr>
        <w:spacing w:after="0" w:line="257" w:lineRule="exact"/>
        <w:rPr>
          <w:sz w:val="20"/>
          <w:szCs w:val="20"/>
          <w:color w:val="auto"/>
        </w:rPr>
      </w:pPr>
    </w:p>
    <w:p>
      <w:pPr>
        <w:ind w:left="760" w:right="1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59"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depend on third parties for information technology, telecommunication systems, the collection, processing, transport, and storage of sample, and other patient-facing services. Any disruption in these services or operations could materially adversely harm our business and operations.</w:t>
      </w:r>
    </w:p>
    <w:p>
      <w:pPr>
        <w:spacing w:after="0" w:line="12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depend on information technology and telecommunications systems, including those provided by third parties and their vendors, for significant elements of our operations, such as our laboratory information management systems, including test validation, specimen tracking, and quality control; personal information collection, storage, maintenance, and transmission; our report production systems; and our billing and reimbursement, research and development, scientific, and medical data analysis; and general administrative activities. In connection with becoming a public company, we expect to expand and strengthen a number of enterprise software systems that affect a broad range of business processes and functions, including, for example, systems handling human resources, financial controls and reporting, customer relationship management, regulatory compliance, security controls, and other infrastructure operations. These expansions may prove more difficult than we expect and could cause disruptions in our operations or additional expense. 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events. Any disruption or loss of information technology or telecommunications systems on which critical aspects of our operations depend could have an adverse effect on our business, reputation, results of operation, financial condition, and growth prospects.</w:t>
      </w:r>
    </w:p>
    <w:p>
      <w:pPr>
        <w:spacing w:after="0" w:line="166"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Our business also depends on our ability to reliably sequence blood samples that we collect, which are transported to our Menlo Park or Durham facility for analysis. Within the United Kingdom, our samples are initially collected, processed, frozen, and stored at several off-site facilities. Any disruption to the operations of these facilities could compromise the integrity of our samples and impede our ability to access and accurately sequence the data. For example, Event Marketing Solutions Ltd (“EMS”) is responsible for collection of our NHS-Galleri Trial samples and ships those samples to UK Biocentre Ltd (“UKBC”) for, among other things, receipt, storage, and management. If any natural or man-made disaster, accident, or break-in were to affect the UKBC facility or EMS’ collection or shipping operations, our NHS-Galleri samples could be lost, destroyed, compromised, or otherwise adversely affected. In addition, we maintain samples from our clinical studies for several years. It is possible that the long-term stability of these samples may not be maintained with the passage of time, which could negatively impact our ability to use such samples to validate our products. Further, interruptions in collection, processing, freezing, or transportation of samples performed by patient-facing service providers and other third parties, whether due to labor disruptions, bad weather, natural disaster, terrorist acts, threats, or for other reasons could adversely affect the samples and our ability to process the samples in a timely</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460"/>
          </w:cols>
          <w:pgMar w:left="320" w:top="418" w:right="111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8" w:lineRule="auto"/>
        <w:rPr>
          <w:sz w:val="20"/>
          <w:szCs w:val="20"/>
          <w:color w:val="auto"/>
        </w:rPr>
      </w:pPr>
      <w:r>
        <w:rPr>
          <w:rFonts w:ascii="Times New Roman" w:cs="Times New Roman" w:eastAsia="Times New Roman" w:hAnsi="Times New Roman"/>
          <w:sz w:val="16"/>
          <w:szCs w:val="16"/>
          <w:color w:val="auto"/>
        </w:rPr>
        <w:t>manner, which could negatively affect our ongoing research studies and harm our business. This is particularly true for transport of our samples, which generally must be delivered to our facilities for processing within seven days of blood draw.</w:t>
      </w:r>
    </w:p>
    <w:p>
      <w:pPr>
        <w:spacing w:after="0" w:line="1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also depend on third-party telemedicine providers for certain referrals and follow up services with patients. Third-party phlebotomists also provide patient-facing services in collecting samples and shipping samples to our facilities for processing. If these telemedicine or phlebotomist vendors fail to perform services, or if services are performed poorly or perceived to be performed poorly, we may suffer reputational harm, need to replace a provider, limit our ability to reach patients, result in loss of samples, failure to receive samples in a timely manner, insufficient quality of samples, or other harms.</w:t>
      </w:r>
    </w:p>
    <w:p>
      <w:pPr>
        <w:spacing w:after="0" w:line="16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Finally, the facilities of any of our third-party collaborators, consultants, contractors, vendors, suppliers, and service providers could be subject to earthquakes, power shortages, telecommunications failures, water shortages, floods, tornadoes, hurricanes, fires, extreme weather conditions, medical epidemics, pandemics, and other natural or man-made disasters or business interruptions. In addition, they may be affected by government shutdowns, changes to applicable laws, regulations, and policies, or funding shortages. The occurrence of any of these business disruptions could seriously harm their ability to complete their contracted services to us, which may adversely impact our operations and financial condition.</w:t>
      </w:r>
    </w:p>
    <w:p>
      <w:pPr>
        <w:spacing w:after="0" w:line="256" w:lineRule="exact"/>
        <w:rPr>
          <w:sz w:val="20"/>
          <w:szCs w:val="20"/>
          <w:color w:val="auto"/>
        </w:rPr>
      </w:pPr>
    </w:p>
    <w:p>
      <w:pPr>
        <w:ind w:left="760" w:right="180" w:firstLine="388"/>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Failure of, or defects in, our machine learning algorithms, artificial intelligence, and cloud-based computing infrastructure, including interruptions of service through our key provider, Amazon Web Services, or increased regulation in the machine learning or artificial intelligence space, could impair our ability to process our data, develop products, or provide test results, and harm our business and results of operations.</w:t>
      </w:r>
    </w:p>
    <w:p>
      <w:pPr>
        <w:spacing w:after="0" w:line="43"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 impossible or impracticable, and the costs incurred may be substantial and adversely affect our results of operations. Additionally, regulation in the machine learning and artificial intelligence space is constantly evolving and limitations placed on the use of data, including personal information, health data, or genetic/genomic data in such systems may make it difficult for us to continue using our machine learning algorithms. If our technology does not function reliably, fails to meet expectations in terms of performance, or cannot be fully utilized due to increasing regulation, including regulation by the FDA or comparable regulatory authorities of artificial intelligence or medical device software, we may be unable to provide, or our customers may stop using, our products.</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currently host all of our data on, and conduct a significant portion of our data analysis through, Amazon Web Services (“AWS”) cloud-based hosting facilities. In addition, certain functions of our laboratory operations and business functions use or leverage AWS. Any technical problems or outages that may arise in connection with AWS, including its data center hosting facilities, could result in operational disruption, loss of data or delayed or ineffective data processing. A variety of factors, including infrastructure changes, human or software errors, viruses, malware, security attacks, fraud, spikes in customer usage, or denial of service issues could cause interruptions in our service. Such service interruptions may reduce or inhibit our ability to provide our products, process tests, operate our laboratory, delay our clinical studies, and damage our relationships with our customers. We could also be exposed to potential lawsuits, liability claims, reputational impact, or regulatory actions, for example if AWS experienced a data privacy breach. If we were required to transfer to another service provider, including the transfer of data to an alternative hosting provider, the transfer and acclimation to the new provider could result in significant business delays and require additional resources.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440"/>
          </w:cols>
          <w:pgMar w:left="320" w:top="419" w:right="11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scale our operations successfully to support demand for our products, our business could suffer.</w:t>
      </w:r>
    </w:p>
    <w:p>
      <w:pPr>
        <w:spacing w:after="0" w:line="106"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As and to the extent test volumes grow, we will need to continue to ramp up laboratory capacity, including increasing the processing of Galleri in our Durham, North Carolina facility. This includes the transition of operations from 16 hours of operation seven days a week to 24 hours of operation seven days a week. While we have heavily invested in our scalability, including by expanding our Durham facility laboratory capacity, further buildout of our Durham facility will be needed, as well as further new infrastructure, data processing capabilities, customer service, billing and systems processes, and expanding our internal quality assurance program and information technology to support testing on a larger scale. We will also need additional equipment, and certified and licensed laboratory personnel to process higher volumes of tests. Our ability to hire personnel to scale may be more challenging for our 24/7 operations when we will require night shift work. We may face difficulties increasing the scale of our operations, including implementing changes in infrastructure or programs or acquiring additional equipment or personnel, as well as any additional regulatory, licensing, permitting, or certificate obligations that need to be met at the local, state, or federal level. As we refine our products and develop additional products, we may need to bring new equipment on-line, implement new systems, technology, controls and procedures, and hire personnel with different qualifications, licenses, or certifications.</w:t>
      </w:r>
    </w:p>
    <w:p>
      <w:pPr>
        <w:spacing w:after="0" w:line="168" w:lineRule="exact"/>
        <w:rPr>
          <w:sz w:val="20"/>
          <w:szCs w:val="20"/>
          <w:color w:val="auto"/>
        </w:rPr>
      </w:pPr>
    </w:p>
    <w:p>
      <w:pPr>
        <w:ind w:left="760" w:right="100" w:firstLine="388"/>
        <w:spacing w:after="0" w:line="274" w:lineRule="auto"/>
        <w:rPr>
          <w:sz w:val="20"/>
          <w:szCs w:val="20"/>
          <w:color w:val="auto"/>
        </w:rPr>
      </w:pPr>
      <w:r>
        <w:rPr>
          <w:rFonts w:ascii="Times New Roman" w:cs="Times New Roman" w:eastAsia="Times New Roman" w:hAnsi="Times New Roman"/>
          <w:sz w:val="15"/>
          <w:szCs w:val="15"/>
          <w:color w:val="auto"/>
        </w:rPr>
        <w:t>The value of Galleri, our precision oncology portfolio, DAC,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higher costs of processing, longer turnaround times or an inability to meet market demand.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w:t>
      </w:r>
    </w:p>
    <w:p>
      <w:pPr>
        <w:spacing w:after="0" w:line="151"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may also experience difficulties scaling in international markets in which we are required under law or contract, or decide to, construct and operate a laboratory in that market. For example, we may be required or decide to build and operate a laboratory in the United Kingdom if and when we have a commercial presence in that country. This may be challenging due to significant startup costs, difficulty recruiting, and lack of familiarity with the local jurisdiction, among other reasons. If we are unable to build and operate laboratories internationally, our ability to expand internationally may be limited, and have a negative impact on our business and results of operations.</w:t>
      </w:r>
    </w:p>
    <w:p>
      <w:pPr>
        <w:spacing w:after="0" w:line="165"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In addition, our growth may place a significant strain on our management, operating and financial systems, research and development, and our sales, marketing, and administrative resources. As a result of our growth, our operating costs may escalate even faster than planned, and some of our internal systems may need to be enhanced or replaced. If we cannot effectively manage our expanding operations and our costs, we may not be able to grow successfully or we may grow at a slower pace, and our business could be adversely affected.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results of operations will suffer if we fail to perform effectively.</w:t>
      </w:r>
    </w:p>
    <w:p>
      <w:pPr>
        <w:spacing w:after="0" w:line="106"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There are market participants in the cancer detection space both in the United States and abroad, including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have stated that they are attempting to develop tests designed to detect certain types of cancer, including some that will use cell free DNA (“cfDNA”) analyses. The precision oncology market includes companies such as Roche/Foundation Medicine, Inc., Natera, Inc., Guardant, Inc., Tempus Labs, Inc., Invitae Corp., NeoGenomics Laboratories, Personalis, Inc., Twist Bioscience Corp. and</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480"/>
          </w:cols>
          <w:pgMar w:left="320" w:top="419" w:right="10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2" w:lineRule="auto"/>
        <w:rPr>
          <w:sz w:val="20"/>
          <w:szCs w:val="20"/>
          <w:color w:val="auto"/>
        </w:rPr>
      </w:pPr>
      <w:r>
        <w:rPr>
          <w:rFonts w:ascii="Times New Roman" w:cs="Times New Roman" w:eastAsia="Times New Roman" w:hAnsi="Times New Roman"/>
          <w:sz w:val="16"/>
          <w:szCs w:val="16"/>
          <w:color w:val="auto"/>
        </w:rPr>
        <w:t>Adaptive Biotechnologies Corp., among others. These companies have or may have greater financial, technical, and other resources, such as larger research and development staff, well-established marketing and sales forces, existing integrated systems connected to health practices’ electronic health or medical records to facilitate product ordering and results delivery, or may operate in jurisdictions where lower standards of evidence are required to bring products to market. These companies may succeed in developing, acquiring, or licensing, on an exclusive basis or otherwise, tests or services that are more effective, have higher performance, or are less costly than our products. In addition, established medical technology, biotechnology, or pharmaceutical companies may invest to accelerate discovery and development of tests that could make our products less successful than we anticipate. For example, large and long-tenured healthcare, life sciences, or technology companies may initiate research and development of MCED and bring significant resources and disruption to the cancer detection space.</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ability to perform successfully will depend largely on our ability to:</w:t>
      </w:r>
    </w:p>
    <w:p>
      <w:pPr>
        <w:spacing w:after="0" w:line="114" w:lineRule="exact"/>
        <w:rPr>
          <w:sz w:val="20"/>
          <w:szCs w:val="20"/>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commercialization efforts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 compelling advantages in the performance and convenience of our products, including on a cost efficient basis;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of our products by healthcare providers and patients, including through our reputation;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adequate coverage and reimbursement by third-party payors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differentiate our product from future tests and products of and third parties;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qualified scientific, data science, clinical development, product development, and commercial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defend, and enforce patent and other proprietary protection as necessary for our products;</w:t>
      </w:r>
    </w:p>
    <w:p>
      <w:pPr>
        <w:spacing w:after="0" w:line="113"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any necessary or desirable marketing authorizations or certifications from regulators in the United States and other jurisdictions, and notified bodies;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product ordering and results delivery into practices’ electronic health or medical records systems;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collaborate with institutions in the discovery, development, and commercialization of our products;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our operations and implement a successful sales and marketing strategy to support commercialization.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may not be able to perform effectively if we are unable to accomplish one or more of these or similar objectives.</w:t>
      </w:r>
    </w:p>
    <w:p>
      <w:pPr>
        <w:spacing w:after="0" w:line="288"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cannot maintain our current collaborations or partnerships and enter into new collaborations or partnerships in a timely manner and on acceptable terms, our efforts to develop and commercialize our products could be delayed or adversely affected.</w:t>
      </w:r>
    </w:p>
    <w:p>
      <w:pPr>
        <w:spacing w:after="0" w:line="4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rely, and expect to continue to rely, on collaborative partners to help us develop our products and enhance our research and development efforts. For example, we have collaborated with pharmaceutical companies, research institutions, and academic centers. Additionally, our RUO offering has formed the basis of biopharmaceutical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reliance on certain of these third parties reduces our control over our product development activities.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460"/>
          </w:cols>
          <w:pgMar w:left="320" w:top="419" w:right="11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If any of our collaborators or partners were to breach or terminate their agreements with us or otherwise fail to conduct the contracted activities successfully and in a timely manner, the research and development activities of certain of our products could be delayed or terminated.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Any transition from a current collaborator to a new collaborator could be costly and result in significant product development delays.</w:t>
      </w:r>
    </w:p>
    <w:p>
      <w:pPr>
        <w:spacing w:after="0" w:line="170"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financial, regulatory, or intellectual property position. Even if we establish new collaborations, they may not result in the successful development or commercialization of our products or technology.</w:t>
      </w:r>
    </w:p>
    <w:p>
      <w:pPr>
        <w:spacing w:after="0" w:line="259" w:lineRule="exact"/>
        <w:rPr>
          <w:sz w:val="20"/>
          <w:szCs w:val="20"/>
          <w:color w:val="auto"/>
        </w:rPr>
      </w:pPr>
    </w:p>
    <w:p>
      <w:pPr>
        <w:ind w:left="760" w:right="40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will need to grow the size and capabilities of our organization, and we may experience difficulties in managing this growth. If we are unable to maintain and expand sales and marketing capabilities in particular, we may not be successful in increasing sales of Galleri or commercializing new products.</w:t>
      </w:r>
    </w:p>
    <w:p>
      <w:pPr>
        <w:spacing w:after="0" w:line="59"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As of December 31, 2023, we had employees, substantially all of whom were full-time. As our development plans and strategies develop, and as we transition into operating as a public company, we may require a significant number of additional managerial, operational, financial, and other personnel. Moreover, despite our progress made in driving commercial implementation to date, we may not be able to market, sell, or distribute Galleri, or any future products that we may develop and commercialize, effectively enough to support our planned growth.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Factors that may inhibit our efforts to commercialize any of our products include:</w:t>
      </w:r>
    </w:p>
    <w:p>
      <w:pPr>
        <w:spacing w:after="0" w:line="114" w:lineRule="exact"/>
        <w:rPr>
          <w:sz w:val="20"/>
          <w:szCs w:val="20"/>
          <w:color w:val="auto"/>
        </w:rPr>
      </w:pPr>
    </w:p>
    <w:p>
      <w:pPr>
        <w:ind w:left="1620" w:right="220" w:hanging="375"/>
        <w:spacing w:after="0" w:line="278" w:lineRule="auto"/>
        <w:tabs>
          <w:tab w:leader="none" w:pos="162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recruit and retain adequate numbers of effective sales, marketing, reimbursement, customer service, medical affairs, and other support personnel;</w:t>
      </w:r>
    </w:p>
    <w:p>
      <w:pPr>
        <w:spacing w:after="0" w:line="61"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generate an adequate numbers of customers, including healthcare systems and healthcare providers, to use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price our products at a sufficient price point to ensure an adequate and attractive level of gross margin and profitability;</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effectively market to, collaborate with, and secure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comply with applicable regulatory requirements governing the sale, marketing, reimbursement, and commercialization of our products;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costs and expenses associated with maintaining a commercialization organization.</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440"/>
          </w:cols>
          <w:pgMar w:left="320" w:top="419" w:right="11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Future growth will impose significant added responsibilities on members of management besides those related to our efforts to commercialize, which will include: managing our internal development efforts effectively, including creating compliant programs and processes, such as a compliant laboratory and manufacturing quality system, and managing the regulatory requirements for our products, while complying with our contractual obligations to contractors and other third parties, including patient-facing service providers; expanding our operational, financial and management controls, reporting systems, and procedures; and managing the increasing complexity associated with a larger organization and expanded operations.</w:t>
      </w:r>
    </w:p>
    <w:p>
      <w:pPr>
        <w:spacing w:after="0" w:line="147"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future financial performance and our ability to commercialize our products will depend, in part, on our ability to effectively manage any future growth. Our management may also have to divert a disproportionate amount of its attention away from day-to-day activities in order to manage these growth activities. Our ability to successfully manage our expected growth is uncertain given the fact that we have been in operation as a company only since 2016, and have grown significantly in recent years.</w:t>
      </w:r>
    </w:p>
    <w:p>
      <w:pPr>
        <w:spacing w:after="0" w:line="161" w:lineRule="exact"/>
        <w:rPr>
          <w:sz w:val="20"/>
          <w:szCs w:val="20"/>
          <w:color w:val="auto"/>
        </w:rPr>
      </w:pPr>
    </w:p>
    <w:p>
      <w:pPr>
        <w:ind w:left="760" w:right="500" w:firstLine="388"/>
        <w:spacing w:after="0" w:line="278" w:lineRule="auto"/>
        <w:rPr>
          <w:sz w:val="20"/>
          <w:szCs w:val="20"/>
          <w:color w:val="auto"/>
        </w:rPr>
      </w:pPr>
      <w:r>
        <w:rPr>
          <w:rFonts w:ascii="Times New Roman" w:cs="Times New Roman" w:eastAsia="Times New Roman" w:hAnsi="Times New Roman"/>
          <w:sz w:val="16"/>
          <w:szCs w:val="16"/>
          <w:color w:val="auto"/>
        </w:rPr>
        <w:t>If we are not able to effectively expand our organization by hiring new employees, we may not be able to successfully implement the tasks necessary to commercialize our products, which would have a negative impact on our business and results of operations.</w:t>
      </w:r>
    </w:p>
    <w:p>
      <w:pPr>
        <w:spacing w:after="0" w:line="236"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our key personnel. If we are not successful in attracting, motivating, and retaining highly qualified personnel, we may not be able to successfully implement our business strategy.</w:t>
      </w:r>
    </w:p>
    <w:p>
      <w:pPr>
        <w:spacing w:after="0" w:line="4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Our ability to perform in the biotechnology industry depends upon our ability to attract, motivate, and retain highly qualified personnel. We are highly dependent on our executive management team and our scientific, medical, technological, and engineering personnel. The loss of the services provided by any of our executive officers, other key employees, and other scientific and medical advisors, and our inability to find suitable replacements in a timely manner, could result in delays in commercialization of our products and harm our business.</w:t>
      </w:r>
    </w:p>
    <w:p>
      <w:pPr>
        <w:spacing w:after="0" w:line="161"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are headquartered in Menlo Park, California, a region in which many other healthcare companies, technology companies, and academic and research institutions are headquartered. In addition, we operate a laboratory facility in Durham, North Carolina, where there is also demand for skilled personnel, especially engineering and laboratory personnel. Competition for personnel is intense and the turnover rate can be high, which may limit our ability to hire and retain highly qualified personnel on acceptable terms or at all. We expect that we may need to recruit talent from outside of these regions, and doing so may be costly and difficult.</w:t>
      </w:r>
    </w:p>
    <w:p>
      <w:pPr>
        <w:spacing w:after="0" w:line="165"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To induce valuable employees to join or remain at our company, in addition to salary and periodic cash incentives, we have generally granted Cash-Based Equity Awards that vest over time. The value to employees of these grants that vest over time may at any time be insufficient to counteract more lucrative offers from other companies. Although we have employment agreements with certain key employees, these employment agreements provide for at-will employment, which means that any of our employees could leave our employment at any time, with or without notice. If we are unable to attract and incentivize highly qualified personnel on acceptable terms in a timely manner, or at all, our business and results of operations may suffer.</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economic, political, regulatory, and other risks associated with international operations.</w:t>
      </w:r>
    </w:p>
    <w:p>
      <w:pPr>
        <w:spacing w:after="0" w:line="106"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Our business is subject to risks associated with conducting business internationally. For example, some of our suppliers and parties with whom we have collaborative relationships are located outside the United States, including in the United Kingdom and Israel. Accordingly, our future results could be harmed by a variety of factors, including:</w:t>
      </w:r>
    </w:p>
    <w:p>
      <w:pPr>
        <w:spacing w:after="0" w:line="73" w:lineRule="exact"/>
        <w:rPr>
          <w:sz w:val="20"/>
          <w:szCs w:val="20"/>
          <w:color w:val="auto"/>
        </w:rPr>
      </w:pPr>
    </w:p>
    <w:p>
      <w:pPr>
        <w:ind w:left="5540" w:right="1840" w:hanging="4295"/>
        <w:spacing w:after="0" w:line="449" w:lineRule="auto"/>
        <w:tabs>
          <w:tab w:leader="none" w:pos="1621"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non-U.S. economies and markets; 48</w:t>
      </w:r>
    </w:p>
    <w:p>
      <w:pPr>
        <w:sectPr>
          <w:pgSz w:w="11900" w:h="16838" w:orient="portrait"/>
          <w:cols w:equalWidth="0" w:num="1">
            <w:col w:w="10460"/>
          </w:cols>
          <w:pgMar w:left="320" w:top="419" w:right="111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line="278" w:lineRule="auto"/>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jurisdictions that do not respect and protect intellectual property rights to the same extent as the United States;</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protection measures, import or export controls and licensing requirements (including possible restrictions on licensing intellectual property to certain non-U.S. persons) or other restrictive actions by U.S. or non-U.S. governments;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customs, tariffs, and trade barriers;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policies related to data privacy, data protection, and cybersecurity in the transfer or transmittal of data across boundaries and geographies;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risk we may face from denominating a portion of our transactions in currencies other than the U.S. dollar;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specific country’s or region’s political or economic environment;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tax laws;</w:t>
      </w:r>
    </w:p>
    <w:p>
      <w:pPr>
        <w:spacing w:after="0" w:line="113"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U.S. national security laws, including those governing non-U.S. investors’ ownership of U.S. biotech and other technology companies and U.S. companies’ ability to enter into joint ventures with non-U.S. entities;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staffing and managing international operations, including differing labor relations;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Foreign Corrupt Practices Act (“FCPA”) or comparable foreign laws; and</w:t>
      </w:r>
    </w:p>
    <w:p>
      <w:pPr>
        <w:spacing w:after="0" w:line="11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such as recent conflicts in the Middle East, pandemics, or natural disasters, including earthquakes, typhoons, floods, and fires.</w:t>
      </w:r>
    </w:p>
    <w:p>
      <w:pPr>
        <w:spacing w:after="0" w:line="14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addition, in recent years, U.S. administrations have publicly supported potential trade proposals that may affect U.S. trade relations with other countries. It is unclear at this point how, if at all, such actions or other potential actions would impact our business or operations, but the uncertainty surrounding these matters could create difficulties in our efforts to partner with certain healthcare providers, suppliers, and insurance carriers. Moreover, future operational expansion into other geographies will subject us to additional political and regulatory regimes that will require us to invest in compliance efforts and may result in additional risks, including, among others, exposure to various and potentially conflicting regulations, international sanctions and compliance rules, country-specific requirements for testing, approval, and processing of patient information and biological samples, as well as the risks associated with political and macroeconomic climates in any such geographies. For example, the implementation of a pilot under our agreement with the NHS, and further commercialization of Galleri with the NHS after that pilot, could be delayed or otherwise impacted if there is a change in the government in the United Kingdom. These and other risks associated with our planned international operations may materially and adversely affect our business, costs and growth prospects.</w:t>
      </w:r>
    </w:p>
    <w:p>
      <w:pPr>
        <w:spacing w:after="0" w:line="170"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Our ability to successfully and efficiently conduct any required in-country studies in other countries or regions in which we seek to expand may also be impacted, or may be impossible, due to the regulatory requirements of such countries. Some countries may require that we carry out testing of our products or future products through government partnerships, which may be difficult to navigate or which may limit our ability to deliver the results we intend. Moreover, the demographics in other countries or regions may differ vastly, such that study results may not appear as successful, due to, for example, a lower incidence of cancer in the local</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460"/>
          </w:cols>
          <w:pgMar w:left="320" w:top="419" w:right="111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54" w:lineRule="auto"/>
        <w:rPr>
          <w:sz w:val="20"/>
          <w:szCs w:val="20"/>
          <w:color w:val="auto"/>
        </w:rPr>
      </w:pPr>
      <w:r>
        <w:rPr>
          <w:rFonts w:ascii="Times New Roman" w:cs="Times New Roman" w:eastAsia="Times New Roman" w:hAnsi="Times New Roman"/>
          <w:sz w:val="16"/>
          <w:szCs w:val="16"/>
          <w:color w:val="auto"/>
        </w:rPr>
        <w:t>population. Such outcomes may adversely impact demand for our products in other countries. Finally, our ability to expand internationally may be limited by the availability of international laboratory space or requirements that will permit us to store, collect, and analyze biological samples required for current or future products, including space that could be made available through potential partners in such countries or regions. These and other unknown risks make it difficult for us to assess the potential success of our international expansion and the costs associated therewith. We are also subject to a number of risks relating to regulations and legal compliance. For additional information, see “Risks Relating to Regulation and Legal Compliance” beginning on page 53 of this Information Statement.</w:t>
      </w:r>
    </w:p>
    <w:p>
      <w:pPr>
        <w:spacing w:after="0" w:line="256" w:lineRule="exact"/>
        <w:rPr>
          <w:sz w:val="20"/>
          <w:szCs w:val="20"/>
          <w:color w:val="auto"/>
        </w:rPr>
      </w:pPr>
    </w:p>
    <w:p>
      <w:pPr>
        <w:ind w:left="760" w:right="3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information technology systems, or those used by our third-party collaborators or other contractors or consultants, may fail or suffer security breaches or cyberattacks.</w:t>
      </w:r>
    </w:p>
    <w:p>
      <w:pPr>
        <w:spacing w:after="0" w:line="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personal, financial, and health information of patients and personal and financial information of our employees and contractors. It is critical that we do so in a secure manner to maintain the confidentiality and integrity of such confidential information.</w:t>
      </w:r>
    </w:p>
    <w:p>
      <w:pPr>
        <w:spacing w:after="0" w:line="165"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Despite the implementation of security and back-up measures, our information technology systems as well as those of our third-party collaborators, consultants, contractors, suppliers, and service providers, may be vulnerable to attack, damage, or interruption from physical or electronic break-ins, computer viruses, malware, malicious code, ransomware, denial or degradation of service, hacking, phishing attacks, and other cyber-attacks, natural disasters, terrorism, war, telecommunication and electrical failures, instructions and attacks from sophisticated nation-state and nation-state-supported actors (including advanced persistent threat intrusions), or other disruptive incidents that could result in unauthorized access to, use or disclosure of, corruption of, or loss of sensitive, and/ or proprietary data, including personal information, protected health information, and other sensitive information, and could subject us to significant liabilities and regulatory and enforcement actions, and reputational damage.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technology systems or data, the costs associated with the investigation, remediation, and potential notification of the breach to counter-parties and data subjects could be material, in addition to any money required to resolve a ransomware attack. For example, laws in the European Economic Area (“EEA”), the United Kingdom, and all 50 U.S. states may require businesses to notify regulators within specific timeframes that a breach affecting personal information has occurred and/or to provide notice to individuals whose personal information has been impacted as a result of such breach. Complying with such numerous and complex regulations in the event of a data security breach would be expensive and difficult, and failure to comply could subject us to regulatory scrutiny and additional liability. In addition, our remediation efforts may not be successful. Even if we do allocate and effectively manage the resources necessary to build and sustain the proper technology and cybersecurity infrastructure, we could nevertheless suffer significant business disruption, including transaction errors, supply chain or manufacturing interruptions, processing inefficiencies, data loss, or the loss of or damage to intellectual property or other proprietary information.</w:t>
      </w:r>
    </w:p>
    <w:p>
      <w:pPr>
        <w:spacing w:after="0" w:line="16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Companies with whom we engage in data sharing, including our service providers, are from time to time subject to cyberattacks and security incidents. While we do not believe that we have experienced any significant system failure, accident, or security breach to date, we may nonetheless be a target of such an attack, and if such an event were to occur and cause interruptions in our operations, or any of our third-party collaborators’ operations, it could result in a material disruption of our development programs, reputation, and business operations whether due to a loss, corruption, or unauthorized disclosure of our trade secrets, personal information, financial information, health information, or other proprietary or sensitive information, or other similar disruptions. For example, the loss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480"/>
          </w:cols>
          <w:pgMar w:left="320" w:top="419" w:right="10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15"/>
          <w:szCs w:val="15"/>
          <w:color w:val="auto"/>
        </w:rPr>
        <w:t>of clinical study data from completed or ongoing clinical studies could result in delays in any regulatory clearance, approval, or certification efforts and significantly increase our costs to recover or reproduce the data, and subsequently commercialize our products. If we or our third-party collaborators, consultants, contractors, suppliers, or service providers were to suffer an attack or breach, for example, that resulted in the unauthorized access to or use or disclosure of personal or health information, we may have to notify physicians, patients,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studies, and similar events relating to their computer systems could also have a material adverse effect on our business.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we could be exposed to the risk of litigation, our market position could be harmed, we could suffer reputational harm, and the development and commercialization of our products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or if there are material findings regarding data security or data integrity deficiencies by us or our critical partners, vendors, or suppliers.</w:t>
      </w:r>
    </w:p>
    <w:p>
      <w:pPr>
        <w:spacing w:after="0" w:line="34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Attacks 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sued for product or professional liability, we could face substantial liabilities that exceed our resources and insurance coverage.</w:t>
      </w:r>
    </w:p>
    <w:p>
      <w:pPr>
        <w:spacing w:after="0" w:line="106"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Actual or perceived errors resulting from laboratory or reporting errors, false positive or false negative test results, or the manufacture, design, marketing, or labeling of our products, could subject us to product liability or professional liability claims. A product liability or professional liability claim against us could result in substantial damages and be costly and time-consuming to defend. These risks may be more pronounced for certain applications in our precision oncology portfolio, such as companion diagnostic development, as our products would be directly involved with the choice to use certain treatments in a particular case. Although we maintain liability insurance, including for errors and omissions, our insurance may not fully protect us from the financial impact of defending against these types of claims or any judgments, fines, or settlement costs arising out of any such claims. Any liability claim brought against us, with or without merit, could increase our</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insurance rates or prevent us from securing insurance coverage in the future. Additionally, any liability lawsuit</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480"/>
          </w:cols>
          <w:pgMar w:left="320" w:top="419" w:right="10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78" w:lineRule="auto"/>
        <w:rPr>
          <w:sz w:val="20"/>
          <w:szCs w:val="20"/>
          <w:color w:val="auto"/>
        </w:rPr>
      </w:pPr>
      <w:r>
        <w:rPr>
          <w:rFonts w:ascii="Times New Roman" w:cs="Times New Roman" w:eastAsia="Times New Roman" w:hAnsi="Times New Roman"/>
          <w:sz w:val="16"/>
          <w:szCs w:val="16"/>
          <w:color w:val="auto"/>
        </w:rPr>
        <w:t>could damage our reputation or force us to suspend sales of our products. The occurrence of any of these events could have a material adverse effect on our business, financial condition, results of operations, and growth prospects.</w:t>
      </w:r>
    </w:p>
    <w:p>
      <w:pPr>
        <w:spacing w:after="0" w:line="236"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45"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We expect our results of operations to be subject to quarterly fluctuations. Our net loss and other operating results will be affected by numerous factors, including:</w:t>
      </w:r>
    </w:p>
    <w:p>
      <w:pPr>
        <w:spacing w:after="0" w:line="62" w:lineRule="exact"/>
        <w:rPr>
          <w:sz w:val="20"/>
          <w:szCs w:val="20"/>
          <w:color w:val="auto"/>
        </w:rPr>
      </w:pPr>
    </w:p>
    <w:p>
      <w:pPr>
        <w:ind w:left="1620" w:hanging="375"/>
        <w:spacing w:after="0" w:line="278" w:lineRule="auto"/>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develop, market, and sell our products, including Galleri and our future products, such as our precision oncology portfolio and DAC, if and when launched;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prices at which we are able to sell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market developments or our response thereto;</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our business due to manufacturing, supply, security breaches, outages, or other issues;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performing next-generation sequencing;</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deemed eligible or ineligible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coverage and reimbursement or in reimbursement-related laws directly affecting our business;</w:t>
      </w:r>
    </w:p>
    <w:p>
      <w:pPr>
        <w:spacing w:after="0" w:line="11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regulatory approval for our products, and the degree of impact of those approvals on perceptions of our products and market demand;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our products or any future competing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investments in our laboratories and other infrastructure;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expenditures in connection with our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international expansion efforts; and</w:t>
      </w:r>
    </w:p>
    <w:p>
      <w:pPr>
        <w:spacing w:after="0" w:line="113" w:lineRule="exact"/>
        <w:rPr>
          <w:rFonts w:ascii="Times New Roman" w:cs="Times New Roman" w:eastAsia="Times New Roman" w:hAnsi="Times New Roman"/>
          <w:sz w:val="16"/>
          <w:szCs w:val="16"/>
          <w:color w:val="auto"/>
        </w:rPr>
      </w:pPr>
    </w:p>
    <w:p>
      <w:pPr>
        <w:ind w:left="1620" w:right="760" w:hanging="375"/>
        <w:spacing w:after="0" w:line="278" w:lineRule="auto"/>
        <w:tabs>
          <w:tab w:leader="none" w:pos="162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non-routine cash and non-cash expenses and write-offs, whether associated with acquisitions, restructuring activities, litigation, investigations, or otherwise.</w:t>
      </w:r>
    </w:p>
    <w:p>
      <w:pPr>
        <w:spacing w:after="0" w:line="14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If our quarterly results of operations fall below the expectations of investors or securities analysts, the price of our common stock could decline substantially. Furthermore, any quarterly fluctuations in our results of operations, which could be caused by any number of factors including seasonality of prescribing our products, may, in turn, cause the price of our stock to fluctuate substantially. We believe that quarterly comparisons of our financial results are not necessarily meaningful and should not be relied upon as an indication of our future performance.</w:t>
      </w:r>
    </w:p>
    <w:p>
      <w:pPr>
        <w:spacing w:after="0" w:line="252"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Acquisitions or other strategic transactions may increase our capital requirements, dilute our stockholders, cause us to incur debt or assume contingent liabilities, and subject us to other risks.</w:t>
      </w:r>
    </w:p>
    <w:p>
      <w:pPr>
        <w:spacing w:after="0" w:line="45"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have in the past engaged in and may in the future engage in acquisitions and strategic partnerships, including licensing or acquiring complementary intellectual property rights, technologies, or businesses. Any acquisition or strategic partnership may entail numerous risks, including:</w:t>
      </w:r>
    </w:p>
    <w:p>
      <w:pPr>
        <w:spacing w:after="0" w:line="38" w:lineRule="exact"/>
        <w:rPr>
          <w:sz w:val="20"/>
          <w:szCs w:val="20"/>
          <w:color w:val="auto"/>
        </w:rPr>
      </w:pPr>
    </w:p>
    <w:p>
      <w:pPr>
        <w:ind w:left="1620" w:hanging="375"/>
        <w:spacing w:after="0"/>
        <w:tabs>
          <w:tab w:leader="none" w:pos="1620" w:val="left"/>
        </w:tabs>
        <w:numPr>
          <w:ilvl w:val="0"/>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indebtedness or contingent liabilities;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 that would result in dilution to our stockholders;</w:t>
      </w:r>
    </w:p>
    <w:p>
      <w:pPr>
        <w:spacing w:after="0" w:line="113" w:lineRule="exact"/>
        <w:rPr>
          <w:rFonts w:ascii="Times New Roman" w:cs="Times New Roman" w:eastAsia="Times New Roman" w:hAnsi="Times New Roman"/>
          <w:sz w:val="16"/>
          <w:szCs w:val="16"/>
          <w:color w:val="auto"/>
        </w:rPr>
      </w:pPr>
    </w:p>
    <w:p>
      <w:pPr>
        <w:ind w:left="5540" w:right="3340" w:hanging="4295"/>
        <w:spacing w:after="0" w:line="449" w:lineRule="auto"/>
        <w:tabs>
          <w:tab w:leader="none" w:pos="1621" w:val="left"/>
        </w:tabs>
        <w:numPr>
          <w:ilvl w:val="0"/>
          <w:numId w:val="3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assimilation of operations, intellectual property, and products of an acquired company; 52</w:t>
      </w:r>
    </w:p>
    <w:p>
      <w:pPr>
        <w:sectPr>
          <w:pgSz w:w="11900" w:h="16838" w:orient="portrait"/>
          <w:cols w:equalWidth="0" w:num="1">
            <w:col w:w="10460"/>
          </w:cols>
          <w:pgMar w:left="320" w:top="419" w:right="111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integrating new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product programs and initiatives in pursuing such an acquisition or strategic partnership;</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or future products and regulatory approvals or certifications, and the validity and enforceability of their intellectual property;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consummate acquisitions on which we spend a significant amount of time and resources;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intellectual property, technology, or tests sufficient to meet our objectives or offset the associated transaction costs.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as our strategy evolves, we may opt to discontinue, deprioritize, or dispose of assets, technologies, or acquired businesses.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Regulation and Legal Compliance</w:t>
      </w:r>
    </w:p>
    <w:p>
      <w:pPr>
        <w:spacing w:after="0" w:line="100" w:lineRule="exact"/>
        <w:rPr>
          <w:sz w:val="20"/>
          <w:szCs w:val="20"/>
          <w:color w:val="auto"/>
        </w:rPr>
      </w:pPr>
    </w:p>
    <w:p>
      <w:pPr>
        <w:ind w:left="760" w:right="3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have launched Galleri as an LDT, and plan to launch DAC as an LDT in the United States. If the FDA modifies its current policy of enforcement discretion on LDTs, as it has recently proposed through rulemaking, or if Congress enacts legislation that changes the current requirements or oversight for LDTs, we may lose the ability to commercialize any LDTs unless we have obtained FDA marketing authorization, which could require us to incur substantial costs and delays.</w:t>
      </w:r>
    </w:p>
    <w:p>
      <w:pPr>
        <w:spacing w:after="0" w:line="6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While we plan to complete our PMA submission seeking regulatory approval from the FDA for Galleri, we launched Galleri in the United States as an LDT and intend to initially launch DAC in the United States as an LDT. LDTs are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(“IVD”) tests that are intended for clinical use and are designed, manufactured, and used within a single laboratory certified for high complexity testing under CLIA. Although LDTs are classified by the FDA as medical devices and the FDA has asserted statutory authority to ensure that medical devices, including LDTs, are safe and effective for their intended uses, the FDA has historically exercised enforcement discretion and has not enforced certain otherwise applicable FDA requirements, including premarket review, with respect to LDTs, with certain exceptions such as in the case of tests for public health emergencies, where the tests are available directly to the consumer, where the tests represented a significant public health concern, or where the FDA has concerns that a company’s performance claims related to its tests are not sufficiently validated by clinical data.</w:t>
      </w:r>
    </w:p>
    <w:p>
      <w:pPr>
        <w:spacing w:after="0" w:line="168"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Even under its current enforcement discretion policy, the FDA has issued warning letters to and safety communications about IVD device manufacturers for commercializing laboratory tests that were purported to be LDTs but that the FDA alleged failed to meet the definition of an LDT or otherwise were not subject to the FDA’s enforcement discretion policy.</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FDA has for a number of years stated its intention to modify its enforcement discretion policy with respect to LDTs and impose applicable medical device requirements to LDTs more broadly. Most recently, the FDA proposed an amendment to its regulations in October 2023 that, if finalized, would clarify the FDA’s historical view that LDTs are medical devices subject to the requirements applicable to other IVDs, and to phase out its enforcement discretion policy over a period of four years from issuance of the final rule. If this proposed rule or a similar rule is finalized and goes into effect, it would subject our products currently marketed as LDTs and any future products that we may market as LDTs in the future to the FDA’s standard regulatory requirements applicable to medical devices, including the potential requirement for FDA approval. In such case, we may be required to cease marketing any products that we market as LDTs if we do not obtain marketing authorization, or have a market authorization pending with the FDA, prior to any relevant effective or enforcement date. In</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460"/>
          </w:cols>
          <w:pgMar w:left="320" w:top="419" w:right="111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313" w:lineRule="auto"/>
        <w:rPr>
          <w:sz w:val="20"/>
          <w:szCs w:val="20"/>
          <w:color w:val="auto"/>
        </w:rPr>
      </w:pPr>
      <w:r>
        <w:rPr>
          <w:rFonts w:ascii="Times New Roman" w:cs="Times New Roman" w:eastAsia="Times New Roman" w:hAnsi="Times New Roman"/>
          <w:sz w:val="15"/>
          <w:szCs w:val="15"/>
          <w:color w:val="auto"/>
        </w:rPr>
        <w:t>addition, efforts by the FDA to actively regulate LDTs could create a negative public perception about the validity, safety, effectiveness, or performance of LDTs, including our products, that could adversely affect patient, provider, and customer perception about, and confidence in, our products.</w:t>
      </w:r>
    </w:p>
    <w:p>
      <w:pPr>
        <w:spacing w:after="0" w:line="12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Moreover, even if the FDA does not finalize its proposed rule or otherwise modify its current policy of enforcement discretion, the FDA may disagree that we are marketing our LDTs within the scope of its policy of enforcement discretion and may take enforcement action against us and/or require premarket review and marketing authorizations. The FDA may request that we provide additional analyses and information beyond that which we intend to produce based on the designs of our current and planned clinical studies, or that we modify or narrow our intended use or product claims. In addition, the FDA may choose not to exercise enforcement discretion with respect to the products we market or intend to market as LDTs. It is possible that the FDA, among other things, may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we currently market as LDTs. A delay in the launch of our products, or significantly narrowing their intended uses, could negatively impact our financial condition and results of operations.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the VALID Act or any other or similar legislative proposals (including any proposals that would, in contrast, reduce FDA oversight of LDTs) will be passed by Congress or signed into law by the President. Depending on the approach adopted under any potential legislation,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w:t>
      </w:r>
    </w:p>
    <w:p>
      <w:pPr>
        <w:spacing w:after="0" w:line="168"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If the FDA changes its policy of enforcement discretion for LDTs as recently proposed, or because it withdraws its enforcement discretion for our specific products or for classes of products within which our products fall, or if LDTs become subject to affirmative FDA oversight through legislation, we may be required to obtain marketing authorization for our LDT products from the FDA prior to initially launching our future products or may be required to cease marketing any commercially marketed products that are marketed as LDTs until such marketing authorization is obtained or the applications are submitted. There can be no assurance that we will be able to obtain such marketing authorization or that any labeling claims will be consistent with the claims we have made or intend to make for such products when launched as LDTs, or that such claims will be adequate to support continued adoption of and reimbursement for our products. Even if our products are allowed to remain on the market prior to any required marketing authorization, demand or reimbursement for our products may decline if there is uncertainty about our products, if we are required by the FDA to label our products as investigational, or if the FDA limits the labeling claims we are permitted to make for our products. As a result, we could experience significantly increased development costs and a delay in generating additional revenue from our products, or from other future products now in development, which could reduce our revenues or increase our costs and adversely affect our business, results of operations, financial condition, or growth prospects.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420"/>
          </w:cols>
          <w:pgMar w:left="320" w:top="419" w:right="11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59"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have not yet obtained FDA clearance or approval for any of our products or products in development. We are in the process of seeking PMA approval from the FDA for Galleri, while we market Galleri as an LDT. We may also seek FDA approval or clearance for other products in the future, such as DAC.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applicable good clinical practice or other requirements related to research compliance, human subject 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w:t>
      </w:r>
    </w:p>
    <w:p>
      <w:pPr>
        <w:spacing w:after="0" w:line="174"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Before a new medical device can be marketed in the United States, a company must first submit an application for and receive 510(k) clearance pursuant to a premarket notification submitted under Section 510(k) of the FDCA, approval of a PMA application, or grant of a de novo classification request from the FDA, unless an exemption applies. In the 510(k) 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which we are pursuing for Galleri,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 In the de novo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170"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The PMA approval, 510(k) clearance and de novo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including if an Advisory Committee is needed to evaluate a novel technology, which could occur for the review of a PMA for Galleri. In addition, a PMA generally requires the performance of one or more clinical trials. Despite the time, effort and cost, a device may not obtain marketing authorization by the FDA. Any delay or failure to obtain</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480"/>
          </w:cols>
          <w:pgMar w:left="320" w:top="419" w:right="109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0"/>
        <w:spacing w:after="0" w:line="278" w:lineRule="auto"/>
        <w:rPr>
          <w:sz w:val="20"/>
          <w:szCs w:val="20"/>
          <w:color w:val="auto"/>
        </w:rPr>
      </w:pPr>
      <w:r>
        <w:rPr>
          <w:rFonts w:ascii="Times New Roman" w:cs="Times New Roman" w:eastAsia="Times New Roman" w:hAnsi="Times New Roman"/>
          <w:sz w:val="16"/>
          <w:szCs w:val="16"/>
          <w:color w:val="auto"/>
        </w:rPr>
        <w:t>necessary regulatory marketing authorizations could harm our business. Furthermore, even if we are granted such marketing authorizations, they may include significant limitations on the indicated uses for the test, which may limit the potential commercial market for the test.</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the United States, any modification to a product for which we receive clearance or approval may require us to submit a new 510(k) notification and obtain clearance, to submit a PMA and obtain FDA approval, or to submit a de novo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If we obtain clearances or approvals from the FDA, we may make modifications or add additional features in the future that we believe do not require a new 510(k) clearance, de novo request or approval of a PMA application or supplement.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166" w:lineRule="exact"/>
        <w:rPr>
          <w:sz w:val="20"/>
          <w:szCs w:val="20"/>
          <w:color w:val="auto"/>
        </w:rPr>
      </w:pPr>
    </w:p>
    <w:p>
      <w:pPr>
        <w:ind w:left="760" w:right="40" w:firstLine="388"/>
        <w:spacing w:after="0" w:line="249"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In Vitro Diagnostic Medical Devices Regulation (“EU IVDR”) entered into force, which repeals and replaces the EU In Vitro Diagnostic Medical Devices Directive (“EU IVDD”). Subject to the transitional provisions (i.e., a tiered system extending the grace period for many devices (depending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A conformity assessment procedure generally requires the intervention of a notified body. The notified body would typically audit and examine the technical file and the</w:t>
      </w:r>
    </w:p>
    <w:p>
      <w:pPr>
        <w:spacing w:after="0" w:line="10" w:lineRule="exact"/>
        <w:rPr>
          <w:sz w:val="20"/>
          <w:szCs w:val="20"/>
          <w:color w:val="auto"/>
        </w:rPr>
      </w:pPr>
    </w:p>
    <w:p>
      <w:pPr>
        <w:ind w:left="760" w:right="60"/>
        <w:spacing w:after="0" w:line="277" w:lineRule="auto"/>
        <w:rPr>
          <w:sz w:val="20"/>
          <w:szCs w:val="20"/>
          <w:color w:val="auto"/>
        </w:rPr>
      </w:pPr>
      <w:r>
        <w:rPr>
          <w:rFonts w:ascii="Times New Roman" w:cs="Times New Roman" w:eastAsia="Times New Roman" w:hAnsi="Times New Roman"/>
          <w:sz w:val="15"/>
          <w:szCs w:val="15"/>
          <w:color w:val="auto"/>
        </w:rPr>
        <w:t>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47" w:lineRule="exact"/>
        <w:rPr>
          <w:sz w:val="20"/>
          <w:szCs w:val="20"/>
          <w:color w:val="auto"/>
        </w:rPr>
      </w:pPr>
    </w:p>
    <w:p>
      <w:pPr>
        <w:jc w:val="both"/>
        <w:ind w:left="760" w:right="40" w:firstLine="388"/>
        <w:spacing w:after="0" w:line="289" w:lineRule="auto"/>
        <w:rPr>
          <w:sz w:val="20"/>
          <w:szCs w:val="20"/>
          <w:color w:val="auto"/>
        </w:rPr>
      </w:pPr>
      <w:r>
        <w:rPr>
          <w:rFonts w:ascii="Times New Roman" w:cs="Times New Roman" w:eastAsia="Times New Roman" w:hAnsi="Times New Roman"/>
          <w:sz w:val="15"/>
          <w:szCs w:val="15"/>
          <w:color w:val="auto"/>
        </w:rPr>
        <w:t>If we fail to comply with applicable laws and regulations, we would be unable to affix the CE mark to our products, which would prevent us from selling them within the EU. The aforementioned EU rules are generally applicable in the EEA (which consists of the 27 EU member states plus Iceland, Norway and Liechtenstein). Non-compliance with the above requirements would also prevent us from selling our products in these three countries.</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460"/>
          </w:cols>
          <w:pgMar w:left="320" w:top="419" w:right="111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Following Brexit, EU laws such as the EU IVDR do not apply directly in Great Britain, however under the terms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Furthermore, the U.K. government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U.K. Approved Body in order to be lawfully placed on the market. The U.K. government has stated that the core elements of the new regime are likely to apply from July 1, 2025 but that IVDs in compliance with either the EU IVDD or EU IVDR can continue to be placed on the Great Britain market until the sooner of certificate expiration or June 30, 2030; understanding and ensuring compliance with any new requirements is likely to lead to further complexity and increased costs to our business. If there is insufficient U.K. approved body capacity, there is a risk that our product certification could be delayed which might impact our ability to market products in Great Britain after the respective transition periods.</w:t>
      </w:r>
    </w:p>
    <w:p>
      <w:pPr>
        <w:spacing w:after="0" w:line="168" w:lineRule="exact"/>
        <w:rPr>
          <w:sz w:val="20"/>
          <w:szCs w:val="20"/>
          <w:color w:val="auto"/>
        </w:rPr>
      </w:pPr>
    </w:p>
    <w:p>
      <w:pPr>
        <w:jc w:val="both"/>
        <w:ind w:left="760" w:right="200" w:firstLine="388"/>
        <w:spacing w:after="0" w:line="289" w:lineRule="auto"/>
        <w:rPr>
          <w:sz w:val="20"/>
          <w:szCs w:val="20"/>
          <w:color w:val="auto"/>
        </w:rPr>
      </w:pPr>
      <w:r>
        <w:rPr>
          <w:rFonts w:ascii="Times New Roman" w:cs="Times New Roman" w:eastAsia="Times New Roman" w:hAnsi="Times New Roman"/>
          <w:sz w:val="15"/>
          <w:szCs w:val="15"/>
          <w:color w:val="auto"/>
        </w:rPr>
        <w:t>It is currently unclear to what extent the U.K. government will seek to align its regulations with the EU. The EU laws that have been transposed into U.K. law through secondary legislation remain applicable in Great Britain, however the U.K. government is expected to introduce changes to the applicable requirements in Great Britain and the full extent of these changes remains uncertain and may cause additional cost to our business.</w:t>
      </w:r>
    </w:p>
    <w:p>
      <w:pPr>
        <w:spacing w:after="0" w:line="138"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Significant political and economic uncertainty remains about how much the relationship between the United Kingdom and EU will differ as a result of the U.K.’s withdrawal. These developments, or the perception that any related developments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165"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FDA, other regulators or notified bodies can delay, limit, or deny clearance, approval, or certification of a product for many reasons, including but not limited to the following:</w:t>
      </w:r>
    </w:p>
    <w:p>
      <w:pPr>
        <w:spacing w:after="0" w:line="62" w:lineRule="exact"/>
        <w:rPr>
          <w:sz w:val="20"/>
          <w:szCs w:val="20"/>
          <w:color w:val="auto"/>
        </w:rPr>
      </w:pPr>
    </w:p>
    <w:p>
      <w:pPr>
        <w:ind w:left="1620" w:right="420" w:hanging="375"/>
        <w:spacing w:after="0" w:line="278" w:lineRule="auto"/>
        <w:tabs>
          <w:tab w:leader="none" w:pos="162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the design, implementation, or results of, or interpretation of the data from, our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63" w:lineRule="auto"/>
        <w:tabs>
          <w:tab w:leader="none" w:pos="162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w:t>
      </w:r>
    </w:p>
    <w:p>
      <w:pPr>
        <w:spacing w:after="0" w:line="73" w:lineRule="exact"/>
        <w:rPr>
          <w:rFonts w:ascii="Times New Roman" w:cs="Times New Roman" w:eastAsia="Times New Roman" w:hAnsi="Times New Roman"/>
          <w:sz w:val="16"/>
          <w:szCs w:val="16"/>
          <w:color w:val="auto"/>
        </w:rPr>
      </w:pPr>
    </w:p>
    <w:p>
      <w:pPr>
        <w:ind w:left="1620" w:right="440" w:hanging="375"/>
        <w:spacing w:after="0" w:line="313" w:lineRule="auto"/>
        <w:tabs>
          <w:tab w:leader="none" w:pos="1620" w:val="left"/>
        </w:tabs>
        <w:numPr>
          <w:ilvl w:val="0"/>
          <w:numId w:val="3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population studied in the clinical program may not be sufficiently broad, generalizable, or representative of the intended target population of our product to assure effectiveness and safety in the population for which we seek approval, clearance, or certification;</w:t>
      </w:r>
    </w:p>
    <w:p>
      <w:pPr>
        <w:spacing w:after="0" w:line="37" w:lineRule="exact"/>
        <w:rPr>
          <w:rFonts w:ascii="Times New Roman" w:cs="Times New Roman" w:eastAsia="Times New Roman" w:hAnsi="Times New Roman"/>
          <w:sz w:val="15"/>
          <w:szCs w:val="15"/>
          <w:color w:val="auto"/>
        </w:rPr>
      </w:pPr>
    </w:p>
    <w:p>
      <w:pPr>
        <w:ind w:left="1620" w:right="100" w:hanging="375"/>
        <w:spacing w:after="0" w:line="278" w:lineRule="auto"/>
        <w:tabs>
          <w:tab w:leader="none" w:pos="162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our interpretation of data from clinical studies or may fail to accept data from clinical studies (or clinical sites), including if we fail to establish the integrity of our data;</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clinical studies otherwise fail to comply with applicable regulations, including good clinical practice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serious or unexpected adverse effects or other performance issues are identified with our existing or future products;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480"/>
          </w:cols>
          <w:pgMar w:left="320" w:top="419" w:right="10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340" w:hanging="375"/>
        <w:spacing w:after="0" w:line="278" w:lineRule="auto"/>
        <w:tabs>
          <w:tab w:leader="none" w:pos="162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manufacturing or quality system fails to comply with applicable regulations or otherwise fails to meet the standards necessary to support approval or certification;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(or certification) policies or regulations of the FDA or comparable foreign regulatory authorities may significantly change in a manner rendering our clinical data insufficient for approval or certification.</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are engaged in ongoing discussions with the FDA regarding the clinical studies and data that will be needed to support a successful PMA for a multi-cancer test for our planned indications, based on the designs of our current and planned clinical studies. 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payors,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w:t>
      </w:r>
    </w:p>
    <w:p>
      <w:pPr>
        <w:spacing w:after="0" w:line="261" w:lineRule="exact"/>
        <w:rPr>
          <w:sz w:val="20"/>
          <w:szCs w:val="20"/>
          <w:color w:val="auto"/>
        </w:rPr>
      </w:pPr>
    </w:p>
    <w:p>
      <w:pPr>
        <w:ind w:left="760" w:right="14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Regulatory approval by the FDA or other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6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We must comply with requirements concerning advertising and promotion for any product candidates for which we obtain marketing approval from the FDA. When the FDA or other regulatory authorities issue regulatory approval for a product, the regulatory approval is limited to those specific uses and indications for which a product is approved.</w:t>
      </w:r>
    </w:p>
    <w:p>
      <w:pPr>
        <w:spacing w:after="0" w:line="157"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There can be no assurance that labeling claims will be consistent with our anticipated claims or current claims or marketing statements, including with respect to Galleri as an LDT and its current marketing as an MCED test in its intended use population, or adequate to support adoption of, or reimbursement for, our products. If the approved, cleared, or certified indication or other labeling claims the FDA or a comparable foreign regulatory authority or notified body allows us to make are more limited than we expect, or are more limited than current claims made with respect to Galleri, our business, prospects, and growth may be adversely affected and we may be limited in our ability to sell, or unable to sell, our products. If we are not able to obtain FDA approval for desired uses or indications for our current and future products, we may not market or promote them for those indications and uses, and our business, financial condition, results of operations, stock price and prospects could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480"/>
          </w:cols>
          <w:pgMar w:left="320" w:top="419" w:right="10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4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6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multi-cancer detection tests represent a new approach to cancer screening, and obtaining FDA approval for Galleri presents a number of novel issues. The FDA has never granted marketing authorization for a multi-cancer detection test. Additionally, in March 2020, the FDA held a public workshop to discuss the clinical, scientific, and regulatory challenges associated with circulating tumor DNA cancer screening tests, and we expect the FDA to continue to gather input from a variety of industry, academic, and clinical stakeholders to inform its thinking on how to assess these types of tests, including potentially convening an Advisory Committee meeting during review of a PMA for Galleri (or another company’s PMA for a multi-cancer early detection test, should it precede ours). In fact, the FDA recently announced a November 29, 2023 meeting of the Molecular and Clinical Genetics Panel of the Medical Devices Advisory Committee to discuss and make recommendations on the design of multi-cancer detection in vitro diagnostic devices (tests) as well as potential study designs and study outcomes of interest that could inform the assessment of the probable benefits and risks of multi-cancer detection screening tests. The FDA stated that the committee’s discussion and recommendations from this meeting will help inform future FDA regulatory efforts for these novel tests. As such, the FDA requirements that will govern multi-cancer detection tests, as well as the breadth and nature of data we must provide the FDA, to support the proposed intended use, may be subject to change.</w:t>
      </w:r>
    </w:p>
    <w:p>
      <w:pPr>
        <w:spacing w:after="0" w:line="168" w:lineRule="exact"/>
        <w:rPr>
          <w:sz w:val="20"/>
          <w:szCs w:val="20"/>
          <w:color w:val="auto"/>
        </w:rPr>
      </w:pPr>
    </w:p>
    <w:p>
      <w:pPr>
        <w:jc w:val="both"/>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As part of our ongoing discussions with the FDA regarding the data that will be needed to support a PMA for a multi-cancer detection test based on a proposed intended use, the FDA has provided feedback regarding how it plans to assess the safety and effectiveness of our new version of Galleri based on potential intended use statements. While we plan to continue discussions with the FDA and provide the FDA with additional information, the FDA may raise additional questions or request additional information in connection with the submission of a marketing application.</w:t>
      </w:r>
    </w:p>
    <w:p>
      <w:pPr>
        <w:spacing w:after="0" w:line="161"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Given the novel nature and complexity of our multi-cancer detection tests, we cannot be certain whether we will receive FDA approval for Galleri and whether the studies we have conducted, are currently conducting, or plan to conduct, will be sufficient to provide the data that the FDA requires to support a proposed intended use. For example, we plan on providing evidence from our PATHFINDER 2 study and NHS-Galleri Trial premarket to support a PMA as our pivotal study data, as well as supplemental data from other clinical studies, and certain clinical data in the post-approval setting. The FDA may require us to perform new analyses of our clinical data or perform additional clinical trials in addition to those we are contemplating. We may be required to undertake significant efforts to address the FDA’s requests, which could delay or prevent approval, lead to a more limited intended use statement or approved labeling, and/or lead to significant post-approval limitations or restrictions, if approval is obtained at all.</w:t>
      </w:r>
    </w:p>
    <w:p>
      <w:pPr>
        <w:spacing w:after="0" w:line="241" w:lineRule="exact"/>
        <w:rPr>
          <w:sz w:val="20"/>
          <w:szCs w:val="20"/>
          <w:color w:val="auto"/>
        </w:rPr>
      </w:pPr>
    </w:p>
    <w:p>
      <w:pPr>
        <w:ind w:left="76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Our use and disclosure of personal information, including individually identifiable health information, and biologic samples and related data are subject to federal, state and foreign privacy and security regulations. Data privacy rules are evolving and new legislation concerning privacy and data use may limit our ability to use such data and specimens. Our actual or perceived failure to comply with privacy and security requirements or to adequately secure such information could result in significant liability, administrative or governmental penalties, and/or reputational harm and, in turn, substantial harm to our business, financial condition and results of operations.</w:t>
      </w:r>
    </w:p>
    <w:p>
      <w:pPr>
        <w:spacing w:after="0" w:line="66"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The global data protection landscape is rapidly evolving and we and our partners are or may be subject to federal, state, and foreign data protection laws and regulations (i.e., laws and regulations that address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460"/>
          </w:cols>
          <w:pgMar w:left="320" w:top="418" w:right="111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6"/>
          <w:szCs w:val="16"/>
          <w:color w:val="auto"/>
        </w:rPr>
        <w:t>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consents and authorizations, our internal or publicly facing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65" w:lineRule="exact"/>
        <w:rPr>
          <w:sz w:val="20"/>
          <w:szCs w:val="20"/>
          <w:color w:val="auto"/>
        </w:rPr>
      </w:pPr>
    </w:p>
    <w:p>
      <w:pPr>
        <w:ind w:left="760" w:right="120" w:firstLine="388"/>
        <w:spacing w:after="0" w:line="251" w:lineRule="auto"/>
        <w:rPr>
          <w:sz w:val="20"/>
          <w:szCs w:val="20"/>
          <w:color w:val="auto"/>
        </w:rPr>
      </w:pPr>
      <w:r>
        <w:rPr>
          <w:rFonts w:ascii="Times New Roman" w:cs="Times New Roman" w:eastAsia="Times New Roman" w:hAnsi="Times New Roman"/>
          <w:sz w:val="16"/>
          <w:szCs w:val="16"/>
          <w:color w:val="auto"/>
        </w:rPr>
        <w:t>We receive, store, process and use personal information as part of our business and as our operations and business grow, we may become subject to or affected by new or additional data protection laws and regulations and face increased scrutiny or attention from regulatory authorities. In the United States, numerous state and federal laws and regulations govern the collection, dissemination, use, disclosure, privacy, confidentiality, security, availability and integrity of personal information, including health related information. We are a covered entity under the Health Insurance Portability and Accountability Act of 1996, as amended by the Health Information Technology for Economic and Clinical Health Act, and the regulations that implement both laws (collectively, “HIPAA”). HIPAA establishes, among other things, a set of national privacy and security standards relating to the privacy, security, transmission, and breach reporting of individually identifiable health information, by health plans, healthcare clearinghouses and certain healthcare providers, referred to as covered entities, the business associates with whom such covered entities contract for services that involve creating, receiving, maintaining, or transmitting protected health information, and the subcontractors of such business associates. In addition, we may obtain health information from third parties (including research institutions from which we obtain clinical trial data) that are subject to privacy and security requirements under HIPAA.</w:t>
      </w:r>
    </w:p>
    <w:p>
      <w:pPr>
        <w:spacing w:after="0" w:line="16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HIPAA requires covered entities and business associates to develop and maintain policies with respect to the protection of, use and disclosure of protected health information (“PHI”), including the adoption of administrative, physical and technical safeguards to protect such information, and certain notification requirements in the event of a breach of unsecured PHI. 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66"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Certain states have also adopted comparable privacy and security laws and regulations which govern the privacy, processing and protection of health-related and other personal information, such as the California Confidentiality of Medical Information Act; these laws are not preempted by HIPAA to the extent that they are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460"/>
          </w:cols>
          <w:pgMar w:left="320" w:top="419" w:right="111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51" w:lineRule="auto"/>
        <w:rPr>
          <w:sz w:val="20"/>
          <w:szCs w:val="20"/>
          <w:color w:val="auto"/>
        </w:rPr>
      </w:pPr>
      <w:r>
        <w:rPr>
          <w:rFonts w:ascii="Times New Roman" w:cs="Times New Roman" w:eastAsia="Times New Roman" w:hAnsi="Times New Roman"/>
          <w:sz w:val="16"/>
          <w:szCs w:val="16"/>
          <w:color w:val="auto"/>
        </w:rPr>
        <w:t>effect on January 1, 2020, creates individual privacy rights for California consumers and increases privacy and security obligations on entities handling certain personal information. The CCPA provides for fines and penalties for violations, as well as a private right of action for data breaches that is expected to increase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Although there are limited exemptions for certain health-related data, including clinical trial data and protected health information subject to HIPAA, the CCPA (including as amended by CPRA) may increase our compliance costs and potential liability. Other states have passed or are considering similar privacy laws and the federal government may seek to enact a similar federal privacy law, reflecting a trend toward more stringent privacy legislation in the United States.</w:t>
      </w:r>
    </w:p>
    <w:p>
      <w:pPr>
        <w:spacing w:after="0" w:line="168"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We also expect that there will continue to be new laws, regulations and industry standards concerning privacy, data protection and information security proposed and enacted in various jurisdictions. For example, Washington State has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enactment of such laws could have potentially conflicting requirements that would make compliance challenging. We could be adversely affected if HIPAA, the CCPA (including as amended by CPRA) and other state or federal legislation or regulations applicable to GRAIL require changes in our business practices, our use, receipt, or transfer of health information, or our privacy policies, or if governing jurisdictions interpret or implement their legislation or regulations in ways that negatively affect our business, financial condition and results of operations.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Federal Trade Commission Act (“FTC Act”). Even when HIPAA does not apply, according to the FTC, violating consumers’ privacy rights or failing to take appropriate steps to keep consumers’ personal information secure may constitute unfair acts or practices in or affecting commerce in violation of the FTC Act. The FTC also expects a company’s data security measures to be reasonable and appropriate in light of the sensitivity and volume of consumer information it holds, the size and complexity of its business, and the cost of available tools to improve security and reduce vulnerabilities. Personal health information is considered sensitive data that merits stronger safeguards.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strive to comply with applicable laws, regulations, policies and other legal obligations relating to privacy, data protection and information security. However, the various regulatory frameworks for privacy and data protection are, and are likely to remain, uncertain for the foreseeable future, and it is possible that these or other actual or alleged obligations may be interpreted and applied in a manner that is inconsistent from one jurisdiction to another and may conflict with other rules and subject our business practices to uncertainty.</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480"/>
          </w:cols>
          <w:pgMar w:left="320" w:top="419" w:right="10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In addition, the actual or perceived compromise of, lax oversight of, irresponsible or unauthorized use of, or unauthorized access to or release of, patient data or information by GRAIL, our partners, suppliers, contractors, consultants, or vendors, could erode provider, patient, and customer confidence, which could impact our business, financial condition, and results of operation.</w:t>
      </w:r>
    </w:p>
    <w:p>
      <w:pPr>
        <w:spacing w:after="0" w:line="157"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seek to utilize biological samples and data from participants in accordance with applicable law, IRB stipulations, and participant permissions (through consent forms and HIPAA authorizations). If we are unable or significantly restricted in using participant samples and data for secondary research purposes, our ability to develop additional products and/or improve or refine existing products will be limited, which may impact our business and prospects.</w:t>
      </w:r>
    </w:p>
    <w:p>
      <w:pPr>
        <w:spacing w:after="0" w:line="16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we are or may in the future be subject to a range of laws, regulations, and industry standards concerning privacy, data protection, and information security proposed and enacted in various foreign jurisdictions. In Europe, we are subject to the United Kingdom General Data Protection Regulation and the Data Protection Act 2018 (“UK GDPR”) and the EU General Data Protection Regulation (“EU GDPR”) (the UK GDPR and EU GDPR together referred to as the “GDPR”). The GDPR imposes a comprehensive data privacy compliance regime including: maintaining a record of data processing; providing detailed disclosures about how personal information is collected and processed (in a concise, intelligible and easily accessible form); demonstrating that appropriate legal bases are in place to justify data processing activities; complying with rights for data subjects in regard to their personal information (including data access, erasure (the right to be “forgotten”) and portability); ensuring appropriate safeguards are in place where personal information is transferred out of the EEA and the UK; and complying with the principal of accountability and the obligation to demonstrate compliance through policies, procedures, training and audit. The applicability of the specific requirements depends on whether an organization acts as controller or processor.</w:t>
      </w:r>
    </w:p>
    <w:p>
      <w:pPr>
        <w:spacing w:after="0" w:line="170"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Some of the personal information we process, for example in respect of clinical trial participants, is special category data under the GDPR, and subject to additional compliance obligations and to local law derogations. We may be subject to diverging requirements under national UK laws and EU member state laws, such as the legal basis we can rely on when processing health data of clinical trial participants as controller or the roles, responsibilities and liabilities as between CROs. As these laws develop, we may need to make operational changes to adapt to these diverging rules, which could increase our costs and adversely affect our business. Further, the regulatory landscape of data and digital laws in the UK and EU is under constant development, and in the future we may be required to adapt our processes, or change the way we engage with health data (for example, if proposed legislation such as the Data Governance Act and the Data Act is enacted and applies to our operations).</w:t>
      </w:r>
    </w:p>
    <w:p>
      <w:pPr>
        <w:spacing w:after="0" w:line="166"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Among other requirements, the GDPR regulates the transfer of personal information outside of the EEA and the UK. Case law from the Court of Justice of the European Union (“CJEU”)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United States entities self-certified under the DPF. On October 12, 2023, the UK Extension to the DPF came into effect (as approved by the UK Government), as a UK GDPR data transfer mechanism to United States entities self-certified under the UK Extension to the DPF. We currently rely on the EU standard contractual clauses, the UK Addendum to the EU standard contractual clauses, and the UK International Data Transfer Agreement, as relevant, to transfer personal information outside the EEA and the UK, including to the United States, with respect to both intragroup and third-party transfers. We expect the existing legal complexity and uncertainty regarding international transfers of</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460"/>
          </w:cols>
          <w:pgMar w:left="320" w:top="419" w:right="111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personal information to continue. In particular, we expect the DPF Adequacy Decision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certain operational changes, including to implement other/revised relevant documentation for data transfers within required time frames; and/or it could otherwise affect the manner in which we provide our services, and could adversely affect our business, operations and financial condition.</w:t>
      </w:r>
    </w:p>
    <w:p>
      <w:pPr>
        <w:spacing w:after="0" w:line="165" w:lineRule="exact"/>
        <w:rPr>
          <w:sz w:val="20"/>
          <w:szCs w:val="20"/>
          <w:color w:val="auto"/>
        </w:rPr>
      </w:pPr>
    </w:p>
    <w:p>
      <w:pPr>
        <w:ind w:left="760" w:right="40" w:firstLine="388"/>
        <w:spacing w:after="0" w:line="274" w:lineRule="auto"/>
        <w:rPr>
          <w:sz w:val="20"/>
          <w:szCs w:val="20"/>
          <w:color w:val="auto"/>
        </w:rPr>
      </w:pPr>
      <w:r>
        <w:rPr>
          <w:rFonts w:ascii="Times New Roman" w:cs="Times New Roman" w:eastAsia="Times New Roman" w:hAnsi="Times New Roman"/>
          <w:sz w:val="15"/>
          <w:szCs w:val="15"/>
          <w:color w:val="auto"/>
        </w:rPr>
        <w:t>Penalties and fines for failure to comply with the GDPR are significant, including fines of up to €20 million/£17.5 million or 4% of a noncompliant company’s global turnover for the preceding year, whichever is higher. Since we are subject to the supervision of relevant data protection authorities under both the UK GDPR and the EU GDPR, we could be fined under each of those regimes independently in respect of the same non-compliance. As we continue to expand into other foreign countries and jurisdictions, we may be subject to additional laws and regulations that may affect how we conduct business. Noncompliance with applicable foreign privacy laws, such as the GDPR, would also adversely affect public perception of GRAIL’s data stewardship practices and policies, which could impair our business and prospects with other foreign health systems and governments.</w:t>
      </w:r>
    </w:p>
    <w:p>
      <w:pPr>
        <w:spacing w:after="0" w:line="242"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our partners fail to comply with federal, state, and foreign laboratory and other applicable licensing and registration requirements, we could be prevented from performing our tests or experience disruptions to our business.</w:t>
      </w:r>
    </w:p>
    <w:p>
      <w:pPr>
        <w:spacing w:after="0" w:line="4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CLIA is a federal law that regulates clinical laboratories that perform testing on specimens derived from humans for the purpose of providing information for the diagnosis, prevention, or treatment of disease, or impairment of, or the assessment of the health of, human beings. CLIA regulations require, among other things, clinical laboratories to obtain a certificate and mandate specific standards in the areas of personnel qualifications, administration, participation in proficiency testing, test management, and quality assurance. CLIA certification is also required for us to be eligible to bill state and federal healthcare programs, if such reimbursement is otherwise available, as well as many private third-party payors, for our products. To renew these certifications, we are and will be subject to routine surveys and inspections. Moreover, CLIA inspectors may make random or “for cause” inspections of our clinical laboratories.</w:t>
      </w:r>
    </w:p>
    <w:p>
      <w:pPr>
        <w:spacing w:after="0" w:line="16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hold CLIA certificates from CMS for our laboratories in Menlo Park, California and Durham, North Carolina to conduct high complexity testing, subject to inspection to determine compliance with the CLIA regulations. We also hold CAP accreditations for our Menlo Park and Durham facilities. While we have completed validation studies for the version of Galleri currently marketed as an LDT, we are continuing our validation efforts for the version of Galleri that we intend to submit for PMA approval. We may not successfully complete such validation. Certain product additions to our test menu require notification to the regulatory and accrediting bodies that regulate our laboratories (e.g., CMS, the California Department of Public Health Laboratory Field Services (“CALFS”) and CAP) that we are adding a new specialty to our assay offerings. At their discretion, any regulatory or accrediting body may come on-site to inspect our laboratories at any time. Any failure to pass inspections, maintain our CLIA certificates, CAP accreditation, or state licenses, or add new validated products to our laboratory assay offerings could significantly harm our business, results of operations, and prospects.</w:t>
      </w:r>
    </w:p>
    <w:p>
      <w:pPr>
        <w:spacing w:after="0" w:line="165" w:lineRule="exact"/>
        <w:rPr>
          <w:sz w:val="20"/>
          <w:szCs w:val="20"/>
          <w:color w:val="auto"/>
        </w:rPr>
      </w:pPr>
    </w:p>
    <w:p>
      <w:pPr>
        <w:ind w:left="760" w:right="80" w:firstLine="388"/>
        <w:spacing w:after="0" w:line="274" w:lineRule="auto"/>
        <w:rPr>
          <w:sz w:val="20"/>
          <w:szCs w:val="20"/>
          <w:color w:val="auto"/>
        </w:rPr>
      </w:pPr>
      <w:r>
        <w:rPr>
          <w:rFonts w:ascii="Times New Roman" w:cs="Times New Roman" w:eastAsia="Times New Roman" w:hAnsi="Times New Roman"/>
          <w:sz w:val="15"/>
          <w:szCs w:val="15"/>
          <w:color w:val="auto"/>
        </w:rPr>
        <w:t>In addition to obtaining federal certification for a laboratory under CLIA, we are also required to obtain and maintain state licenses to conduct testing in our laboratories. We have obtained a Clinical Laboratory Certificate of Deemed Status from the State of California Department of Public Health for our Menlo Park facility. The California licensure law establishes standards for the day-to-day operation of a clinical laboratory, including the training and skills required of personnel and quality control. In addition, California law mandates proficiency testing, which involves testing of specimens that have been specifically prepared for the laboratory. Further, if we test specimens originating from other states and return patient-specific results, our clinical laboratory must satisfy such states’ licensure laws as well to the extent that such laws regulate out-of-state laboratories that test</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460"/>
          </w:cols>
          <w:pgMar w:left="320" w:top="419" w:right="111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1" w:lineRule="auto"/>
        <w:rPr>
          <w:sz w:val="20"/>
          <w:szCs w:val="20"/>
          <w:color w:val="auto"/>
        </w:rPr>
      </w:pPr>
      <w:r>
        <w:rPr>
          <w:rFonts w:ascii="Times New Roman" w:cs="Times New Roman" w:eastAsia="Times New Roman" w:hAnsi="Times New Roman"/>
          <w:sz w:val="16"/>
          <w:szCs w:val="16"/>
          <w:color w:val="auto"/>
        </w:rPr>
        <w:t>specimens originating in such states. For example, to be able to receive specimens originating from New York, we must maintain a New York State Department of Health clinical laboratory permit and obtain approval of Galleri, which we achieved. Research testing, however, does not require licensure if patient-specific results are not generated and/or returned for diagnostic purposes. We have obtained New York State Department of Health clinical laboratory permits for our Menlo Park facility and our Durham facility, which authorize us to accept and generate for diagnosis or treatment purposes patient-specific results on specimens originating from New York at the applicable facility, as well as having obtained New York State Department of Health approval to offer Galleri to residents of the State of New York. Applicable New York laws and regulations establish standards for day-to-day operation of a clinical laboratory, including training and skill levels required of laboratory personnel, physical requirements of a facility, equipment, and validation and quality control. There can be no assurance that we will be able to maintain New York clinical laboratory permits or approval of Galleri, or maintain licenses or permits from any other states where we are required to be licensed or hold a permit. Failure to maintain such licenses or permits could expose us to fines and other penalties, or limit our potential testing population.</w:t>
      </w:r>
    </w:p>
    <w:p>
      <w:pPr>
        <w:spacing w:after="0" w:line="170"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In connection with CLIA certification and state laboratory licensing and permitting, we remain subject to a number of risks in the event of noncompliance. Any sanction imposed under CLIA, its implementing regulations, or state or foreign laws or regulations governing licensure or permitting, or our failure to renew or maintain a CLIA certificate, a state license or permit, or accreditation (including CAP), could have a material adverse effect on our business and reputation as certain actions are public. CMS also has the authority to impose a wide range of sanctions, including suspension, limitation, or revocation of the CLIA certification, termination of Medicare and Medicaid participation, civil money penalties, and a bar on the ownership or operation of a CLIA-certified laboratory by any owners or operators of the deficient laboratory. If we fail to obtain any required state licensure, or lose CLIA certification, CAP accreditation, or licensure, we would not be able to operate our clinical laboratories and offer our products in full or in particular states, which would adversely impact our business and results of operations. Even if we were able to bring our laboratory back into compliance, we could incur significant expenses and potentially lose revenue in doing so.</w:t>
      </w:r>
    </w:p>
    <w:p>
      <w:pPr>
        <w:spacing w:after="0" w:line="165"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In addition to state laboratory licensing laws, we may also be subject to state registration and/or licensing requirements that apply to companies that manufacture medical devices. Certain states require such registrations or licenses before the products are commercialized, including while manufacturers are evaluating the devices in clinical studies. Violations of these laws may result in the denial, suspension, or revocation of the registration or license, as well as other fines and penalties, including imprisonment.</w:t>
      </w:r>
    </w:p>
    <w:p>
      <w:pPr>
        <w:spacing w:after="0" w:line="252"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Data from our clinical trials that we announce or publish from time to time before our trials are complete may change as more patient data become available and are subject to audit and verification procedures that could result in material changes in the final data.</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may publicly disclose preliminary or topline data from our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Audits, internal or external, including by the FDA’s Bioresearch Monitoring (“BIMO”) program, of our studies or associated data, can require substantial amounts of time, personnel, and other resources to comply with, and may not be anticipated.</w:t>
      </w:r>
    </w:p>
    <w:p>
      <w:pPr>
        <w:spacing w:after="0" w:line="165" w:lineRule="exact"/>
        <w:rPr>
          <w:sz w:val="20"/>
          <w:szCs w:val="20"/>
          <w:color w:val="auto"/>
        </w:rPr>
      </w:pPr>
    </w:p>
    <w:p>
      <w:pPr>
        <w:jc w:val="both"/>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From time to time, we may also disclose interim data from our clinical studies. Interim data from these studies that we may complete are subject to the risk that one or more of the clinical outcomes may materially change as subject enrollment continues and more data become available. Adverse differences between interim</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460"/>
          </w:cols>
          <w:pgMar w:left="320" w:top="419" w:right="111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78" w:lineRule="auto"/>
        <w:rPr>
          <w:sz w:val="20"/>
          <w:szCs w:val="20"/>
          <w:color w:val="auto"/>
        </w:rPr>
      </w:pPr>
      <w:r>
        <w:rPr>
          <w:rFonts w:ascii="Times New Roman" w:cs="Times New Roman" w:eastAsia="Times New Roman" w:hAnsi="Times New Roman"/>
          <w:sz w:val="16"/>
          <w:szCs w:val="16"/>
          <w:color w:val="auto"/>
        </w:rPr>
        <w:t>data and top-line, preliminary, or final data could significantly harm our business prospects. Further, disclosure of interim data by us or by third parties could result in volatility in the price of our common stock.</w:t>
      </w:r>
    </w:p>
    <w:p>
      <w:pPr>
        <w:spacing w:after="0" w:line="14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particular, in the United Kingdom, we are working with NHS England to complete our NHS-Galleri Trial. It is possible that the early preliminary, interim or final data may not be as we expect, may be inconsistent with prior NHS-Galleri data, or with other studies we have conducted, or may be unsuitable to the NHS, any of which could have a significant adverse impact on the success of our commercial efforts for Galleri, our ability to achieve FDA authorization at all or within our anticipated timelines, our brand and reputation, our business, and our growth prospects.</w:t>
      </w:r>
    </w:p>
    <w:p>
      <w:pPr>
        <w:spacing w:after="0" w:line="161"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and our ability to receive regulatory clearance or approval or commercialize a particular product and our company in general. In addition, the information we choose to publicly disclose regarding a particular study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regulatory clearance or approval for our products may be harmed, which could harm our reputation, business, operating results, prospects or financial condition.</w:t>
      </w:r>
    </w:p>
    <w:p>
      <w:pPr>
        <w:spacing w:after="0" w:line="257"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Any product for which we obtain a regulatory certificate, permit, license, clearance, or approval will be subject to extensive ongoing regulatory requirements, and we may be subject to penalties if we or our partners fail to comply with regulatory requirements or if we experience unanticipated problems with our products.</w:t>
      </w:r>
    </w:p>
    <w:p>
      <w:pPr>
        <w:spacing w:after="0" w:line="59"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Any product for which we obtain a regulatory certificate, permit or license from a local, state, federal, or foreign regulatory authority, or notified body, or clearance or approval from the FDA or other comparable regulators, along with the manufacturing processes, post-market surveillance, labeling, packaging, advertising, and promotion, distribution, storage, import, export, reporting, and recordkeeping for such product, will be subject to continued regulatory review, oversight, requirements, and periodic inspections by the FDA and comparable foreign regulatory authorities, as well as our laboratory processes and practices will be subject to continued review, oversight, requirements, and inspections by CMS, CALFS, and CAP. These requirements include submissions of safety and other post-marketing information and reports; registration and listing requirements; requirements relating to quality control, quality assurance, and corresponding maintenance of records and documents; requirements relating to recalls, removals, and corrections; and requirements relating to product labeling, advertising and promotion, and recordkeeping. The regulations to which we are subject are complex and have tended to become more stringent over time. Regulatory changes could result in restrictions on our ability to carry on or expand our operations, higher than anticipated costs or lower than anticipated sales. The FDA and comparable foreign regulatory authorities enforce regulatory requirements through, among other means, periodic unannounced inspections. We do not know whether we will be found compliant in connection with any future regulatory inspections.</w:t>
      </w:r>
    </w:p>
    <w:p>
      <w:pPr>
        <w:spacing w:after="0" w:line="166"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Regulatory clearance, approval, or certification of a test or device may be subject to limitations by the regulatory body or notified body as to the indicated uses for which the product may be marketed or to other conditions of clearance, approval, or certification. In addition, clearance, approval, or certification may contain requirements for costly post-marketing testing and surveillance to monitor the safety or efficacy of the test or device. After clearance, approval, or certification, discovery of problems with our product, suppliers, vendors, or contract manufacturers, or manufacturing processes (including software validation), and/or failure to comply with regulatory requirements, may result in actions such as:</w:t>
      </w:r>
    </w:p>
    <w:p>
      <w:pPr>
        <w:spacing w:after="0" w:line="82" w:lineRule="exact"/>
        <w:rPr>
          <w:sz w:val="20"/>
          <w:szCs w:val="20"/>
          <w:color w:val="auto"/>
        </w:rPr>
      </w:pPr>
    </w:p>
    <w:p>
      <w:pPr>
        <w:ind w:left="1620" w:hanging="375"/>
        <w:spacing w:after="0"/>
        <w:tabs>
          <w:tab w:leader="none" w:pos="162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operations of our laboratories;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480"/>
          </w:cols>
          <w:pgMar w:left="320" w:top="419" w:right="109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manufacturing processes;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marketing of a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Untitled or Warning letters;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or recall of the product from the market or seizure of the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applications or supplements to approved applications that we may submit;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restitution or disgorgement of profits or revenue;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limitation or withdrawal of regulatory approvals, clearances, or certifications;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participation in U.S. federal or state healthcare programs, such as Medicare and Medicaid;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communications;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our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civil or criminal penalties.</w:t>
      </w:r>
    </w:p>
    <w:p>
      <w:pPr>
        <w:spacing w:after="0" w:line="197"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Any of these sanctions could result in higher than anticipated costs or lower than anticipated sales and have a material adverse effect on our reputation, business, financial condition and results of operations.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the FDA may change its clearance or approval policies, adopt additional regulations or revise existing regulations, or take other actions.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standards. This proposal has not yet been finalized or implemented. Accordingly, it is unclear the extent to which this or any other proposals, if adopted, could impose additional or different regulatory requirements on us that could increase the costs of compliance or otherwise create market pressure that may negatively affect our business. Such changes may also occur in foreign jurisdictions where we intend to market our products or future products. Such policy or regulatory changes could impose additional requirements upon us that could delay our ability to obtain clearances or approvals, increase the costs of compliance or restrict our ability to maintain any clearances or approvals we have obtained.</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IVDR became applicable, and repealed and replaced the EU IVDD.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IVDR, among other things, is intended to establish a uniform, transparent, predictable and sustainable regulatory framework across the EU for in vitro diagnostic medical devices and ensure a high level of safety and health while supporting innovation.</w:t>
      </w:r>
    </w:p>
    <w:p>
      <w:pPr>
        <w:spacing w:after="0" w:line="166"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These modifications may have an effect on the way we intend to develop our business in the EU and the EEA. For example, as a result of the transition towards the new regime, notified body review times have lengthened, and product introductions could be delayed or canceled, which could adversely affect our ability to grow our business.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460"/>
          </w:cols>
          <w:pgMar w:left="320" w:top="419" w:right="111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For any of our products that are approved or cleared by the FDA, we will be required to report to the FDA certain information about adverse medical events or malfunctions, and if we fail to do so, we would be subject to sanctions that could harm our reputation, business, financial condition, results of operations, and growth prospects. The discovery of serious safety issues with our products, or a recall of our products either voluntarily or at the direction of the FDA or another governmental authority, could have a negative impact on us.</w:t>
      </w:r>
    </w:p>
    <w:p>
      <w:pPr>
        <w:spacing w:after="0" w:line="64"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For products for which we obtain FDA clearance or approval or that are otherwise subject to affirmative FDA oversight, we will be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 Similar risks exist in foreign jurisdictions.</w:t>
      </w:r>
    </w:p>
    <w:p>
      <w:pPr>
        <w:spacing w:after="0" w:line="170"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65"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Depending on the corrective action we take to redress a product’s deficiencies or defects, the FDA or comparable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comparable foreign regulatory authorities warning letters, product seizure, injunctions, administrative penalties or civil or criminal fines.</w:t>
      </w:r>
    </w:p>
    <w:p>
      <w:pPr>
        <w:spacing w:after="0" w:line="147"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56" w:lineRule="exact"/>
        <w:rPr>
          <w:sz w:val="20"/>
          <w:szCs w:val="20"/>
          <w:color w:val="auto"/>
        </w:rPr>
      </w:pPr>
    </w:p>
    <w:p>
      <w:pPr>
        <w:jc w:val="both"/>
        <w:ind w:left="760" w:right="56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To obtain and maintain FDA approvals or clearances, our products will need to be manufactured in accordance with federal and state regulations, and we could be forced to recall our devices or terminate production if we or our partners fail to comply with these regulations.</w:t>
      </w:r>
    </w:p>
    <w:p>
      <w:pPr>
        <w:spacing w:after="0" w:line="23"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For the FDA to approve or clear a medical device marketing application, the methods used in, and the facilities used for, the manufacture of our products must comply with the FDA’s QSR, which is a complex</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460"/>
          </w:cols>
          <w:pgMar w:left="320" w:top="419" w:right="111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regulatory scheme that covers the procedures and documentation of the design, testing, production, process controls, quality assurance, labeling, packaging, handling, storage, distribution, installation, servicing and shipping of medical devices. Furthermore, to obtain FDA clearance or approval,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Similar state regulations and various laws and regulations of foreign countries governing manufacturing also apply to our products.</w:t>
      </w:r>
    </w:p>
    <w:p>
      <w:pPr>
        <w:spacing w:after="0" w:line="16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third-party manufacturers may not take the necessary steps to comply with applicable regulations, which could cause delays in the availability of our products or a delay in obtaining FDA authorization of our marketing application. In addition, the FDA has issued a proposed rule to amend the QSR to align more closely with the International Organization for Standardization standards. Although this proposal has not yet been finalized or implemented and it is unclear the extent to which this or any other proposals, if adopted, could impose additional or different regulatory requirements on us or our third-party manufacturers, the amendment could increase the costs of compliance or otherwise create market pressure that may negatively affect our business.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70"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36" w:lineRule="exact"/>
        <w:rPr>
          <w:sz w:val="20"/>
          <w:szCs w:val="20"/>
          <w:color w:val="auto"/>
        </w:rPr>
      </w:pPr>
    </w:p>
    <w:p>
      <w:pPr>
        <w:jc w:val="both"/>
        <w:ind w:left="760" w:right="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59"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FDA-authorized (or certified)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which could harm our reputation in the marketplace among physicians and patients.</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480"/>
          </w:cols>
          <w:pgMar w:left="320" w:top="418" w:right="10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6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Misleading, untruthful, or unsubstantiated labeling, advertising, marketing, or promotional practices could cause significant harm to our business, operations, and financial conditions. The FTC has instituted enforcement actions against certain healthcare testing companies for making false or misleading advertising claims and for failing to adequately substantiate claims made in advertising. These enforcement actions may result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reputation, business, financial condition, results of operations, and growth prospects.</w:t>
      </w:r>
    </w:p>
    <w:p>
      <w:pPr>
        <w:spacing w:after="0" w:line="16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labeling, advertising, marketing, and promotional practices of GRAIL related to our products is governed by numerous state and federal regulators, including the FDA and the FTC, as well as subject to third-party claims. Any statements related to our products that could be construed as misleading, untruthful, or unsubstantiated, could subject GRAIL to regulatory enforcement action, third-party lawsuits, or plaintiffs’ complaints. Any of these actions could significantly and negatively affect our reputation, expose us to liability claims, and we could lose customers and experience reduced sales and increased costs.</w:t>
      </w:r>
    </w:p>
    <w:p>
      <w:pPr>
        <w:spacing w:after="0" w:line="256"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Healthcare reform and data protection measures, including legislation reforming the U.S. healthcare system, could cause significant harm to our business, operations and financial condition.</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Healthcare systems are subject to ongoing reform in the United States and abroad. For example, in the United States, the Affordable Care Act (“ACA”) made a number of substantial changes to the way healthcare is financed both by governmental and private insurers. The ACA, among other things, included provisions governing enrollment in federal and state healthcare programs, reimbursement matters, and fraud and abuse. Since its enactment, there have been executive, judicial and Congressional challenges to certain aspects of the ACA. Most recently, on June 17, 2021 the U.S. Supreme Court dismissed a challenge on procedural grounds that argued the ACA is unconstitutional in its entirety because the “individual mandate” was repealed by Congress. Other legislative changes have also been proposed and adopted in the United States since the ACA. For example, through the process created by the Budget Control Act of 2011, there are automatic reductions of Medicare payments to providers, which went into effect in April 2013 and will remain in effect until 2032 unless additional Congressional action is taken.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 For more information, see above and the section entitled “Risks Relating to Our Business and Industry—One of the key elements of our strategy is to expand access to our tests by pursuing coverage and reimbursement from third-party payors, both private and government payors. If our products do not receive adequate coverage and reimbursement from third-party payors, if at all, our ability to expand access to our products beyond our existing sales channels will be limited and our overall commercial success will be limited” beginning on page 37 of this Information Statement.</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460"/>
          </w:cols>
          <w:pgMar w:left="320" w:top="419" w:right="111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cannot predict whether or when these or other recently enacted healthcare initiatives will be implemented at the federal or state level or in foreign jurisdictions or how any such legislation or regulation may affect us. For instance, the payment reductions imposed by the ACA and the changes to reimbursement amounts paid by Medicare for tests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w:t>
      </w:r>
    </w:p>
    <w:p>
      <w:pPr>
        <w:spacing w:after="0" w:line="165"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Similar developments may occur in the EU. For instance,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5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48"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authorization of our products in one jurisdiction does not mean that we will be successful in obtaining regulatory authorization of our products in other jurisdictions.</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in those countries. Premarket authorization and certification processes vary among jurisdictions and can involve requirements and administrative review periods different from those in the United States,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w:t>
      </w:r>
    </w:p>
    <w:p>
      <w:pPr>
        <w:spacing w:after="0" w:line="16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460"/>
          </w:cols>
          <w:pgMar w:left="320" w:top="419" w:right="111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5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45"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applicable rules and regulations of the CMS, the FDA, and other comparable foreign regulatory authorities; provide true, complete and accurate information to such regulatory authorities; comply with manufacturing and clinical laboratory standards; comply with healthcare fraud and abuse laws in the United States and similar foreign fraudulent misconduct laws; or report financial information or data accurately or to disclose unauthorized activities to us. For example, in June 2023, our third-party telemedicine provider experienced a software issue that resulted in erroneous test reports being delivered to patients. Since we began commercializing Galleri in the United States, our potential exposure under such laws has increased significantly, and our costs associated with compliance with such laws have, and will likely continue to, increase. In particular, research, sales, marketing, education, and other business arrangements in the healthcare industry are subject to extensive laws designed to prevent fraud, kickbacks, self-dealing, and other abusive practices, as well as off-label product promotion.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participant recruitment for clinical studies,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Even if it is later determined after an action is instituted against us that we were not in violation of these laws, we may be faced with negative publicity, incur significant expenses defending our actions, and have to divert significant management resources from other matters. We expect our exposure to and costs associated with compliance with healthcare fraud and abuse laws to increase significantly if we commercialize additional products in the future.</w:t>
      </w:r>
    </w:p>
    <w:p>
      <w:pPr>
        <w:spacing w:after="0" w:line="272" w:lineRule="exact"/>
        <w:rPr>
          <w:sz w:val="20"/>
          <w:szCs w:val="20"/>
          <w:color w:val="auto"/>
        </w:rPr>
      </w:pPr>
    </w:p>
    <w:p>
      <w:pPr>
        <w:ind w:left="760" w:right="6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healthcare and other applicable laws and regulations, we could face substantial penalties and our business, reputation, and operations and financial condition could be adversely affected.</w:t>
      </w:r>
    </w:p>
    <w:p>
      <w:pPr>
        <w:spacing w:after="0" w:line="45"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Our operations are subject to various U.S. federal and state fraud and abuse laws. In addition, the commercialization of our products outside the United States would also subject us to foreign equivalents of the healthcare laws described below, among other foreign laws. The laws that may, currently or in the future, impact our operations include:</w:t>
      </w:r>
    </w:p>
    <w:p>
      <w:pPr>
        <w:spacing w:after="0" w:line="73" w:lineRule="exact"/>
        <w:rPr>
          <w:sz w:val="20"/>
          <w:szCs w:val="20"/>
          <w:color w:val="auto"/>
        </w:rPr>
      </w:pPr>
    </w:p>
    <w:p>
      <w:pPr>
        <w:ind w:left="1620" w:hanging="375"/>
        <w:spacing w:after="0" w:line="251" w:lineRule="auto"/>
        <w:tabs>
          <w:tab w:leader="none" w:pos="1620"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 for each occurrence;</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460"/>
          </w:cols>
          <w:pgMar w:left="320" w:top="419" w:right="111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20" w:hanging="375"/>
        <w:spacing w:after="0" w:line="255" w:lineRule="auto"/>
        <w:tabs>
          <w:tab w:leader="none" w:pos="162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providing the designated health services. The Stark Law also prohibits the entity furnishing the designated health services from billing, presenting or causing to be presented a claim for the designated health services furnished pursuant to the prohibited referral;</w:t>
      </w:r>
    </w:p>
    <w:p>
      <w:pPr>
        <w:spacing w:after="0" w:line="81" w:lineRule="exact"/>
        <w:rPr>
          <w:rFonts w:ascii="Times New Roman" w:cs="Times New Roman" w:eastAsia="Times New Roman" w:hAnsi="Times New Roman"/>
          <w:sz w:val="16"/>
          <w:szCs w:val="16"/>
          <w:color w:val="auto"/>
        </w:rPr>
      </w:pPr>
    </w:p>
    <w:p>
      <w:pPr>
        <w:ind w:left="1620" w:hanging="375"/>
        <w:spacing w:after="0" w:line="255" w:lineRule="auto"/>
        <w:tabs>
          <w:tab w:leader="none" w:pos="162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In addition, the government may assert that a claim including items or services resulting from a violation of the federal Anti-Kickback Statute or Stark Law constitutes a false or fraudulent claim for purposes of the False Claims Act;</w:t>
      </w:r>
    </w:p>
    <w:p>
      <w:pPr>
        <w:spacing w:after="0" w:line="81"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73" w:lineRule="exact"/>
        <w:rPr>
          <w:rFonts w:ascii="Times New Roman" w:cs="Times New Roman" w:eastAsia="Times New Roman" w:hAnsi="Times New Roman"/>
          <w:sz w:val="16"/>
          <w:szCs w:val="16"/>
          <w:color w:val="auto"/>
        </w:rPr>
      </w:pPr>
    </w:p>
    <w:p>
      <w:pPr>
        <w:ind w:left="1620" w:right="160" w:hanging="375"/>
        <w:spacing w:after="0" w:line="258" w:lineRule="auto"/>
        <w:tabs>
          <w:tab w:leader="none" w:pos="162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77" w:lineRule="exact"/>
        <w:rPr>
          <w:rFonts w:ascii="Times New Roman" w:cs="Times New Roman" w:eastAsia="Times New Roman" w:hAnsi="Times New Roman"/>
          <w:sz w:val="16"/>
          <w:szCs w:val="16"/>
          <w:color w:val="auto"/>
        </w:rPr>
      </w:pPr>
    </w:p>
    <w:p>
      <w:pPr>
        <w:ind w:left="1620" w:right="260" w:hanging="375"/>
        <w:spacing w:after="0" w:line="277" w:lineRule="auto"/>
        <w:tabs>
          <w:tab w:leader="none" w:pos="1620" w:val="left"/>
        </w:tabs>
        <w:numPr>
          <w:ilvl w:val="0"/>
          <w:numId w:val="3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w:t>
      </w:r>
    </w:p>
    <w:p>
      <w:pPr>
        <w:spacing w:after="0" w:line="63" w:lineRule="exact"/>
        <w:rPr>
          <w:rFonts w:ascii="Times New Roman" w:cs="Times New Roman" w:eastAsia="Times New Roman" w:hAnsi="Times New Roman"/>
          <w:sz w:val="15"/>
          <w:szCs w:val="15"/>
          <w:color w:val="auto"/>
        </w:rPr>
      </w:pPr>
    </w:p>
    <w:p>
      <w:pPr>
        <w:ind w:left="1620" w:right="60" w:hanging="375"/>
        <w:spacing w:after="0" w:line="278" w:lineRule="auto"/>
        <w:tabs>
          <w:tab w:leader="none" w:pos="162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 and</w:t>
      </w:r>
    </w:p>
    <w:p>
      <w:pPr>
        <w:spacing w:after="0" w:line="61" w:lineRule="exact"/>
        <w:rPr>
          <w:rFonts w:ascii="Times New Roman" w:cs="Times New Roman" w:eastAsia="Times New Roman" w:hAnsi="Times New Roman"/>
          <w:sz w:val="16"/>
          <w:szCs w:val="16"/>
          <w:color w:val="auto"/>
        </w:rPr>
      </w:pPr>
    </w:p>
    <w:p>
      <w:pPr>
        <w:ind w:left="1620" w:right="40" w:hanging="375"/>
        <w:spacing w:after="0" w:line="251" w:lineRule="auto"/>
        <w:tabs>
          <w:tab w:leader="none" w:pos="162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payor, including commercial insurers; state laws that require healthcare companies to comply with the medical device industry’s voluntary compliance guidelines, the relevant compliance guidance promulgated by the federal government that otherwise restricts payments that may be made to healthcare providers, and other potential referral sources or state-specific standards on financial interactions with healthcare providers; state laws that require healthcare companies to file reports with states regarding pricing and marketing information, such as the tracking and reporting of gifts, compensation,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170"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the statutory exceptions and safe harbors available and lack of clear guidance, it is possible that some of our business activities could, despite our efforts to</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480"/>
          </w:cols>
          <w:pgMar w:left="320" w:top="419" w:right="109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59" w:lineRule="exact"/>
        <w:rPr>
          <w:sz w:val="20"/>
          <w:szCs w:val="20"/>
          <w:color w:val="auto"/>
        </w:rPr>
      </w:pPr>
    </w:p>
    <w:p>
      <w:pPr>
        <w:ind w:left="760" w:right="1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and any contract manufacturers and suppliers we engage are subject to numerous federal, state, and local environmental, health, and safety laws, regulations, and permitting requirements, including those governing laboratory procedures; the generation, labeling, handling, use, storage, transport, treatment, and disposal of hazardous and regulated materials and wastes; the emission and discharge of hazardous materials into the ground, air, and water; and employee health and safety.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or insurance coverage. Under certain environmental laws, we could be held responsible for costs relating to any contamination at our current or past facilities and at third-party facilities. We also could incur significant costs associated with civil or criminal fines and penalties. If the handling, use, labeling, storage, or transport of hazardous or biohazardous materials by us or our contract manufacturers or suppliers fail to comply with applicable requirements, we could incur significant costs, be subject to civil or criminal fines and penalties, experience disruption and delays in our operations, and face destruction of any non-compliant materials, which could include clinical and biological samples.</w:t>
      </w:r>
    </w:p>
    <w:p>
      <w:pPr>
        <w:spacing w:after="0" w:line="168"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Accordingly, in the event of contamination or injury, we could be held liable for damages or be penalized with fines in an amount exceeding our resources, and our clinical studies or regulatory approvals or certifications could be suspended, which could have a material adverse effect on our business, financial condition, results of operations, and prospects.</w:t>
      </w:r>
    </w:p>
    <w:p>
      <w:pPr>
        <w:spacing w:after="0" w:line="241" w:lineRule="exact"/>
        <w:rPr>
          <w:sz w:val="20"/>
          <w:szCs w:val="20"/>
          <w:color w:val="auto"/>
        </w:rPr>
      </w:pPr>
    </w:p>
    <w:p>
      <w:pPr>
        <w:ind w:left="760" w:right="28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Changes in funding or disruptions at the FDA, other government agencies, and notified bodies caused by funding shortages, global health concerns, government shutdowns, or other causes could hinder their ability to hire and retain key leadership and other personnel, or otherwise prevent new or modified products from being developed, approved, certified, or commercialized in a timely manner or at all, or otherwise prevent those agencies and notified bodies from performing normal business functions on which the operation of our business may rely, which could negatively impact our business.</w:t>
      </w:r>
    </w:p>
    <w:p>
      <w:pPr>
        <w:spacing w:after="0" w:line="66"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ability of the FDA, foreign regulatory agencies, and notified bodies to review and clear, approve, or certify new products or changes to existing products can be affected by a variety of factors, including government budget and funding levels, statutory, regulatory, and policy changes, the FDA’s, foreign regulatory agencies’, and notified bodies’ ability to hire and retain key personnel and accept the payment of user fees,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480"/>
          </w:cols>
          <w:pgMar w:left="320" w:top="419" w:right="10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government shutdowns,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cleared, approved, or certified medical devices to be reviewed and/or approved, or certified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 In addition, during the COVID-19 pandemic, the FDA postponed most inspections of domestic and foreign manufacturing facilities at various points. Even though the FDA has resumed standard inspection operations of domestic facilities where feasible, the FDA has continued to monitor and implement changes to its inspectional activities to ensure the safety of its employees and those of the firms it regulates, and any resurgence of COVID-19 or emergence of new variants may lead to further inspectional delays. If a prolonged government shutdown occurs, or if global health concerns continue to prevent the FDA, other regulatory authorities, or notified bodies from conducting their regular activities, it could significantly impact the ability of the FDA, other regulatory authorities, or notified bodies to timely review and process our regulatory submissions, which could have a material adverse effect on our business.</w:t>
      </w:r>
    </w:p>
    <w:p>
      <w:pPr>
        <w:spacing w:after="0" w:line="173"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the EU, for example, notified bodies must be officially designated to certify products and services in accordance with the EU IVDR. Only a few notified bodies have been designated so far and the COVID-19 pandemic has significantly slowed down their designation process. Without EU IVDR designation, notified bodies may not yet start certifying devices in accordance with the EU IVDR. As only a few notified bodies have been EU IVDR-designated, they are facing a heavy workload and their review times have lengthened. This situation may impact the way we are conducting or intend to conduct our business in the EU and the EEA and the ability of the applicable notified body to timely review and process our regulatory submissions and perform its audits.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activities are subject to the FCPA and similar anti-bribery and anti-corruption laws.</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business activities are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administer diagnostic tests are employed by their government, and the purchasers of diagnostics tests are government entities; therefore, our dealings with these providers and purchasers are subject to regulation under the FCPA. The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480"/>
          </w:cols>
          <w:pgMar w:left="320" w:top="419" w:right="10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Intellectual Property</w:t>
      </w:r>
    </w:p>
    <w:p>
      <w:pPr>
        <w:spacing w:after="0" w:line="100" w:lineRule="exact"/>
        <w:rPr>
          <w:sz w:val="20"/>
          <w:szCs w:val="20"/>
          <w:color w:val="auto"/>
        </w:rPr>
      </w:pPr>
    </w:p>
    <w:p>
      <w:pPr>
        <w:ind w:left="760" w:right="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intellectual property protection for our technology, or if the scope of the intellectual property protection we obtain is not sufficiently broad, third parties could in the future develop and commercialize technology and tests similar or identical to ours, and our ability to successfully commercialize our products may be impaired.</w:t>
      </w:r>
    </w:p>
    <w:p>
      <w:pPr>
        <w:spacing w:after="0" w:line="59" w:lineRule="exact"/>
        <w:rPr>
          <w:sz w:val="20"/>
          <w:szCs w:val="20"/>
          <w:color w:val="auto"/>
        </w:rPr>
      </w:pPr>
    </w:p>
    <w:p>
      <w:pPr>
        <w:ind w:left="760" w:right="160" w:firstLine="388"/>
        <w:spacing w:after="0" w:line="270" w:lineRule="auto"/>
        <w:rPr>
          <w:sz w:val="20"/>
          <w:szCs w:val="20"/>
          <w:color w:val="auto"/>
        </w:rPr>
      </w:pPr>
      <w:r>
        <w:rPr>
          <w:rFonts w:ascii="Times New Roman" w:cs="Times New Roman" w:eastAsia="Times New Roman" w:hAnsi="Times New Roman"/>
          <w:sz w:val="15"/>
          <w:szCs w:val="15"/>
          <w:color w:val="auto"/>
        </w:rPr>
        <w:t>Our ability to perform successfully will depend in part on our ability to obtain and enforce patent protection for our products, preserve our trade secrets, and operate without infringing the proprietary rights of third parties. Filing, prosecuting, and defending patents on our products and other technologies in all countries throughout the world would be prohibitively expensive and time-consuming, and the laws of some foreign countries may not protect our rights to the same extent as the laws of the United States. We may not be able to file, prosecute, maintain, enforce, or license all necessary or desirable patents or patent applications at a reasonable cost or in a timely manner, or in all jurisdictions. Furthermore, in some cases, we have only filed provisional patent applications on certain aspects of our products and technologies and each of these provisional patent applications, or any future provisional patent application on certain aspects of our products and technologies, is not eligible to become an issued patent until, among other things, we file a non-provisional patent application within 12 months of the filing date of the applicable provisional patent application. In cases where we have not obtained, or decided not to obtain, patent protection for certain of our inventions, we may not be able to prevent third parties from practicing our inventions or from selling or importing tests made using our inventions in and into the United States or other jurisdictions.</w:t>
      </w:r>
    </w:p>
    <w:p>
      <w:pPr>
        <w:spacing w:after="0" w:line="154"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Moreover, while we have applied for patents that protect aspects of our technology in the United States and numerous other countries, we cannot assure you that our intellectual property position, including our owned and exclusively licensed pending and issued patents, will not be challenged or that all patents for which we have applied will be issued on a timely basis or at all, or that such patents will protect our technology, in whole or in part, or be issued in a form that will provide us with meaningful protection.</w:t>
      </w:r>
    </w:p>
    <w:p>
      <w:pPr>
        <w:spacing w:after="0" w:line="161"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Although patents are presumed valid and enforceable upon issuance, a patent may be challenged as to its inventorship, scope, validity, or enforceability, and certain of our owned or exclusively in-licensed patents have been, and others in the future may be, challenged in the courts or patent offices in the United States or abroad. For example, eight of our in-licensed European patents and one of our owned European patents have been subject to oppositions in Europe, as described below. As a result of such challenges, our pending or future patent applications may not result in issued patents, or the scope of existing or future patents may not provide us with sufficient rights to exclude others from commercializing products similar or identical to ours, or our issued patents may be held invalid or unenforceable. It is also possible that we may fail to identify patentable technologies in a timely fashion, which could impair our ability to obtain patent protection on such technology at all. Third parties may be able to circumvent our owned or exclusively in-licensed patents by developing similar or alternative technologies or tests in a non-infringing manner. Third parties could in the future also set up laboratories outside the countries in which we have filed patent applications in order to compete without infringing upon our intellectual property, even if they process samples from countries in which we do have patent protection. In addition, to the extent we have granted, or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w:t>
      </w:r>
    </w:p>
    <w:p>
      <w:pPr>
        <w:spacing w:after="0" w:line="174"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uncertain. Given the amount of time required for the development, testing, and regulatory review of new tests, patents protecting such tests might expire before or shortly after such</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480"/>
          </w:cols>
          <w:pgMar w:left="320" w:top="419" w:right="10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40"/>
        <w:spacing w:after="0" w:line="278" w:lineRule="auto"/>
        <w:rPr>
          <w:sz w:val="20"/>
          <w:szCs w:val="20"/>
          <w:color w:val="auto"/>
        </w:rPr>
      </w:pPr>
      <w:r>
        <w:rPr>
          <w:rFonts w:ascii="Times New Roman" w:cs="Times New Roman" w:eastAsia="Times New Roman" w:hAnsi="Times New Roman"/>
          <w:sz w:val="16"/>
          <w:szCs w:val="16"/>
          <w:color w:val="auto"/>
        </w:rPr>
        <w:t>products are commercialized. As a result, our owned or exclusively in-licensed patent portfolio may not provide us with sufficient rights to exclude others from commercializing products similar or identical to ours.</w:t>
      </w:r>
    </w:p>
    <w:p>
      <w:pPr>
        <w:spacing w:after="0" w:line="1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If a third party obtains an issued patent on inventions we use in our products, that party could prevent us from using those inventions, and we may not be able to design around the third party’s patents or obtain a license on commercially reasonable terms, if at all. Third-party patents or other intellectual property may exist that our current technology, manufacturing methods, products, or future methods or tests infringe or will infringe, which could result in litigation, the imposition of injunctions preventing our use of the foregoing, or require us to obtain licenses or pay royalties and/or other forms of compensation to third parties, which could be significant and could harm our results of operations.</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 fees on patents and applications will be due to be paid to the U.S. Patent and Trademark Office (“USPTO”) and various government patent agencies outside of the United States over the lifetime of our owned or in-licensed patents and applications. In certain circumstances, we rely on our licensing partners to pay these fees due to U.S. and non-U.S. patent agencies and to take the necessary actions to comply with other requirements to maintain such in-licensed patents during their term. In some cases, non-compliance can result in abandonment or lapse of the patent or patent application, resulting in a partial or complete loss of patent rights in the relevant jurisdiction. In such an event, potential competitors might be able to enter the market with similar or identical tests or technology, which could have a material adverse effect on our market position.</w:t>
      </w:r>
    </w:p>
    <w:p>
      <w:pPr>
        <w:spacing w:after="0" w:line="257" w:lineRule="exact"/>
        <w:rPr>
          <w:sz w:val="20"/>
          <w:szCs w:val="20"/>
          <w:color w:val="auto"/>
        </w:rPr>
      </w:pPr>
    </w:p>
    <w:p>
      <w:pPr>
        <w:ind w:left="760" w:right="1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have agreements with Illumina and license agreements with others that provide rights to certain technologies related to assays used in our products. We may need to obtain additional licenses from others to advance our research or allow commercialization of our products or technology, either globally or in certain geographies, without infringing the intellectual property of third parties. It is possible that we may be unable to obtain such additional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either globally or in certain geographies, or continue to utilize our technology, which could harm our business, financial condition, results of operations, and growth prospects.</w:t>
      </w:r>
    </w:p>
    <w:p>
      <w:pPr>
        <w:spacing w:after="0" w:line="166"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In addition, our in-licenses impose various development, diligence, commercialization, and other obligations on us, and we expect that our future license or development agreements will contain similar types of obligations. Certain of our license agreements also require us to meet development timelines, or to exercise commercially reasonable efforts to develop and commercialize licensed products. Despite our efforts, our licensors might conclude that we have materially breached our obligations under such license agreements or our sublicensees may fail to fulfill their obligations to us or materially breach our related sublicense agreements, and our licensors might therefore terminate the license agreements or otherwise modify our rights under those agreements, thereby removing or limiting our ability to develop and commercialize products and technology covered by these license agreements or resulting in litigation. If these in-licenses are terminated, or if the underlying patents fail to provide the anticipated market exclusivity, other third parties may have the freedom to seek regulatory approval of, and to market, tests highly similar to ours or we may be required to cease commercialization of our products or use of our technology. Any of the foregoing could have a material adverse effect on our position, business, financial condition, results of operations, and growth prospects.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460"/>
          </w:cols>
          <w:pgMar w:left="320" w:top="419" w:right="111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addition, the agreements under which we currently license or otherwise obtain rights to intellectual property or technology from third parties are complex, and certain provisions in such agreements may be susceptible to multiple interpretations, which may lead to disputes between us and our licensor, including:</w:t>
      </w:r>
    </w:p>
    <w:p>
      <w:pPr>
        <w:spacing w:after="0" w:line="73" w:lineRule="exact"/>
        <w:rPr>
          <w:sz w:val="20"/>
          <w:szCs w:val="20"/>
          <w:color w:val="auto"/>
        </w:rPr>
      </w:pPr>
    </w:p>
    <w:p>
      <w:pPr>
        <w:ind w:left="1620" w:hanging="375"/>
        <w:spacing w:after="0"/>
        <w:tabs>
          <w:tab w:leader="none" w:pos="1620"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product and technology infringe on intellectual property of the licensor that is not subject to the license agreement;</w:t>
      </w:r>
    </w:p>
    <w:p>
      <w:pPr>
        <w:spacing w:after="0" w:line="125" w:lineRule="exact"/>
        <w:rPr>
          <w:rFonts w:ascii="Times New Roman" w:cs="Times New Roman" w:eastAsia="Times New Roman" w:hAnsi="Times New Roman"/>
          <w:sz w:val="15"/>
          <w:szCs w:val="15"/>
          <w:color w:val="auto"/>
        </w:rPr>
      </w:pPr>
    </w:p>
    <w:p>
      <w:pPr>
        <w:ind w:left="1620" w:hanging="375"/>
        <w:spacing w:after="0"/>
        <w:tabs>
          <w:tab w:leader="none" w:pos="1620"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sublicense patent and other rights under our collaborative development relationships;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and other obligations under the license agreement; and</w:t>
      </w:r>
    </w:p>
    <w:p>
      <w:pPr>
        <w:spacing w:after="0" w:line="113"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inventions and know-how resulting from the joint invention of intellectual property by us and our licensors and our partners.</w:t>
      </w:r>
    </w:p>
    <w:p>
      <w:pPr>
        <w:spacing w:after="0" w:line="145"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If we are required to engage in litigation to enforce or defend our rights under our license or development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which could have a material adverse effect on our business, financial condition, results of operations, and growth prospects.</w:t>
      </w:r>
    </w:p>
    <w:p>
      <w:pPr>
        <w:spacing w:after="0" w:line="259" w:lineRule="exact"/>
        <w:rPr>
          <w:sz w:val="20"/>
          <w:szCs w:val="20"/>
          <w:color w:val="auto"/>
        </w:rPr>
      </w:pPr>
    </w:p>
    <w:p>
      <w:pPr>
        <w:ind w:left="760" w:right="2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use of open-source software could subject our proprietary technology to unwanted open-source license conditions that could negatively impact our business.</w:t>
      </w:r>
    </w:p>
    <w:p>
      <w:pPr>
        <w:spacing w:after="0" w:line="4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A portion of our technology capabilities incorporates open-source software, and we may incorporate open-source software into other offerings or products in the future. If an author or other third party that distributed such open-source software to us were to allege that we had not complied with the conditions of one or more of these licenses, we could be required to remediate our open source vulnerabilities or defend against such allegations. In addition, if we combine our proprietary software with open-source software in a certain manner and make it available to others, under some open-source licenses, we could be required to license or make available the source code of our proprietary software, which could help our third parties develop products that are similar to ours and harm our business; thus, we could be required to remediate any such open source vulnerabilities.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Developments in patent law could have a negative impact on our business.</w:t>
      </w:r>
    </w:p>
    <w:p>
      <w:pPr>
        <w:spacing w:after="0" w:line="10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From time to time, the U.S. Supreme Court, other federal courts, the U.S. Congress, the USPTO, or applicable authorities in other jurisdictions may change the standards of patentability and any such changes could have a negative impact on our business. The scope of patent coverage available for medical diagnostics continues to evolve and uncertainty remains around the patentability of certain diagnostic-based method claims. U.S. Supreme Court and Federal Circuit decisions interpreting and/or limiting the scope of patentable subject matter under 35 U.S.C. § 101, in addition to examination guidelines from the USPTO, have made it more difficult for patentees to obtain and/or maintain patent claims in the United States that are directed to medical diagnostics, as claims to that subject matter are sometimes perceived to recite or involve laws of nature, natural phenomena, and/or natural products.</w:t>
      </w:r>
    </w:p>
    <w:p>
      <w:pPr>
        <w:spacing w:after="0" w:line="166"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Several precedential decisions regarding patentable subject matter are of particular relevance to patents in the medical diagnostics and computer-implemented applications space. The 2012 decision in </w:t>
      </w:r>
      <w:r>
        <w:rPr>
          <w:rFonts w:ascii="Times New Roman" w:cs="Times New Roman" w:eastAsia="Times New Roman" w:hAnsi="Times New Roman"/>
          <w:sz w:val="16"/>
          <w:szCs w:val="16"/>
          <w:i w:val="1"/>
          <w:iCs w:val="1"/>
          <w:color w:val="auto"/>
        </w:rPr>
        <w:t>Mayo Collaborative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480"/>
          </w:cols>
          <w:pgMar w:left="320" w:top="418" w:right="109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right="20"/>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v. Prometheus Laboratories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Prometheus</w:t>
      </w:r>
      <w:r>
        <w:rPr>
          <w:rFonts w:ascii="Times New Roman" w:cs="Times New Roman" w:eastAsia="Times New Roman" w:hAnsi="Times New Roman"/>
          <w:sz w:val="15"/>
          <w:szCs w:val="15"/>
          <w:color w:val="auto"/>
        </w:rPr>
        <w:t>) concerns patent claims directed to optimizing the amount of drug administered to a specific patient based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certain diagnostic measurements. The U.S. Supreme Court held that the applicable patent’s claims were directed to a law of nature (i.e., a natural correlation between drug levels and efficacy or toxicity) and failed to incorporate a sufficiently inventive concept above and beyond routine and conventional method steps to allow the claimed methods of treatment to qualify as patent eligible. The 2013 decision in </w:t>
      </w:r>
      <w:r>
        <w:rPr>
          <w:rFonts w:ascii="Times New Roman" w:cs="Times New Roman" w:eastAsia="Times New Roman" w:hAnsi="Times New Roman"/>
          <w:sz w:val="15"/>
          <w:szCs w:val="15"/>
          <w:i w:val="1"/>
          <w:iCs w:val="1"/>
          <w:color w:val="auto"/>
        </w:rPr>
        <w:t>Association for Molecular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Pathology v. Myriad Genetics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Myriad</w:t>
      </w:r>
      <w:r>
        <w:rPr>
          <w:rFonts w:ascii="Times New Roman" w:cs="Times New Roman" w:eastAsia="Times New Roman" w:hAnsi="Times New Roman"/>
          <w:sz w:val="15"/>
          <w:szCs w:val="15"/>
          <w:color w:val="auto"/>
        </w:rPr>
        <w:t>) concerns the patentability of isolated DNA sequences that were related to methods of diagnosing genetic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predisposition to cancer. The U.S. Supreme Court held that isolated fragments of naturally occurring genetic material are not patent eligible, but non-naturally occurring fragments can be patented. The 2014 decision in </w:t>
      </w:r>
      <w:r>
        <w:rPr>
          <w:rFonts w:ascii="Times New Roman" w:cs="Times New Roman" w:eastAsia="Times New Roman" w:hAnsi="Times New Roman"/>
          <w:sz w:val="15"/>
          <w:szCs w:val="15"/>
          <w:i w:val="1"/>
          <w:iCs w:val="1"/>
          <w:color w:val="auto"/>
        </w:rPr>
        <w:t>Alice Corporation Pty. Ltd. v. CLS Bank International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Alice</w:t>
      </w:r>
      <w:r>
        <w:rPr>
          <w:rFonts w:ascii="Times New Roman" w:cs="Times New Roman" w:eastAsia="Times New Roman" w:hAnsi="Times New Roman"/>
          <w:sz w:val="15"/>
          <w:szCs w:val="15"/>
          <w:color w:val="auto"/>
        </w:rPr>
        <w:t xml:space="preserve">) concerns computer-implemented inventions. The U.S. Supreme Court held that an abstract idea could not be patented just because it is implemented on a computer, thus providing guidance on the patentability of computer-implemented applications. The 2015 decision in </w:t>
      </w:r>
      <w:r>
        <w:rPr>
          <w:rFonts w:ascii="Times New Roman" w:cs="Times New Roman" w:eastAsia="Times New Roman" w:hAnsi="Times New Roman"/>
          <w:sz w:val="15"/>
          <w:szCs w:val="15"/>
          <w:i w:val="1"/>
          <w:iCs w:val="1"/>
          <w:color w:val="auto"/>
        </w:rPr>
        <w:t>Ariosa v. Sequenom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Sequenom</w:t>
      </w:r>
      <w:r>
        <w:rPr>
          <w:rFonts w:ascii="Times New Roman" w:cs="Times New Roman" w:eastAsia="Times New Roman" w:hAnsi="Times New Roman"/>
          <w:sz w:val="15"/>
          <w:szCs w:val="15"/>
          <w:color w:val="auto"/>
        </w:rPr>
        <w:t xml:space="preserve">) concerns the patentability of claims directed to a method of detecting fetal DNA in a mother’s serum or plasma samples. Although the U.S. Supreme Court recognized that the discovery of cell-free fetal DNA present in a mother’s bloodstream was a scientific breakthrough, it held that the claims were not patent eligible since they were primarily directed to a natural phenomenon. The Federal Circuit’s 2020 decision in </w:t>
      </w:r>
      <w:r>
        <w:rPr>
          <w:rFonts w:ascii="Times New Roman" w:cs="Times New Roman" w:eastAsia="Times New Roman" w:hAnsi="Times New Roman"/>
          <w:sz w:val="15"/>
          <w:szCs w:val="15"/>
          <w:i w:val="1"/>
          <w:iCs w:val="1"/>
          <w:color w:val="auto"/>
        </w:rPr>
        <w:t>Illumina v. Ariosa</w:t>
      </w:r>
      <w:r>
        <w:rPr>
          <w:rFonts w:ascii="Times New Roman" w:cs="Times New Roman" w:eastAsia="Times New Roman" w:hAnsi="Times New Roman"/>
          <w:sz w:val="15"/>
          <w:szCs w:val="15"/>
          <w:color w:val="auto"/>
        </w:rPr>
        <w:t xml:space="preserve"> concerns the patentability of claims directed to preparing a fraction of DNA enriched in cell-free fetal DNA. The Federal Circuit held the claims were patent eligible and distinguished them from the claims in Sequenom as method of preparation claims, rather than diagnostic claims. The court further explained that the claimed DNA fragment size thresholds were human-engineered parameters, suggesting that claims based on natural phenomena, but not exclusively directed to such phenomena, may be patent eligible. In short, our efforts to seek patent protection for our technologies and products may be impacted by the evolving case law and guidelines/procedures issued by the USPTO, or authorities in other jurisdictions based on such changes in the law.</w:t>
      </w:r>
    </w:p>
    <w:p>
      <w:pPr>
        <w:spacing w:after="0" w:line="347"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cannot fully predict the impact that the evolving case law on patentable subject matter will have on the ability to obtain or enforce patents relating to DNA, genes, genomic-related discoveries, or computer-implemented tests, including such tests that use machine learning or rely on software pipelines, in the future, as the contours of whether claims are patent eligible (or instead recite laws of nature, natural phenomena, natural products, or abstract ideas) are not clear and may take years to develop via interpretation at the USPTO and in the courts. There are many patents claiming nucleic acids and diagnostic methods based on natural correlations that issued before the court decisions summarized above and, although some of these patents may be invalid under the standards set forth in these decisions, these patents are presumed valid and enforceable until they are successfully challenged. Thus, third parties holding these patents could allege that we infringe, or request that we obtain a license under, these patents, even if these patents are not likely enforceable under current U.S. laws. Whether based on patents issued prior to or after these precedential decisions, we could be forced to defend against claims of patent infringement or obtain license rights, if available on commercially reasonable terms or at all, under these patents. In jurisdictions other than the United States, gene-related patent claims may remain valid and may be enforced against us.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Additionally, on June 1, 2023, the European Union Patent Package (“EU Patent Package”) regulations were implemented with the goal of providing a single pan-European Unitary Patent and a new European Unified Patent Court (“UPC”) for litigation involving European patents. As a result,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can elect to opt out from the UPC in some of our future European patents, but doing so may preclude us from realizing the potential benefits of the UPC. Moreover, if we do not meet all of the formalities and requirements for opting out under the UPC, our future European could remain under the jurisdiction of the UPC. The UPC could provide our third parties with a new forum to centrally revoke our European patents, and allow for the possibility of a third party to obtain a pan-European injunction—such a loss of patent protection could have a material adverse impact on our business and our ability to commercialize</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480"/>
          </w:cols>
          <w:pgMar w:left="320" w:top="418" w:right="109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technology and future products and, resultantly, on our business, financial condition, prospects, and results of operations.</w:t>
      </w:r>
    </w:p>
    <w:p>
      <w:pPr>
        <w:spacing w:after="0" w:line="19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Further, the U.S. Congress has periodically sought to pass bills concerning subject matter eligible for patent protection. We cannot fully predict the impact that such new laws may have on our ability to obtain patent protection for our products and technologies, and our ability to operate in view of the patents controlled by third parties. These and other substantive changes to U.S. and foreign patent law could affect our susceptibility to patent infringement claims and our ability to obtain patents and, if obtained, to enforce or defend them, any of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position on our products for an adequate amount of time.</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Patents have a limited lifespan in all jurisdictions around the world.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future products similar or identical to ours for a meaningful amount of time, or at all. Such an inability to exclude third parties from commercializing similar or identical products could have a material adverse impact on our reputation, business, financial condition, results of operations, and growth prospects.</w:t>
      </w:r>
    </w:p>
    <w:p>
      <w:pPr>
        <w:spacing w:after="0" w:line="259" w:lineRule="exact"/>
        <w:rPr>
          <w:sz w:val="20"/>
          <w:szCs w:val="20"/>
          <w:color w:val="auto"/>
        </w:rPr>
      </w:pPr>
    </w:p>
    <w:p>
      <w:pPr>
        <w:ind w:left="760" w:right="6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Issued patents covering our products and other technologies could be found invalid or unenforceable if challenged in court or before administrative bodies in the United States and abroad.</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Third parties may challenge the validity or enforceability of our owned or in-licensed patents in court or before administrative bodies in the United States or abroad. If we or one of our licensors initiated legal proceedings against a third party to enforce a patent, the defendant could counterclaim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subject matter eligibility, lack of written description, and non-enablement. Grounds for an unenforceability assertion could be an allegation that someone connected with prosecution of the patent withheld relevant information from the USPTO, or made a material misleading statement, during prosecution. Third parties have raised, and in the future may raise, claims challenging the validity or enforceability of our owned or in-licensed patents before administrative bodies in the United States or abroad, even outside the context of litigation. Such mechanisms include re-examination, post-grant review,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interference proceedings, derivation proceedings, and equivalent proceedings in foreign jurisdictions (such as opposition proceedings). Such proceedings could result in the revocation of, cancellation of, or amendment to our patents in such a way that they no longer cover Galleri, DAC, or our other technologies or products.</w:t>
      </w:r>
    </w:p>
    <w:p>
      <w:pPr>
        <w:spacing w:after="0" w:line="168"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For example, in 2021, we faced three oppositions in Europe with respect to European patent number EP 3 363 901 B1 in-licensed from the Fred Hutchinson Cancer Center, European patent number EP 3 354 747 B1 in-licensed from The Chinese University of Hong Kong, and European patent number EP 3 478 856 B1 assigned to GRAIL, LLC. The opposition proceeding filed against EP 3 363 901 B1 is still pending and corresponds to technology that is not currently being used in Galleri or DAC. The opposition proceeding filed against EP 3 354 747 B1 concluded with the patent being revoked. This patent had provided exclusivity relating to one feature used in Galleri and DAC. GRAIL and the licensor elected not to appeal this revocation in favor of strategically pursuing divisional applications covering the same technology. The opposition proceeding filed against EP 3 478 856 B1 concluded in September 2023 with the claims being maintained as granted. The opponent may file an appeal. These opposition proceedings do not affect our patents outside Europe.</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480"/>
          </w:cols>
          <w:pgMar w:left="320" w:top="419" w:right="10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20" w:firstLine="388"/>
        <w:spacing w:after="0" w:line="263" w:lineRule="auto"/>
        <w:rPr>
          <w:sz w:val="20"/>
          <w:szCs w:val="20"/>
          <w:color w:val="auto"/>
        </w:rPr>
      </w:pPr>
      <w:r>
        <w:rPr>
          <w:rFonts w:ascii="Times New Roman" w:cs="Times New Roman" w:eastAsia="Times New Roman" w:hAnsi="Times New Roman"/>
          <w:sz w:val="16"/>
          <w:szCs w:val="16"/>
          <w:color w:val="auto"/>
        </w:rPr>
        <w:t>If a third party were to prevail on a legal assertion of invalidity or unenforceability, we would lose at least part, and perhaps all, of the patent protection on our products or other technologies. Such a loss of patent protection could have a material adverse impact on our business, financial condition, results of operations, and growth prospects.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any future licensors’ patents or marketing of products in violation of our proprietary rights. 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future licensors are forced to grant a license to third parties with respect to any patents relevant to our business, our position may be impaired, and our business, financial condition, results of operations, and growth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Certain countries outside the United States also have laws that may impact a patent owner’s right to claim priority or require a patent applicant to obtain a foreign filing license or first file patent applications in a foreign jurisdiction to the extent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laws, which could result in the rejection of pending applications or invalidation of issued patents. Further, the standards applied by foreign patent offices in granting patents are not always applied uniformly or predictably. As such, we do not know the degree of future protection that we will have on our future products. While we will endeavor to try to protect our existing products and products with in development with intellectual property rights, such as patents, as appropriate, the process of obtaining patents is time consuming, expensive, and unpredictable.</w:t>
      </w:r>
    </w:p>
    <w:p>
      <w:pPr>
        <w:spacing w:after="0" w:line="168" w:lineRule="exact"/>
        <w:rPr>
          <w:sz w:val="20"/>
          <w:szCs w:val="20"/>
          <w:color w:val="auto"/>
        </w:rPr>
      </w:pPr>
    </w:p>
    <w:p>
      <w:pPr>
        <w:ind w:left="760" w:right="60" w:firstLine="388"/>
        <w:spacing w:after="0" w:line="270" w:lineRule="auto"/>
        <w:rPr>
          <w:sz w:val="20"/>
          <w:szCs w:val="20"/>
          <w:color w:val="auto"/>
        </w:rPr>
      </w:pPr>
      <w:r>
        <w:rPr>
          <w:rFonts w:ascii="Times New Roman" w:cs="Times New Roman" w:eastAsia="Times New Roman" w:hAnsi="Times New Roman"/>
          <w:sz w:val="15"/>
          <w:szCs w:val="15"/>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If we are not able to protect our intellectual property rights throughout the world, our position may be impaired, and our business, financial condition, results of operations, and growth prospects may be adversely affected.</w:t>
      </w:r>
    </w:p>
    <w:p>
      <w:pPr>
        <w:spacing w:after="0" w:line="245"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infringed or misappropriated intellectual property rights, or to assertions by third parties or employees claiming ownership of what we regard as our own intellectual property.</w:t>
      </w:r>
    </w:p>
    <w:p>
      <w:pPr>
        <w:spacing w:after="0" w:line="45"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Our former, current, and future employees may have been previously employed at universities or other biotechnology, diagnostic, laboratory, technology, or pharmaceutical companies, including, for example,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480"/>
          </w:cols>
          <w:pgMar w:left="320" w:top="419" w:right="109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6"/>
          <w:szCs w:val="16"/>
          <w:color w:val="auto"/>
        </w:rPr>
        <w:t>potential competitors and strategic partners. We train our employees not to bring or use proprietary information or technology from former employers to us or use it in their work. Although we try through such training and other measures to ensure that our employees do not use the proprietary information or know-how of others in their work for us, we have been in the past, and in the future may be, subject to claims that an employee or we have used or disclosed intellectual property, including trade secrets or other proprietary information, of such employee’s former employer. Litigation, which would be expensive, time-consuming, a distraction to management, and uncertain of outcome, may be necessary to defend against these claims.</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Our and their assignment agreements may be breached, and we may be forced to bring claims against third parties or current or former employees, or defend claims they may bring against us, to determine the ownership of what we regard as our intellectual property.</w:t>
      </w:r>
    </w:p>
    <w:p>
      <w:pPr>
        <w:spacing w:after="0" w:line="165"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If we fail to prevail on any such claims, in addition to paying monetary damages, we may lose valuable intellectual property rights or personnel, or be required to obtain a license, which may not be available to us on commercially reasonable terms or at all. Even if we are successful in prosecuting or defending against such claims, litigation could result in substantial costs and be a distraction to management, which could harm our business.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market position would be harmed.</w:t>
      </w:r>
    </w:p>
    <w:p>
      <w:pPr>
        <w:spacing w:after="0" w:line="106"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In addition to seeking patents for our products and other technologies, we also rely on trade secrets and confidentiality agreements to protect our unpatented know-how, technology, data, and other proprietary information, and to maintain our market position. Trade secrets and know-how can be difficult to protect. We expect some of our trade secrets and know-how to over time be disseminated within the industry through independent development, the publication of journal articles describing the methodology, and the movement of personnel.</w:t>
      </w:r>
    </w:p>
    <w:p>
      <w:pPr>
        <w:spacing w:after="0" w:line="161"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We seek to protect these trade secrets and other proprietary technology, in part, by entering into non-disclosure and confidentiality agreements with parties who have access to them, such as our employees, directors, corporate collaborators, outside scientific collaborators, CROs, contract manufacturers, suppliers, service providers, consultants, advisors, and other third parties. We also enter into confidentiality and invention or patent assignment agreements with our employees and consultants, and remind departing employees when they leave their employment of their continuing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Some courts outside the United States are less willing or unwilling to protect trade secrets, and the laws of some foreign countries do not protect proprietary rights to the same extent or in the same manner as the laws within the United States. For example, in China, claims regarding infringement or misappropriation of trade secrets are more difficult to prove, and consequently plaintiffs are rarely successful in bringing these claims. If any of our trade secrets were to be lawfully obtained or independently developed by a third party, we would have no right to prevent them from using that technology or information. If any of our trade secrets were to be misappropriated by, disclosed to, or independently developed by a third party, our market position could be materially and adversely harmed.</w:t>
      </w:r>
    </w:p>
    <w:p>
      <w:pPr>
        <w:spacing w:after="0" w:line="173"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We have and may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480"/>
          </w:cols>
          <w:pgMar w:left="320" w:top="419" w:right="109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6"/>
          <w:szCs w:val="16"/>
          <w:color w:val="auto"/>
        </w:rPr>
        <w:t>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destroys the proprietary nature of our intellectual property.</w:t>
      </w:r>
    </w:p>
    <w:p>
      <w:pPr>
        <w:spacing w:after="0" w:line="252" w:lineRule="exact"/>
        <w:rPr>
          <w:sz w:val="20"/>
          <w:szCs w:val="20"/>
          <w:color w:val="auto"/>
        </w:rPr>
      </w:pPr>
    </w:p>
    <w:p>
      <w:pPr>
        <w:ind w:left="760" w:right="2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develop and commercialize our technology without infringing, misappropriating, or otherwise violating the intellectual property of third parties. Third parties may initiate legal proceedings alleging that we are infringing their intellectual property rights, and if they prevail, could block sales of our products and force us to make large damages and/or royalty payments, which could have a material adverse effect on the success of our business.</w:t>
      </w:r>
    </w:p>
    <w:p>
      <w:pPr>
        <w:spacing w:after="0" w:line="64"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Our commercial success in part depends upon our ability, and the ability of our collaborators, to market, sell, and distribute our products and use our proprietary technologies without infringing, misappropriating, or otherwise violating the proprietary rights of third parties. There is considerable intellectual property litigation in the medical technology, biotechnology, diagnostic, and pharmaceutical industries. In addition, there is ongoing intellectual property litigation in the circulating nucleic acid analysis and cancer nucleic acid space, the outcome of which could also impact potential future litigation involving our intellectual property or our ability to commercialize our products. We may become party to, or threatened with, future adversarial proceedings or litigation regarding intellectual property rights with respect to our products, including interference proceedings before the USPTO and similar bodies in other jurisdictions. Third parties may assert infringement claims against us based on existing patents or patents that may be issued in the future.</w:t>
      </w:r>
    </w:p>
    <w:p>
      <w:pPr>
        <w:spacing w:after="0" w:line="16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we are found to infringe, misappropriate, or otherwise violate a third party’s intellectual property rights, we could be required to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third parties access to the same technologies licensed to us. In addition, we could be found liable for monetary damages, including treble damages if we are found to have willfully infringed a patent and attorneys’ fees if the court finds the case to be exceptional.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perform in the marketplace.</w:t>
      </w:r>
    </w:p>
    <w:p>
      <w:pPr>
        <w:spacing w:after="0" w:line="257"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 and causes the market price of our common stock to decline.</w:t>
      </w:r>
    </w:p>
    <w:p>
      <w:pPr>
        <w:spacing w:after="0" w:line="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480"/>
          </w:cols>
          <w:pgMar w:left="320" w:top="419" w:right="109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protect or enforce or defend our patents, which could be expensive, time-consuming, and unsuccessful.</w:t>
      </w:r>
    </w:p>
    <w:p>
      <w:pPr>
        <w:spacing w:after="0" w:line="117"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color w:val="auto"/>
        </w:rPr>
        <w:t>Third parties may infringe our patents or trademarks or misappropriate or violate our other intellectual property rights. To counter infringement, misappropriation, or unauthorized use of our intellectual property, we or any future licensors may be required to file infringement or misappropriation claims, which can be expensive and time-consuming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w:t>
      </w:r>
    </w:p>
    <w:p>
      <w:pPr>
        <w:spacing w:after="0" w:line="166" w:lineRule="exact"/>
        <w:rPr>
          <w:sz w:val="20"/>
          <w:szCs w:val="20"/>
          <w:color w:val="auto"/>
        </w:rPr>
      </w:pPr>
    </w:p>
    <w:p>
      <w:pPr>
        <w:jc w:val="both"/>
        <w:ind w:left="760" w:right="420" w:firstLine="388"/>
        <w:spacing w:after="0" w:line="263" w:lineRule="auto"/>
        <w:rPr>
          <w:sz w:val="20"/>
          <w:szCs w:val="20"/>
          <w:color w:val="auto"/>
        </w:rPr>
      </w:pPr>
      <w:r>
        <w:rPr>
          <w:rFonts w:ascii="Times New Roman" w:cs="Times New Roman" w:eastAsia="Times New Roman" w:hAnsi="Times New Roman"/>
          <w:sz w:val="16"/>
          <w:szCs w:val="16"/>
          <w:color w:val="auto"/>
        </w:rPr>
        <w:t>Our patents and any patents that we in-license may be challenged, narrowed, invalidated, or circumvented. If our patents are invalidated or otherwise limited or will expire prior to the commercialization of our products, other companies may be better able to develop products that could adversely affect our market position, business, financial condition, results of operations, and growth prospects.</w:t>
      </w:r>
    </w:p>
    <w:p>
      <w:pPr>
        <w:spacing w:after="0" w:line="157"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620" w:hanging="375"/>
        <w:spacing w:after="0"/>
        <w:tabs>
          <w:tab w:leader="none" w:pos="162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collaborators may initiate litigation or other proceedings against third parties to enforce our patent rights;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initiate litigation or other proceedings seeking to invalidate patents owned by us or that are licensed to us or to obtain a declaratory judgment that their product or technology does not infringe our patents or patents licensed to us or that such patents are invalid or unenforceable;</w:t>
      </w:r>
    </w:p>
    <w:p>
      <w:pPr>
        <w:spacing w:after="0" w:line="71" w:lineRule="exact"/>
        <w:rPr>
          <w:rFonts w:ascii="Times New Roman" w:cs="Times New Roman" w:eastAsia="Times New Roman" w:hAnsi="Times New Roman"/>
          <w:sz w:val="16"/>
          <w:szCs w:val="16"/>
          <w:color w:val="auto"/>
        </w:rPr>
      </w:pPr>
    </w:p>
    <w:p>
      <w:pPr>
        <w:jc w:val="both"/>
        <w:ind w:left="1620" w:hanging="375"/>
        <w:spacing w:after="0" w:line="264" w:lineRule="auto"/>
        <w:tabs>
          <w:tab w:leader="none" w:pos="162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third parties have initiated, and in the future may initiate, oppositions,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or reexamination proceedings challenging the validity or scope of our patent rights, requiring us or our collaborators and/or licensors to participate in such proceedings to defend the validity and scope of our patents;</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a challenge or dispute regarding inventorship or ownership of patents currently identified as being owned by or licensed to us;</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our initiation or at the initiation of a third party, the USPTO may initiate an interference between patents or patent applications owned by or licensed to us and those of third parties, requiring us or our collaborators and/or licensors to participate in an interference proceeding to determine the priority of invention, which could jeopardize our patent rights; or</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seek approval to market products similar to our future approved products prior to expiration of relevant patents owned by or licensed to us, requiring us to defend our patents, including by filing lawsuits alleging patent infringement.</w:t>
      </w:r>
    </w:p>
    <w:p>
      <w:pPr>
        <w:spacing w:after="0" w:line="145"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These lawsuits and proceedings would be costly and could affect our results of operations and divert the attention of our managerial, legal, and scientific personnel. There is a risk that a court or administrative body would decide that our owned or exclusively in-licensed patents are invalid or not infringed by a third party’s activities, or that the scope of certain issued claims must be limited. An adverse outcome in a litigation or proceeding involving our owned or exclusively in-licensed patents could limit our ability to assert our patents against third parties, affect our ability to receive royalties or other licensing consideration from our licensees or sublicensees, and may curtail or preclude our ability to exclude third parties from making, using and selling similar products. We may become more susceptible to these types of lawsuits and proceedings given the proliferation of organizations pursuing intellectual property protections in the cancer detection and cfDNA space. Any of these occurrences could adversely affect our business position, business, financial condition, results of operations, and growth prospects.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460"/>
          </w:cols>
          <w:pgMar w:left="320" w:top="419" w:right="111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5"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Over the long term, if we are unable to establish name recognition based on our trademarks and trade names, then we may not be able to perform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growth prospects.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the Spin-Off</w:t>
      </w:r>
    </w:p>
    <w:p>
      <w:pPr>
        <w:spacing w:after="0" w:line="100"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the Distribution does not qualify as a transaction that is tax-free for U.S. federal income tax purposes, Illumina and its stockholders could be subject to significant tax liability.</w:t>
      </w:r>
    </w:p>
    <w:p>
      <w:pPr>
        <w:spacing w:after="0" w:line="45" w:lineRule="exact"/>
        <w:rPr>
          <w:sz w:val="20"/>
          <w:szCs w:val="20"/>
          <w:color w:val="auto"/>
        </w:rPr>
      </w:pPr>
    </w:p>
    <w:p>
      <w:pPr>
        <w:jc w:val="both"/>
        <w:ind w:left="760" w:right="20" w:firstLine="388"/>
        <w:spacing w:after="0" w:line="289" w:lineRule="auto"/>
        <w:rPr>
          <w:sz w:val="20"/>
          <w:szCs w:val="20"/>
          <w:color w:val="auto"/>
        </w:rPr>
      </w:pPr>
      <w:r>
        <w:rPr>
          <w:rFonts w:ascii="Times New Roman" w:cs="Times New Roman" w:eastAsia="Times New Roman" w:hAnsi="Times New Roman"/>
          <w:sz w:val="15"/>
          <w:szCs w:val="15"/>
          <w:color w:val="auto"/>
        </w:rPr>
        <w:t>Completion of the Spin-Off is conditioned on Illumina’s receipt of a private letter ruling from the IRS and a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 355 and 368 of the Code.</w:t>
      </w:r>
    </w:p>
    <w:p>
      <w:pPr>
        <w:spacing w:after="0" w:line="13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private letter ruling and the opinion of counsel will not address any U.S. state or local or foreign tax consequences of the Spin-Off. The private letter ruling and the opinion will assume that the Spin-Off will be completed according to the terms of the Separation and Distribution Agreement and will rely on the facts as stated in the Separation and Distribution Agreement, the Tax Matters Agreement, the other ancillary agreements, this Information Statement, and certain other documents. In addition, the private letter ruling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w:t>
      </w:r>
    </w:p>
    <w:p>
      <w:pPr>
        <w:spacing w:after="0" w:line="165"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opinion of counsel is not binding on the IRS or the courts, and there can be no assurance that the IRS or a court will not take a contrary position. Although a private letter ruling from the IRS is generally binding on the IRS, the ruling will be based on certain facts and representations and undertakings from Illumina and us that certain necessary conditions to obtain tax-free treatment under the Code have been satisfied.</w:t>
      </w:r>
    </w:p>
    <w:p>
      <w:pPr>
        <w:spacing w:after="0" w:line="157"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 355 and 368 of the Code, Illumina and its shareholders could be subject to tax. In this case, each U.S. Holder (as defined in “The Spin-Off—Material U.S. Federal Income Tax Consequences of the Spin-Off”) who receives our common stock in the Distribution would generally, for U.S. federal income tax purposes, be treated as receiving a distribution in an amount equal to the fair market value of our common stock received, which would generally result in (i) a taxable dividend to the U.S. Holder to the extent of that U.S. Holder’s pro rata share of Illumina’s current and accumulated earnings and profits; (ii) a reduction in the U.S. Holder’s basis (but not below zero) in Illumina common stock to the extent the amount received exceeds the shareholder’s share of Illumina’s earnings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460"/>
          </w:cols>
          <w:pgMar w:left="320" w:top="419" w:right="111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89" w:lineRule="auto"/>
        <w:rPr>
          <w:sz w:val="20"/>
          <w:szCs w:val="20"/>
          <w:color w:val="auto"/>
        </w:rPr>
      </w:pPr>
      <w:r>
        <w:rPr>
          <w:rFonts w:ascii="Times New Roman" w:cs="Times New Roman" w:eastAsia="Times New Roman" w:hAnsi="Times New Roman"/>
          <w:sz w:val="15"/>
          <w:szCs w:val="15"/>
          <w:color w:val="auto"/>
        </w:rPr>
        <w:t>and profits; and (iii) a taxable gain from the exchange of Illumina common stock to the extent the amount received exceeds the sum of the U.S. Holder’s share of Illumina’s earnings and profits and the U.S. Holder’s basis in its Illumina common stock. For more information, see below and the section entitled “The Spin-Off—Material U.S. Federal Income Tax Consequences of the Spin-Off” beginning on page 101 of this Information Statement.</w:t>
      </w:r>
    </w:p>
    <w:p>
      <w:pPr>
        <w:spacing w:after="0" w:line="230"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 355 and 368 of the Code, we expect that we could, under certain circumstances, be required to indemnify Illumina for the resulting taxes and related expenses. Any such expected indemnification obligation could materially adversely affect our business, financial condition, and results of operations. For a description of such indemnification obligation, see “Certain Relationships and Related Party Transactions—Agreements with Illumina—Tax Matters Agreement” beginning on page 203 of this Information Statement.</w:t>
      </w:r>
    </w:p>
    <w:p>
      <w:pPr>
        <w:spacing w:after="0" w:line="256"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intend to agree to numerous restrictions to preserve the non-recognition treatment of the Distribution, which may reduce our strategic and operating flexibility.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agree in the Tax Matters Agreement to certain covenants and indemnification obligations that address compliance with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Section 355(e) of the Code. These covenants and indemnification obligations may limit our ability to pursue strategic transactions or engage in new</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businesses or other transactions that may otherwise maximize the value of our business, and might discourage or delay a strategic transaction that our</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shareholders may consider favorable. For more information, see the section entitled “Certain Relationships and Related Party Transactions—</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Agreements with Illumina—Tax Matters Agreement” beginning on page 203 of this Information Statement.</w:t>
      </w:r>
    </w:p>
    <w:p>
      <w:pPr>
        <w:spacing w:after="0" w:line="271" w:lineRule="exact"/>
        <w:rPr>
          <w:sz w:val="20"/>
          <w:szCs w:val="20"/>
          <w:color w:val="auto"/>
        </w:rPr>
      </w:pPr>
    </w:p>
    <w:p>
      <w:pPr>
        <w:ind w:left="760" w:right="1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achieve some or all of the benefits that we expect to achieve from the Spin-Off, which could materially adversely affect our business, financial condition, and results of operations.</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as a separate, publicly traded company, we will be able to, among other things:</w:t>
      </w:r>
    </w:p>
    <w:p>
      <w:pPr>
        <w:spacing w:after="0" w:line="114" w:lineRule="exact"/>
        <w:rPr>
          <w:sz w:val="20"/>
          <w:szCs w:val="20"/>
          <w:color w:val="auto"/>
        </w:rPr>
      </w:pPr>
    </w:p>
    <w:p>
      <w:pPr>
        <w:ind w:left="1620" w:hanging="375"/>
        <w:spacing w:after="0"/>
        <w:tabs>
          <w:tab w:leader="none" w:pos="162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implement corporate strategies and policies that are targeted to our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better focus our financial resources on our specific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effective incentives for our management and employees that are more closely tied to our business performance;</w:t>
      </w:r>
    </w:p>
    <w:p>
      <w:pPr>
        <w:spacing w:after="0" w:line="113"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effectively articulate a clear investment proposition to attract a long-term investor base suited to our business, growth profile, and capital allocation priorities;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capital structure designed to meet our specific needs.</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However, we may not achieve these and other anticipated benefits for a variety of reasons, including, among other things:</w:t>
      </w:r>
    </w:p>
    <w:p>
      <w:pPr>
        <w:spacing w:after="0" w:line="114" w:lineRule="exact"/>
        <w:rPr>
          <w:sz w:val="20"/>
          <w:szCs w:val="20"/>
          <w:color w:val="auto"/>
        </w:rPr>
      </w:pPr>
    </w:p>
    <w:p>
      <w:pPr>
        <w:ind w:left="1620" w:right="140" w:hanging="375"/>
        <w:spacing w:after="0" w:line="278" w:lineRule="auto"/>
        <w:tabs>
          <w:tab w:leader="none" w:pos="162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will require significant amounts of management’s time and effort, which may divert management’s attention from operating and growing our business and may disrupt our operations;</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application of pushdown accounting, our balance sheet includes goodwill and intangible assets recognized by Illumina in connection with their acquisition of us that may be subject to additional impairment over time;</w:t>
      </w:r>
    </w:p>
    <w:p>
      <w:pPr>
        <w:spacing w:after="0" w:line="61" w:lineRule="exact"/>
        <w:rPr>
          <w:rFonts w:ascii="Times New Roman" w:cs="Times New Roman" w:eastAsia="Times New Roman" w:hAnsi="Times New Roman"/>
          <w:sz w:val="16"/>
          <w:szCs w:val="16"/>
          <w:color w:val="auto"/>
        </w:rPr>
      </w:pPr>
    </w:p>
    <w:p>
      <w:pPr>
        <w:ind w:left="1620" w:right="400" w:hanging="375"/>
        <w:spacing w:after="0" w:line="278" w:lineRule="auto"/>
        <w:tabs>
          <w:tab w:leader="none" w:pos="1620"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closing of the Spin-Off, our obligation to pay to Illumina a royalty will resume, which was suspended while we were owned by Illumina;</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460"/>
          </w:cols>
          <w:pgMar w:left="320" w:top="419" w:right="111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160" w:hanging="375"/>
        <w:spacing w:after="0" w:line="278" w:lineRule="auto"/>
        <w:tabs>
          <w:tab w:leader="none" w:pos="16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may be more susceptible to market fluctuations, the risk of takeover by third parties and other adverse events because our business will be less diversified than Illumina’s businesses prior to the Spin-Off;</w:t>
      </w:r>
    </w:p>
    <w:p>
      <w:pPr>
        <w:spacing w:after="0" w:line="61"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may require us to incur significant costs, including accounting, tax, legal, and other professional services costs and recruiting and relocation costs associated with hiring key senior management personnel who are new to our company, and costs to retain key management personnel;</w:t>
      </w:r>
    </w:p>
    <w:p>
      <w:pPr>
        <w:spacing w:after="0" w:line="73" w:lineRule="exact"/>
        <w:rPr>
          <w:rFonts w:ascii="Times New Roman" w:cs="Times New Roman" w:eastAsia="Times New Roman" w:hAnsi="Times New Roman"/>
          <w:sz w:val="16"/>
          <w:szCs w:val="16"/>
          <w:color w:val="auto"/>
        </w:rPr>
      </w:pPr>
    </w:p>
    <w:p>
      <w:pPr>
        <w:ind w:left="1620" w:right="460" w:hanging="375"/>
        <w:spacing w:after="0" w:line="278" w:lineRule="auto"/>
        <w:tabs>
          <w:tab w:leader="none" w:pos="16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costs and liabilities that were otherwise less significant to Illumina as a whole will be more significant for us and Illumina as separate companies after the separation;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58" w:lineRule="auto"/>
        <w:tabs>
          <w:tab w:leader="none" w:pos="162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Tax Matters Agreement that we will enter into with Illumina, we expect to be restricted from taking certain actions that could cause the Spin-Off or other related transactions to fail to qualify as a tax-free transaction and these restrictions may limit us for a period of time from pursuing certain strategic transactions and equity issuances or engaging in other transactions that might increase the value of our business.</w:t>
      </w:r>
    </w:p>
    <w:p>
      <w:pPr>
        <w:spacing w:after="0" w:line="16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If we fail to achieve some or all of the benefits expected to result from the Spin-Off, or if such benefits are delayed, our business, financial condition, and results of operations could be materially adversely affected.</w:t>
      </w:r>
    </w:p>
    <w:p>
      <w:pPr>
        <w:spacing w:after="0" w:line="236" w:lineRule="exact"/>
        <w:rPr>
          <w:sz w:val="20"/>
          <w:szCs w:val="20"/>
          <w:color w:val="auto"/>
        </w:rPr>
      </w:pPr>
    </w:p>
    <w:p>
      <w:pPr>
        <w:ind w:left="760" w:right="2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We have no history of operating as a separate, publicly traded company, and our historical financial data is not necessarily representative of the results that we would have achieved if we had been a separate, publicly traded company and may not be a reliable indicator of our future results.</w:t>
      </w:r>
    </w:p>
    <w:p>
      <w:pPr>
        <w:spacing w:after="0" w:line="23"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From January 2016 until our acquisition by Illumina on August 18, 2021, we operated as an independent privately held company. Although we are a wholly owned subsidiary of Illumina, in connection with the legal and regulatory matters described under the section entitled “The Spin Off,” our business is held and operated separately and independently from Illumina and Illumina must fund our operations and development. We derived the historical financial data included in this Information Statement from our consolidated financial statements and accounting records prepared as a wholly owned subsidiary of Illumina, and this data does not necessarily reflect the financial condition, results of operations, or cash flows that we would have achieved as a separate, publicly traded company during the periods presented or those that we will achieve in the future. This is primarily because of the following factors:</w:t>
      </w:r>
    </w:p>
    <w:p>
      <w:pPr>
        <w:spacing w:after="0" w:line="82" w:lineRule="exact"/>
        <w:rPr>
          <w:sz w:val="20"/>
          <w:szCs w:val="20"/>
          <w:color w:val="auto"/>
        </w:rPr>
      </w:pPr>
    </w:p>
    <w:p>
      <w:pPr>
        <w:ind w:left="1620" w:right="40" w:hanging="375"/>
        <w:spacing w:after="0" w:line="278" w:lineRule="auto"/>
        <w:tabs>
          <w:tab w:leader="none" w:pos="1620"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financial data may not fully reflect the costs associated with the Spin-Off, including the costs related to being an independent public company;</w:t>
      </w:r>
    </w:p>
    <w:p>
      <w:pPr>
        <w:spacing w:after="0" w:line="6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historical financial data does not reflect our obligations under the various transitional and other agreements we will enter into with Illumina in connection with the Spin-Off;</w:t>
      </w:r>
    </w:p>
    <w:p>
      <w:pPr>
        <w:spacing w:after="0" w:line="61" w:lineRule="exact"/>
        <w:rPr>
          <w:rFonts w:ascii="Times New Roman" w:cs="Times New Roman" w:eastAsia="Times New Roman" w:hAnsi="Times New Roman"/>
          <w:sz w:val="16"/>
          <w:szCs w:val="16"/>
          <w:color w:val="auto"/>
        </w:rPr>
      </w:pPr>
    </w:p>
    <w:p>
      <w:pPr>
        <w:ind w:left="1620" w:right="280" w:hanging="375"/>
        <w:spacing w:after="0" w:line="281" w:lineRule="auto"/>
        <w:tabs>
          <w:tab w:leader="none" w:pos="1620"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Illumina acquired us in August 2021, our working capital requirements and capital for our general corporate purposes, including capital expenditures, have been satisfied by Illumina. Following the Spin-Off, we will need to obtain additional financing from banks, through public offerings or private placements of debt or equity securities, strategic relationships, or other arrangements, which may or may not be available or may be available only on less attractive terms than we may have received as a part of Illumina; and</w:t>
      </w:r>
    </w:p>
    <w:p>
      <w:pPr>
        <w:spacing w:after="0" w:line="60" w:lineRule="exact"/>
        <w:rPr>
          <w:rFonts w:ascii="Times New Roman" w:cs="Times New Roman" w:eastAsia="Times New Roman" w:hAnsi="Times New Roman"/>
          <w:sz w:val="15"/>
          <w:szCs w:val="15"/>
          <w:color w:val="auto"/>
        </w:rPr>
      </w:pPr>
    </w:p>
    <w:p>
      <w:pPr>
        <w:ind w:left="1620" w:right="580" w:hanging="375"/>
        <w:spacing w:after="0" w:line="278" w:lineRule="auto"/>
        <w:tabs>
          <w:tab w:leader="none" w:pos="1620"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expect that the cost of capital for our business will be higher than Illumina’s cost of capital prior to the Spin-Off.</w:t>
      </w:r>
    </w:p>
    <w:p>
      <w:pPr>
        <w:spacing w:after="0" w:line="145"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Other significant changes may occur in our cost structure, management, financing, and business operations as a result of operating as a separate, publicly traded company. As such, our historical financial data may not be indicative of our future performance as a separate, publicly traded company. For additional information about our past financial performance and the basis of presentation of our financial statements, see “Selected Historical Financial Data,” “Unaudited Pro Forma Condensed Consolidated Financial Information,” and “Management’s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460"/>
          </w:cols>
          <w:pgMar w:left="320" w:top="419" w:right="111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360"/>
        <w:spacing w:after="0" w:line="263" w:lineRule="auto"/>
        <w:rPr>
          <w:sz w:val="20"/>
          <w:szCs w:val="20"/>
          <w:color w:val="auto"/>
        </w:rPr>
      </w:pPr>
      <w:r>
        <w:rPr>
          <w:rFonts w:ascii="Times New Roman" w:cs="Times New Roman" w:eastAsia="Times New Roman" w:hAnsi="Times New Roman"/>
          <w:sz w:val="16"/>
          <w:szCs w:val="16"/>
          <w:color w:val="auto"/>
        </w:rPr>
        <w:t>Discussion and Analysis of Financial Condition and Results of Operations” beginning on pages 110, 112, and 168, respectively, of this Information Statement and our Consolidated Financial Statements and the notes thereto included in “Index to Consolidated Financial Statements” beginning on page F-1 of this Information Statement.</w:t>
      </w:r>
    </w:p>
    <w:p>
      <w:pPr>
        <w:spacing w:after="0" w:line="248" w:lineRule="exact"/>
        <w:rPr>
          <w:sz w:val="20"/>
          <w:szCs w:val="20"/>
          <w:color w:val="auto"/>
        </w:rPr>
      </w:pPr>
    </w:p>
    <w:p>
      <w:pPr>
        <w:ind w:left="760" w:right="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customers, prospective customers, suppliers, or other companies with whom we conduct business may conclude that our financial stability as a separate, publicly traded company is insufficient to satisfy their requirements for doing or continuing to do business with them.</w:t>
      </w:r>
    </w:p>
    <w:p>
      <w:pPr>
        <w:spacing w:after="0" w:line="45"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Some of our customers, prospective customers, suppliers, or other companies with whom we conduct business may conclude that our financial stability as a separate, publicly traded company is insufficient to satisfy their requirements for doing or continuing to do business with them, or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w:t>
      </w:r>
    </w:p>
    <w:p>
      <w:pPr>
        <w:spacing w:after="0" w:line="252"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The unaudited pro forma condensed consolidated financial information included in this Information Statement is presented for informational purposes only and may not be an indication of our financial condition or results of operations in the future.</w:t>
      </w:r>
    </w:p>
    <w:p>
      <w:pPr>
        <w:spacing w:after="0" w:line="4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included in this Information Statement is presented for informational purposes only and are not necessarily indicative of what our actual financial condition or results of operations would have been had the Spin-Off been completed on the date indicated. The assumptions used in preparing the pro forma financial information may not prove to be accurate and other factors may affect our financial condition or results of operations. Accordingly, our financial condition and results of operations in the future may not be evident from or consistent with such pro forma financial information.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Until the distribution occurs, the Illumina Board may change the terms of the Spin-Off in ways that may be unfavorable to us.</w:t>
      </w:r>
    </w:p>
    <w:p>
      <w:pPr>
        <w:spacing w:after="0" w:line="106" w:lineRule="exact"/>
        <w:rPr>
          <w:sz w:val="20"/>
          <w:szCs w:val="20"/>
          <w:color w:val="auto"/>
        </w:rPr>
      </w:pPr>
    </w:p>
    <w:p>
      <w:pPr>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Until the Distribution occurs, we will continue to be a wholly owned subsidiary of Illumina. Accordingly, Illumina has the discretion to determine and change the terms of the Spin-Off, including the establishment of the Record Date (as defined below) and the Distribution Date, and these changes could be unfavorable to us. In addition, the Illumina Board may decide not to proceed with the Spin-Off at any time prior to the Distribution.</w:t>
      </w:r>
    </w:p>
    <w:p>
      <w:pPr>
        <w:spacing w:after="0" w:line="230"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No vote of Illumina shareholders is required in connection with the Spin-Off. As a result, if the Spin-Off occurs and you do not want to receive our common stock in the Distribution, your sole recourse will be to divest yourself of your Illumina common stock prior to the Record Date or in the “regular-way” trading market during the period prior to the Distribution.</w:t>
      </w:r>
    </w:p>
    <w:p>
      <w:pPr>
        <w:spacing w:after="0" w:line="59"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No vote of Illumina shareholders is required in connection with the Spin-Off. Accordingly, if the Distribution occurs and you do not want to receive our common stock in the Distribution, your only recourse will be to divest yourself of your Illumina common stock prior to the Record Date or in the “regular-way” trading market during the period prior to the Distribution.</w:t>
      </w:r>
    </w:p>
    <w:p>
      <w:pPr>
        <w:spacing w:after="0" w:line="248"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After the distribution, certain of our executive officers may have actual or potential conflicts of interest because of their equity interests in Illumina.</w:t>
      </w:r>
    </w:p>
    <w:p>
      <w:pPr>
        <w:spacing w:after="0" w:line="4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Because of their former positions with Illumina, certain of our executive officers own equity interests in Illumina. Continuing ownership of shares of Illumina common stock and equity awards (assuming such awards do not convert to GRAIL awards) could create, or appear to create, potential conflicts of interest if we and Illumina face decisions that could have implications for both Illumina and us after the separation.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480"/>
          </w:cols>
          <w:pgMar w:left="320" w:top="418" w:right="109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Common Stock</w:t>
      </w:r>
    </w:p>
    <w:p>
      <w:pPr>
        <w:spacing w:after="0" w:line="100"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No market for our common stock currently exists and an active trading market may not develop or be sustained after the Spin-Off. Following the Spin-Off our stock price may fluctuate significantly.</w:t>
      </w:r>
    </w:p>
    <w:p>
      <w:pPr>
        <w:spacing w:after="0" w:line="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There is currently no public market for our common stock. We intend to apply to list our common stock on Nasdaq. We anticipate that before the Distribution Date, trading of shares of our common stock will begin on a “when-issued” basis and this trading will continue up to and including the Distribution Date. However, an active trading market for our common stock may not develop as a result of the Spin-Off or may not be sustained in the future. The lack of an active market may make it more difficult for shareholders to sell our shares and could lead to our share price being depressed or volatile.</w:t>
      </w:r>
    </w:p>
    <w:p>
      <w:pPr>
        <w:spacing w:after="0" w:line="165"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We cannot predict the prices at which our common stock may trade after the Spin-Off. The market price of our common stock may fluctuate widely, depending on many factors, some of which may be beyond our control, including:</w:t>
      </w:r>
    </w:p>
    <w:p>
      <w:pPr>
        <w:spacing w:after="0" w:line="62" w:lineRule="exact"/>
        <w:rPr>
          <w:sz w:val="20"/>
          <w:szCs w:val="20"/>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success of Galleri and the degree to which it meets the expectations for securities analysts and investors;</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launch of our other products, including DAC, and the degree to which the launch and commercialization thereof meets the expectations for securities analysts and investors;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clinical studies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or termination of collaborations for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overall establishment of the MCED testing field and the success of future third-party tests, services, or technologies;</w:t>
      </w:r>
    </w:p>
    <w:p>
      <w:pPr>
        <w:spacing w:after="0" w:line="220"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studies, or regulatory approvals (or certifications) of future diagnostic tests of third parties, or announcements about new research programs or diagnostic tests of third parties;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research programs or clinical development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estimates as to our financial results or development timelines;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our financial results, forecasts, and development timelines meet the expectations of securities analysts or investors;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financing efforts;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our insiders, Illumina, or other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or recommendations by securities analysts, if any, that cover our stock;</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 including changes that would affect coverage and reimbursement by third-party payors;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healthcare sector;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420"/>
          </w:cols>
          <w:pgMar w:left="320" w:top="419" w:right="11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Furthermore, our business profile and market capitalization may not fit the investment objectives of some Illumina shareholders and, as a result, these Illumina shareholders may sell their shares of our common stock after the Distribution. See “—Substantial sales of our common stock may occur in connection with the Spin-Off, including the disposition by Illumina of the shares of our common stock that it retains after the Spin-Off, which could cause our stock price to decline” beginning on page 91 of this Information Statement. Low trading volume for our stock, which may occur if an active trading market does not develop, among other reasons, would amplify the effect of the above factors on our stock price volatility.</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Additionally, in recent years, stock markets in general, and the market for healthcare companies in particular (including companies in the biotechnology, diagnostics, and related sectors),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See “—We could be subject to securities class action litigation” beginning on page 94 of this Information Statement.</w:t>
      </w:r>
    </w:p>
    <w:p>
      <w:pPr>
        <w:spacing w:after="0" w:line="256" w:lineRule="exact"/>
        <w:rPr>
          <w:sz w:val="20"/>
          <w:szCs w:val="20"/>
          <w:color w:val="auto"/>
        </w:rPr>
      </w:pPr>
    </w:p>
    <w:p>
      <w:pPr>
        <w:ind w:left="760" w:right="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securities analysts do not publish research or reports about our business or if they publish negative evaluations of our stock, the price of our stock could decline.</w:t>
      </w:r>
    </w:p>
    <w:p>
      <w:pPr>
        <w:spacing w:after="0" w:line="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trading market for our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56" w:lineRule="exact"/>
        <w:rPr>
          <w:sz w:val="20"/>
          <w:szCs w:val="20"/>
          <w:color w:val="auto"/>
        </w:rPr>
      </w:pPr>
    </w:p>
    <w:p>
      <w:pPr>
        <w:ind w:left="760" w:right="3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existing stockholders, restrict our operations, or require us to relinquish rights to our technologies or our products.</w:t>
      </w:r>
    </w:p>
    <w:p>
      <w:pPr>
        <w:spacing w:after="0" w:line="45" w:lineRule="exact"/>
        <w:rPr>
          <w:sz w:val="20"/>
          <w:szCs w:val="20"/>
          <w:color w:val="auto"/>
        </w:rPr>
      </w:pPr>
    </w:p>
    <w:p>
      <w:pPr>
        <w:ind w:left="760" w:right="100" w:firstLine="388"/>
        <w:spacing w:after="0" w:line="269" w:lineRule="auto"/>
        <w:rPr>
          <w:sz w:val="20"/>
          <w:szCs w:val="20"/>
          <w:color w:val="auto"/>
        </w:rPr>
      </w:pPr>
      <w:r>
        <w:rPr>
          <w:rFonts w:ascii="Times New Roman" w:cs="Times New Roman" w:eastAsia="Times New Roman" w:hAnsi="Times New Roman"/>
          <w:sz w:val="15"/>
          <w:szCs w:val="15"/>
          <w:color w:val="auto"/>
        </w:rPr>
        <w:t>We expect to seek additional capital, and may pursue fundraising paths that could include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will depend on market conditions and other factors beyond our control, we cannot predict or estimate the amount, timing or nature of any future financings.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we may pursue collaborations with third parties that could provide capital in the near term but limit our potential revenues or cash flows in the future. If we raise additional funds through strategic partnerships, alliances, or licensing arrangements with third parties, we may have to trade valuable rights to our technologies or our products. Certain of the foregoing transactions may require us to obtain stockholder approval, which we may not be able to obtain.</w:t>
      </w:r>
    </w:p>
    <w:p>
      <w:pPr>
        <w:spacing w:after="0" w:line="158"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In addition, your ownership interest may be diluted in the future because of the settlement or exercise of equity-based awards that we expect to grant to our directors, officers, and other employees. Prior to completion of the Spin-Off, we expect to approve an equity incentive plan that will provide for the grant of equity-based awards to our directors, officers, and other employees, including equity grants that are expected to be made upon completion of the Spin-Off. In addition, each Cash-Based Equity Award outstanding as of the Distribution Date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480"/>
          </w:cols>
          <w:pgMar w:left="320" w:top="419" w:right="109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20"/>
        <w:spacing w:after="0" w:line="278" w:lineRule="auto"/>
        <w:rPr>
          <w:sz w:val="20"/>
          <w:szCs w:val="20"/>
          <w:color w:val="auto"/>
        </w:rPr>
      </w:pPr>
      <w:r>
        <w:rPr>
          <w:rFonts w:ascii="Times New Roman" w:cs="Times New Roman" w:eastAsia="Times New Roman" w:hAnsi="Times New Roman"/>
          <w:sz w:val="16"/>
          <w:szCs w:val="16"/>
          <w:color w:val="auto"/>
        </w:rPr>
        <w:t>may convert into GRAIL RSUs. For more information, see “Executive Compensation—Equity-Linked Compensation” beginning on page 192 of this Information Statement.</w:t>
      </w:r>
    </w:p>
    <w:p>
      <w:pPr>
        <w:spacing w:after="0" w:line="236" w:lineRule="exact"/>
        <w:rPr>
          <w:sz w:val="20"/>
          <w:szCs w:val="20"/>
          <w:color w:val="auto"/>
        </w:rPr>
      </w:pPr>
    </w:p>
    <w:p>
      <w:pPr>
        <w:ind w:left="760" w:right="4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45"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Exchange Act for at least one year (and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 (the “Securities Act”).</w:t>
      </w:r>
    </w:p>
    <w:p>
      <w:pPr>
        <w:spacing w:after="0" w:line="145"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w:t>
      </w:r>
    </w:p>
    <w:p>
      <w:pPr>
        <w:spacing w:after="0" w:line="62" w:lineRule="exact"/>
        <w:rPr>
          <w:sz w:val="20"/>
          <w:szCs w:val="20"/>
          <w:color w:val="auto"/>
        </w:rPr>
      </w:pPr>
    </w:p>
    <w:p>
      <w:pPr>
        <w:ind w:left="1620" w:right="280" w:hanging="375"/>
        <w:spacing w:after="0" w:line="278" w:lineRule="auto"/>
        <w:tabs>
          <w:tab w:leader="none" w:pos="162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the auditor attestation requirements of the assessment of our internal control over financial reporting under Section 404(b) of the Sarbanes-Oxley Act of 2002 (“SOX”);</w:t>
      </w:r>
    </w:p>
    <w:p>
      <w:pPr>
        <w:spacing w:after="0" w:line="61"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new or revised financial accounting standards applicable to public companies until such standards are also applicable to private companies;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in our periodic reports, proxy statements, and registration statements; and</w:t>
      </w:r>
    </w:p>
    <w:p>
      <w:pPr>
        <w:spacing w:after="0" w:line="125" w:lineRule="exact"/>
        <w:rPr>
          <w:rFonts w:ascii="Times New Roman" w:cs="Times New Roman" w:eastAsia="Times New Roman" w:hAnsi="Times New Roman"/>
          <w:sz w:val="15"/>
          <w:szCs w:val="15"/>
          <w:color w:val="auto"/>
        </w:rPr>
      </w:pPr>
    </w:p>
    <w:p>
      <w:pPr>
        <w:ind w:left="1620" w:right="200" w:hanging="375"/>
        <w:spacing w:after="0" w:line="278" w:lineRule="auto"/>
        <w:tabs>
          <w:tab w:leader="none" w:pos="162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 of holding a nonbinding advisory vote on executive compensation and shareholder approval on golden parachute compensation not previously approved.</w:t>
      </w:r>
    </w:p>
    <w:p>
      <w:pPr>
        <w:spacing w:after="0" w:line="1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shareholders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our stock price.</w:t>
      </w:r>
    </w:p>
    <w:p>
      <w:pPr>
        <w:spacing w:after="0" w:line="16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addition, 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480"/>
          </w:cols>
          <w:pgMar w:left="320" w:top="419" w:right="109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4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Illumina shareholders receiving shares of our common stock in the Distribution generally may sell those shares immediately in the public market. It is likely that some Illumina shareholders, including some of its larger shareholders, will sell their shares of our common stock received in the Distribution if, for reasons such as our business profile or market capitalization as an independent company, we do not fit their investment objectives, or, in the case of index funds, we are not a participant in the index in which they are investing.</w:t>
      </w:r>
    </w:p>
    <w:p>
      <w:pPr>
        <w:spacing w:after="0" w:line="161"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Following the Distribution, Illumina will retain up to a 14.5% ownership interest of our common stock. We expect to enter into a Stockholder and Registration Rights Agreement with Illumina, pursuant to which we will provide Illumina registration rights with respect to the shares of our common stock it will retain following the Distribution. In addition, Illumina will agree to vote any shares of our common stock that it retains in proportion to the votes cast by our other stockholders and to grant us a proxy to vote its shares of our common stock in such proportion. Pursuant to the IRS private letter ruling, Illumina expects to be required to dispose of any such shares of our common stock that it retains as soon as warranted consistent with the business reasons for the retention of such shares, but in no event later than five years after the Distribution. See “Certain Relationships and Related Party Transactions—Agreements with Illumina” beginning on page 202 of this Information Statement. We are unable to predict with certainty when Illumina will dispose of a substantial number of shares of common stock following the Distribution. The sales of significant amounts of our common stock by Illumina or any other significant shareholders, or the perception in the market that this will occur, may decrease the market price of our common stock.</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do not expect to pay any dividends for the foreseeable future.</w:t>
      </w:r>
    </w:p>
    <w:p>
      <w:pPr>
        <w:spacing w:after="0" w:line="106" w:lineRule="exact"/>
        <w:rPr>
          <w:sz w:val="20"/>
          <w:szCs w:val="20"/>
          <w:color w:val="auto"/>
        </w:rPr>
      </w:pPr>
    </w:p>
    <w:p>
      <w:pPr>
        <w:ind w:left="760" w:right="140" w:firstLine="388"/>
        <w:spacing w:after="0" w:line="289" w:lineRule="auto"/>
        <w:rPr>
          <w:sz w:val="20"/>
          <w:szCs w:val="20"/>
          <w:color w:val="auto"/>
        </w:rPr>
      </w:pPr>
      <w:r>
        <w:rPr>
          <w:rFonts w:ascii="Times New Roman" w:cs="Times New Roman" w:eastAsia="Times New Roman" w:hAnsi="Times New Roman"/>
          <w:sz w:val="15"/>
          <w:szCs w:val="15"/>
          <w:color w:val="auto"/>
        </w:rPr>
        <w:t>You should not rely on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w:t>
      </w:r>
    </w:p>
    <w:p>
      <w:pPr>
        <w:spacing w:after="0" w:line="230"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will incur increased costs as a result of operating as a public company. Our management will be required to devote substantial time to new compliance initiatives and corporate governance practices.</w:t>
      </w:r>
    </w:p>
    <w:p>
      <w:pPr>
        <w:spacing w:after="0" w:line="45"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As a public company, and particularly after we are no longer an emerging growth company, we will incur significant legal, accounting, and other expenses that we did not incur as a private company. SOX Section 404, the Dodd-Frank Wall Street Reform and Consumer Protection Act, the Listing Rules, and other applicable U.S.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460"/>
          </w:cols>
          <w:pgMar w:left="320" w:top="419" w:right="111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259" w:lineRule="exact"/>
        <w:rPr>
          <w:sz w:val="20"/>
          <w:szCs w:val="20"/>
          <w:color w:val="auto"/>
        </w:rPr>
      </w:pPr>
    </w:p>
    <w:p>
      <w:pPr>
        <w:ind w:left="760" w:right="1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Certain provisions in our Certificate of Incorporation and Bylaws and Delaware law may discourage, delay, or prevent a change in control of our company or changes in our management and, therefore, depress the trading price of our common stock.</w:t>
      </w:r>
    </w:p>
    <w:p>
      <w:pPr>
        <w:spacing w:after="0" w:line="45" w:lineRule="exact"/>
        <w:rPr>
          <w:sz w:val="20"/>
          <w:szCs w:val="20"/>
          <w:color w:val="auto"/>
        </w:rPr>
      </w:pPr>
    </w:p>
    <w:p>
      <w:pPr>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Several provisions of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spacing w:after="0" w:line="78" w:lineRule="exact"/>
        <w:rPr>
          <w:sz w:val="20"/>
          <w:szCs w:val="20"/>
          <w:color w:val="auto"/>
        </w:rPr>
      </w:pPr>
    </w:p>
    <w:p>
      <w:pPr>
        <w:ind w:left="1620" w:right="240" w:hanging="375"/>
        <w:spacing w:after="0" w:line="278" w:lineRule="auto"/>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that our board of directors is divided into three classes: Class I, Class II, and Class III, with each class serving staggered three-year terms;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directors may be removed only for cause;</w:t>
      </w:r>
    </w:p>
    <w:p>
      <w:pPr>
        <w:spacing w:after="0" w:line="11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vacancies on our board of directors may be filled only by a majority of directors then in office, even though less than a quorum;</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cumulative voting in the election of directors;</w:t>
      </w:r>
    </w:p>
    <w:p>
      <w:pPr>
        <w:spacing w:after="0" w:line="113"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shares of preferred stock and determine the price and other terms of those shares, including preferences and voting rights, without stockholder approval;</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stockholders to take actions only at a duly called annual or special meeting and not by unanimous written consent;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stockholders from calling a special meeting of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stockholders give advance notice to nominate directors or submit proposals for consideration at stockholder meetings;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by a majority vote, to amend certain provisions of the Bylaws; and</w:t>
      </w:r>
    </w:p>
    <w:p>
      <w:pPr>
        <w:sectPr>
          <w:pgSz w:w="11900" w:h="16838" w:orient="portrait"/>
          <w:cols w:equalWidth="0" w:num="1">
            <w:col w:w="10480"/>
          </w:cols>
          <w:pgMar w:left="320" w:top="419" w:right="1099" w:bottom="1440" w:gutter="0" w:footer="0" w:header="0"/>
        </w:sectPr>
      </w:pPr>
    </w:p>
    <w:p>
      <w:pPr>
        <w:spacing w:after="0" w:line="1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require the affirmative vote of at least above.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or more of the outstanding shares of common stock to amend many of the provisions described</w:t>
      </w:r>
    </w:p>
    <w:p>
      <w:pPr>
        <w:spacing w:after="0" w:line="398" w:lineRule="exact"/>
        <w:rPr>
          <w:sz w:val="20"/>
          <w:szCs w:val="20"/>
          <w:color w:val="auto"/>
        </w:rPr>
      </w:pPr>
    </w:p>
    <w:p>
      <w:pPr>
        <w:sectPr>
          <w:pgSz w:w="11900" w:h="16838" w:orient="portrait"/>
          <w:cols w:equalWidth="0" w:num="3">
            <w:col w:w="1300" w:space="320"/>
            <w:col w:w="2400" w:space="200"/>
            <w:col w:w="6260"/>
          </w:cols>
          <w:pgMar w:left="320" w:top="419" w:right="1099" w:bottom="1440" w:gutter="0" w:footer="0" w:header="0"/>
          <w:type w:val="continuous"/>
        </w:sect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In addition, Section 203 of the Delaware General Corporation Law (“DGCL”) prohibits a Delaware corporation from engaging in a business combination with any interested stockholder for a period of three years following the date the person became an interested stockholder, subject to certain exceptions. In general, Section 203 of the DGCL defines an “interested stockholder” as an entity or person who, together with the entity’s or person’s affiliates, beneficially owns, or is an affiliate of the corporation and within three years prior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0480"/>
          </w:cols>
          <w:pgMar w:left="320" w:top="419" w:right="1099" w:bottom="1440" w:gutter="0" w:footer="0" w:header="0"/>
          <w:type w:val="continuous"/>
        </w:sectPr>
      </w:pPr>
    </w:p>
    <w:bookmarkStart w:id="356" w:name="page357"/>
    <w:bookmarkEnd w:id="3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63" w:lineRule="auto"/>
        <w:rPr>
          <w:sz w:val="20"/>
          <w:szCs w:val="20"/>
          <w:color w:val="auto"/>
        </w:rPr>
      </w:pPr>
      <w:r>
        <w:rPr>
          <w:rFonts w:ascii="Times New Roman" w:cs="Times New Roman" w:eastAsia="Times New Roman" w:hAnsi="Times New Roman"/>
          <w:sz w:val="16"/>
          <w:szCs w:val="16"/>
          <w:color w:val="auto"/>
        </w:rPr>
        <w:t>to the time of determination of interested stockholder status did own, 15% or more of the outstanding voting stock of the corporation. A Delaware corporation may “opt out” of these provisions with an express provision in its certificate of incorporation. We have not opted out of Section 203 of the DGCL in our Certificate of Incorporation.</w:t>
      </w:r>
    </w:p>
    <w:p>
      <w:pPr>
        <w:spacing w:after="0" w:line="157"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These and other provisions of our Certificate of Incorporation, Bylaws and Delaware law may discourage, delay, or prevent certain types of transactions involving an actual or a threatened acquisition or change in control of us including unsolicited takeover attempts, even though the transaction may offer our shareholders the opportunity to sell their shares of our common stock at a price above the prevailing market price. For more information, see “Description of Our Capital Stock—Certain Provisions of Delaware Law, Our Certificate of Incorporation and Bylaws” beginning on page 207 of this Information Statement.</w:t>
      </w:r>
    </w:p>
    <w:p>
      <w:pPr>
        <w:spacing w:after="0" w:line="256" w:lineRule="exact"/>
        <w:rPr>
          <w:sz w:val="20"/>
          <w:szCs w:val="20"/>
          <w:color w:val="auto"/>
        </w:rPr>
      </w:pPr>
    </w:p>
    <w:p>
      <w:pPr>
        <w:ind w:left="760" w:right="4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will designate the Court of Chancery of the State of Delaware as the sole and exclusive forum for substantially all disputes between us and our stockholders, which could limit our stockholders’ ability to obtain a favorable judicial forum for disputes with us or our directors, officers, or other employees.</w:t>
      </w:r>
    </w:p>
    <w:p>
      <w:pPr>
        <w:spacing w:after="0" w:line="59"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w:t>
      </w:r>
    </w:p>
    <w:p>
      <w:pPr>
        <w:spacing w:after="0" w:line="62" w:lineRule="exact"/>
        <w:rPr>
          <w:sz w:val="20"/>
          <w:szCs w:val="20"/>
          <w:color w:val="auto"/>
        </w:rPr>
      </w:pPr>
    </w:p>
    <w:p>
      <w:pPr>
        <w:ind w:left="1620" w:hanging="375"/>
        <w:spacing w:after="0"/>
        <w:tabs>
          <w:tab w:leader="none" w:pos="162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action or proceeding brought on our behalf;</w:t>
      </w:r>
    </w:p>
    <w:p>
      <w:pPr>
        <w:spacing w:after="0" w:line="113" w:lineRule="exact"/>
        <w:rPr>
          <w:rFonts w:ascii="Times New Roman" w:cs="Times New Roman" w:eastAsia="Times New Roman" w:hAnsi="Times New Roman"/>
          <w:sz w:val="16"/>
          <w:szCs w:val="16"/>
          <w:color w:val="auto"/>
        </w:rPr>
      </w:pPr>
    </w:p>
    <w:p>
      <w:pPr>
        <w:ind w:left="1620" w:right="620" w:hanging="375"/>
        <w:spacing w:after="0" w:line="278" w:lineRule="auto"/>
        <w:tabs>
          <w:tab w:leader="none" w:pos="162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a fiduciary duty owed by any current of former directors, officers or other employees, or stockholders to us or our stockholders;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DGCL or our amended and restated Certificate of Incorporation and Bylaws;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governed by the internal affairs doctrine.</w:t>
      </w:r>
    </w:p>
    <w:p>
      <w:pPr>
        <w:spacing w:after="0" w:line="197"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However, this provision would not apply to suits brought to enforce a duty or liability created by the Exchange Act, or any other claim for which the federal courts have exclusive jurisdiction. Furthermore,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purchasing or otherwise acquiring or holding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with our directors, officers, other employees or agents, or our other stockholders, which may discourage such lawsuits against us and such other persons.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rights associated with our common stock will differ from the rights associated with Illumina common stock.</w:t>
      </w:r>
    </w:p>
    <w:p>
      <w:pPr>
        <w:spacing w:after="0" w:line="106" w:lineRule="exact"/>
        <w:rPr>
          <w:sz w:val="20"/>
          <w:szCs w:val="20"/>
          <w:color w:val="auto"/>
        </w:rPr>
      </w:pPr>
    </w:p>
    <w:p>
      <w:pPr>
        <w:jc w:val="both"/>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Upon completion of the Distribution, the rights of Illumina shareholders who become our shareholders will be governed by our Certificate of Incorporation and Bylaws and by Delaware law. The rights associated with Illumina shares are different from the rights associated with our shares. Material differences between the rights of Illumina shareholders and the rights of our shareholders include differences with respect to, among other things:</w:t>
      </w:r>
    </w:p>
    <w:p>
      <w:pPr>
        <w:spacing w:after="0" w:line="78" w:lineRule="exact"/>
        <w:rPr>
          <w:sz w:val="20"/>
          <w:szCs w:val="20"/>
          <w:color w:val="auto"/>
        </w:rPr>
      </w:pPr>
    </w:p>
    <w:p>
      <w:pPr>
        <w:ind w:left="1620" w:hanging="375"/>
        <w:spacing w:after="0"/>
        <w:tabs>
          <w:tab w:leader="none" w:pos="1620" w:val="left"/>
        </w:tabs>
        <w:numPr>
          <w:ilvl w:val="0"/>
          <w:numId w:val="3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board of directors is classified;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of shareholders to call special meetings;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460"/>
          </w:cols>
          <w:pgMar w:left="320" w:top="419" w:right="111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standard in director elections;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anti-takeover measures.</w:t>
      </w:r>
    </w:p>
    <w:p>
      <w:pPr>
        <w:spacing w:after="0" w:line="197"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For more information, see “Description of Our Capital Stock—Certain Provisions of Delaware Law, Our Certificate of Incorporation and Bylaws” beginning on page 207 of this Information Statement.</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could be subject to securities class action litigation.</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brought against a company following a decline in the market price of its securities. This risk is especially relevant for us, because healthcare companies have experienced significant stock price volatility in recent years. If we face such litigation, it could result in substantial costs and a diversion of our management’s attention and resources, which could harm our business.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460"/>
          </w:cols>
          <w:pgMar w:left="320" w:top="419" w:right="111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CAUTIONARY STATEMENT CONCERNING FORWARD-LOOKING STATEMENTS</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This Information Statement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compliance, potential market opportunity, anticipated growth strategies, and anticipated trends in our business and the Spin-Off, including the expected timing of completion of the Spin-Off and estimated costs associated with the Spin-Off.</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discussed under the section entitled “Risk Factors.” You should specifically consider the numerous risks described under the section entitled “Risk Factors.”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spacing w:after="0" w:line="16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Although we believe the expectations and projections expressed or implied by the forward-looking statements are reasonable, we cannot guarantee future results, level of activity, performance, or achievements. Moreover, neither we nor any other person assumes responsibility for the accuracy and completeness of any of these forward-looking statements. Except to the extent required by law, we undertake no obligation to update any of these forward-looking statements after the date of this Information Statement to conform our prior statements to actual results or revised expectations or to reflect new information or the occurrence of unanticipated events. Given these risks, uncertainties, and assumptions, you are cautioned not to place undue reliance on such forward-looking statements as predictions of future performance or otherwise.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480"/>
          </w:cols>
          <w:pgMar w:left="320" w:top="419" w:right="109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04" w:lineRule="exact"/>
        <w:rPr>
          <w:sz w:val="20"/>
          <w:szCs w:val="20"/>
          <w:color w:val="auto"/>
        </w:rPr>
      </w:pPr>
    </w:p>
    <w:p>
      <w:pPr>
        <w:ind w:left="760" w:firstLine="388"/>
        <w:spacing w:after="0" w:line="267" w:lineRule="auto"/>
        <w:rPr>
          <w:sz w:val="20"/>
          <w:szCs w:val="20"/>
          <w:color w:val="auto"/>
        </w:rPr>
      </w:pPr>
      <w:r>
        <w:rPr>
          <w:rFonts w:ascii="Times New Roman" w:cs="Times New Roman" w:eastAsia="Times New Roman" w:hAnsi="Times New Roman"/>
          <w:sz w:val="15"/>
          <w:szCs w:val="15"/>
          <w:color w:val="auto"/>
        </w:rPr>
        <w:t>Illumina completed its acquisition of us on August 18, 2021 (the “Acquisition”). At the same time, Illumina executed binding commitments pursuant to which Illumina would hold GRAIL separately during the European Commission’s review of the Acquisition (the “Hold Separate Commitments”). In April 2021, the European Commission asserted jurisdiction to review the Acquisition pursuant to Article 22 of Council Regulation (EC) No 139/2004 (the “EU Merger Regulation”). On July 13, 2022, the General Court of the European Union dismissed Illumina’s action for annulment of the European Commission’s jurisdictional claim and ruled in favor of the Commission, holding that the European Commission has jurisdiction to review the Acquisition under the EU Merger Regulation. Illumina maintains that the European Commission does not have jurisdiction over the Acquisition, and on September 22 and 30, 2022, Illumina and GRAIL, respectively, each filed a separate appeal in the Court of Justice of the European Union, both of which remain pending. On September 6, 2022, the European Commission adopted a decision finding that, in its view, Illumina’s acquisition of GRAIL was incompatible with the internal market in Europe. On November 17, 2022, Illumina asked for annulment of this decision before the General Court of the European Union (GRAIL intervened in this procedure in support of Illumina). On July 12, 2023, the European Commission adopted a final decision finding that Illumina breached the EU Merger Regulation by, in its view, acquiring the possibility to exert decisive influence over GRAIL and exerting such influence during the pendency of the European Commission’s review. On September 26, 2023, Illumina sought the annulment of this decision. On October 29, 2021, the European Commission adopted an order imposing interim measures, (the “Initial Interim Measures Orders”) which was renewed on October 28, 2022 (the “Second Interim Measures Orders”). Illumina and GRAIL both sought the annulment of the initial interim measures, and Illumina—with GRAIL intervening in its support—also sought the annulment of the renewed interim measures. The European Commission imposed transitional measures on October 12, 2023 (the “Transitional Measures”) pursuant to the EC Divestment Decision (as defined below), which replaced the Initial Interim Measures Orders and Second Interim Measures Orders. Such measures provide, among other things, that (i) Illumina ensure that Illumina and GRAIL continue to operate as independent legal entities that transact at arm’s length, no integration activity takes place, the day-to-day operation of GRAIL remains the sole responsibility of GRAIL’s management and Illumina’s management has no involvement in or influence over GRAIL and (ii) Illumina take certain supportive measures to preserve GRAIL’s viability, marketability, and competitiveness, including with respect to the provision of resources to GRAIL and the retention and/or replacement of key personnel of GRAIL. Currently, GRAIL is held and operated separately and independently from Illumina and Illumina must fund GRAIL’s operations and development.</w:t>
      </w:r>
    </w:p>
    <w:p>
      <w:pPr>
        <w:spacing w:after="0" w:line="349" w:lineRule="exact"/>
        <w:rPr>
          <w:sz w:val="20"/>
          <w:szCs w:val="20"/>
          <w:color w:val="auto"/>
        </w:rPr>
      </w:pPr>
    </w:p>
    <w:p>
      <w:pPr>
        <w:ind w:left="760" w:right="120" w:firstLine="388"/>
        <w:spacing w:after="0" w:line="269" w:lineRule="auto"/>
        <w:rPr>
          <w:sz w:val="20"/>
          <w:szCs w:val="20"/>
          <w:color w:val="auto"/>
        </w:rPr>
      </w:pPr>
      <w:r>
        <w:rPr>
          <w:rFonts w:ascii="Times New Roman" w:cs="Times New Roman" w:eastAsia="Times New Roman" w:hAnsi="Times New Roman"/>
          <w:sz w:val="15"/>
          <w:szCs w:val="15"/>
          <w:color w:val="auto"/>
        </w:rPr>
        <w:t>On December 5, 2022, the European Commission issued a Statement of Objections informing Illumina of the order it intended to adopt which would require Illumina to divest GRAIL (the “EC Divestment Decision”). On October 12, 2023, the European Commission announced that it had adopted the EC Divestment Decision, which orders Illumina to, among other things, divest GRAIL, and imposes the Transitional Measures. The EC Divestment Decision requires Illumina to dispose of GRAIL within 12 months of the date of the EC Divestment Decision (which date can be extended by three months in certain circumstances upon request by Illumina). The EC Divestment Decision permits Illumina to consider a range of methods of</w:t>
      </w:r>
    </w:p>
    <w:p>
      <w:pPr>
        <w:spacing w:after="0" w:line="2" w:lineRule="exact"/>
        <w:rPr>
          <w:sz w:val="20"/>
          <w:szCs w:val="20"/>
          <w:color w:val="auto"/>
        </w:rPr>
      </w:pPr>
    </w:p>
    <w:p>
      <w:pPr>
        <w:ind w:left="760" w:right="100"/>
        <w:spacing w:after="0" w:line="248" w:lineRule="auto"/>
        <w:rPr>
          <w:sz w:val="20"/>
          <w:szCs w:val="20"/>
          <w:color w:val="auto"/>
        </w:rPr>
      </w:pPr>
      <w:r>
        <w:rPr>
          <w:rFonts w:ascii="Times New Roman" w:cs="Times New Roman" w:eastAsia="Times New Roman" w:hAnsi="Times New Roman"/>
          <w:sz w:val="16"/>
          <w:szCs w:val="16"/>
          <w:color w:val="auto"/>
        </w:rPr>
        <w:t>disposal including, but not limited to, a third-party sale or a capital markets transaction. On , 2023, Illumina applied for the suspension of the execution of certain provisions of the EC Divestment Decision, and sought the annulment of the EC Divestment Decision. On , the European</w:t>
      </w:r>
    </w:p>
    <w:p>
      <w:pPr>
        <w:spacing w:after="0" w:line="1" w:lineRule="exact"/>
        <w:rPr>
          <w:sz w:val="20"/>
          <w:szCs w:val="20"/>
          <w:color w:val="auto"/>
        </w:rPr>
      </w:pPr>
    </w:p>
    <w:p>
      <w:pPr>
        <w:ind w:left="760" w:right="260"/>
        <w:spacing w:after="0" w:line="250" w:lineRule="auto"/>
        <w:rPr>
          <w:sz w:val="20"/>
          <w:szCs w:val="20"/>
          <w:color w:val="auto"/>
        </w:rPr>
      </w:pPr>
      <w:r>
        <w:rPr>
          <w:rFonts w:ascii="Times New Roman" w:cs="Times New Roman" w:eastAsia="Times New Roman" w:hAnsi="Times New Roman"/>
          <w:sz w:val="16"/>
          <w:szCs w:val="16"/>
          <w:color w:val="auto"/>
        </w:rPr>
        <w:t>Commission approved a divestment plan (the “Divestment Plan”) submitted by Illumina pursuant to which Illumina agreed to divest GRAIL on specified terms. The EC Divestment Decision permits Illumina to retain up to a 14.5% ownership interest in GRAIL and to re-establish the royalty arrangement it previously had in place with GRAIL. See the section entitled “Certain Relationships and Related Party Transactions—Ongoing Commercial Agreements” beginning on page 204 of this Information Statement for more detail. Assuming the Spin-Off is consummated, Illumina is required to, among other things, ensure that GRAIL has sufficient funding to cover a specified period of operations.</w:t>
      </w:r>
    </w:p>
    <w:p>
      <w:pPr>
        <w:sectPr>
          <w:pgSz w:w="11900" w:h="16838" w:orient="portrait"/>
          <w:cols w:equalWidth="0" w:num="1">
            <w:col w:w="10460"/>
          </w:cols>
          <w:pgMar w:left="320" w:top="419" w:right="1119" w:bottom="1440" w:gutter="0" w:footer="0" w:header="0"/>
        </w:sectPr>
      </w:pPr>
    </w:p>
    <w:p>
      <w:pPr>
        <w:spacing w:after="0" w:line="1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2024, Illumina announced plans for the separation of GRAIL from Illumina via the Spin-Off.</w:t>
      </w:r>
    </w:p>
    <w:p>
      <w:pPr>
        <w:spacing w:after="0" w:line="148" w:lineRule="exact"/>
        <w:rPr>
          <w:sz w:val="20"/>
          <w:szCs w:val="20"/>
          <w:color w:val="auto"/>
        </w:rPr>
      </w:pPr>
    </w:p>
    <w:p>
      <w:pPr>
        <w:sectPr>
          <w:pgSz w:w="11900" w:h="16838" w:orient="portrait"/>
          <w:cols w:equalWidth="0" w:num="2">
            <w:col w:w="1360" w:space="660"/>
            <w:col w:w="8440"/>
          </w:cols>
          <w:pgMar w:left="320" w:top="419" w:right="1119"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460"/>
          </w:cols>
          <w:pgMar w:left="320" w:top="419" w:right="1119" w:bottom="1440" w:gutter="0" w:footer="0" w:header="0"/>
          <w:type w:val="continuous"/>
        </w:sectPr>
      </w:pPr>
    </w:p>
    <w:bookmarkStart w:id="360" w:name="page361"/>
    <w:bookmarkEnd w:id="3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as of the close of</w:t>
      </w:r>
    </w:p>
    <w:p>
      <w:pPr>
        <w:spacing w:after="0" w:line="23" w:lineRule="exact"/>
        <w:rPr>
          <w:sz w:val="20"/>
          <w:szCs w:val="20"/>
          <w:color w:val="auto"/>
        </w:rPr>
      </w:pPr>
    </w:p>
    <w:p>
      <w:pPr>
        <w:ind w:left="760" w:right="60"/>
        <w:spacing w:after="0" w:line="256" w:lineRule="auto"/>
        <w:rPr>
          <w:sz w:val="20"/>
          <w:szCs w:val="20"/>
          <w:color w:val="auto"/>
        </w:rPr>
      </w:pPr>
      <w:r>
        <w:rPr>
          <w:rFonts w:ascii="Times New Roman" w:cs="Times New Roman" w:eastAsia="Times New Roman" w:hAnsi="Times New Roman"/>
          <w:sz w:val="16"/>
          <w:szCs w:val="16"/>
          <w:color w:val="auto"/>
        </w:rPr>
        <w:t>business on , 2024, which is the record date for the Distribution, to Illumina’s stockholders, and GRAIL will become an independent, publicly traded company. Immediately after the Distribution becomes effective, Illumina may retain up to 14.5% of GRAIL’s common stock.</w:t>
      </w:r>
    </w:p>
    <w:p>
      <w:pPr>
        <w:spacing w:after="0" w:line="162" w:lineRule="exact"/>
        <w:rPr>
          <w:sz w:val="20"/>
          <w:szCs w:val="20"/>
          <w:color w:val="auto"/>
        </w:rPr>
      </w:pPr>
    </w:p>
    <w:p>
      <w:pPr>
        <w:ind w:left="760" w:right="120" w:firstLine="388"/>
        <w:spacing w:after="0" w:line="277" w:lineRule="auto"/>
        <w:rPr>
          <w:sz w:val="20"/>
          <w:szCs w:val="20"/>
          <w:color w:val="auto"/>
        </w:rPr>
      </w:pPr>
      <w:r>
        <w:rPr>
          <w:rFonts w:ascii="Times New Roman" w:cs="Times New Roman" w:eastAsia="Times New Roman" w:hAnsi="Times New Roman"/>
          <w:sz w:val="15"/>
          <w:szCs w:val="15"/>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tax-related assets and liabilities. See the section entitled “Certain Relationships and Related Party Transactions” beginning on page 202 of this Information Statement for more detail. No approval of Illumina’s stockholders is required in connection with the Spin-Off, and Illumina’s stockholders will not have any appraisal rights in connection with the Spin-Off.</w:t>
      </w:r>
    </w:p>
    <w:p>
      <w:pPr>
        <w:spacing w:after="0" w:line="147"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105 of this Information Statement.</w:t>
      </w:r>
    </w:p>
    <w:p>
      <w:pPr>
        <w:spacing w:after="0" w:line="150" w:lineRule="exact"/>
        <w:rPr>
          <w:sz w:val="20"/>
          <w:szCs w:val="20"/>
          <w:color w:val="auto"/>
        </w:rPr>
      </w:pPr>
    </w:p>
    <w:p>
      <w:pPr>
        <w:jc w:val="both"/>
        <w:ind w:left="760" w:right="60" w:firstLine="388"/>
        <w:spacing w:after="0" w:line="272" w:lineRule="auto"/>
        <w:rPr>
          <w:sz w:val="20"/>
          <w:szCs w:val="20"/>
          <w:color w:val="auto"/>
        </w:rPr>
      </w:pPr>
      <w:r>
        <w:rPr>
          <w:rFonts w:ascii="Times New Roman" w:cs="Times New Roman" w:eastAsia="Times New Roman" w:hAnsi="Times New Roman"/>
          <w:sz w:val="15"/>
          <w:szCs w:val="15"/>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w:t>
      </w:r>
    </w:p>
    <w:p>
      <w:pPr>
        <w:spacing w:after="0" w:line="2" w:lineRule="exact"/>
        <w:rPr>
          <w:sz w:val="20"/>
          <w:szCs w:val="20"/>
          <w:color w:val="auto"/>
        </w:rPr>
      </w:pPr>
    </w:p>
    <w:p>
      <w:pPr>
        <w:ind w:left="760"/>
        <w:spacing w:after="0"/>
        <w:tabs>
          <w:tab w:leader="none" w:pos="10260" w:val="left"/>
        </w:tabs>
        <w:rPr>
          <w:sz w:val="20"/>
          <w:szCs w:val="20"/>
          <w:color w:val="auto"/>
        </w:rPr>
      </w:pPr>
      <w:r>
        <w:rPr>
          <w:rFonts w:ascii="Times New Roman" w:cs="Times New Roman" w:eastAsia="Times New Roman" w:hAnsi="Times New Roman"/>
          <w:sz w:val="16"/>
          <w:szCs w:val="16"/>
          <w:color w:val="auto"/>
        </w:rPr>
        <w:t>and auditors, that will not be recouped. Total one-time transaction costs associated with the Spin-Off are preliminarily estimated to range from $</w:t>
      </w:r>
      <w:r>
        <w:rPr>
          <w:sz w:val="20"/>
          <w:szCs w:val="20"/>
          <w:color w:val="auto"/>
        </w:rPr>
        <w:tab/>
      </w:r>
      <w:r>
        <w:rPr>
          <w:rFonts w:ascii="Times New Roman" w:cs="Times New Roman" w:eastAsia="Times New Roman" w:hAnsi="Times New Roman"/>
          <w:sz w:val="15"/>
          <w:szCs w:val="15"/>
          <w:color w:val="auto"/>
        </w:rPr>
        <w:t>to</w:t>
      </w:r>
    </w:p>
    <w:p>
      <w:pPr>
        <w:spacing w:after="0" w:line="6" w:lineRule="exact"/>
        <w:rPr>
          <w:sz w:val="20"/>
          <w:szCs w:val="20"/>
          <w:color w:val="auto"/>
        </w:rPr>
      </w:pPr>
    </w:p>
    <w:p>
      <w:pPr>
        <w:ind w:left="760" w:right="160" w:firstLine="9"/>
        <w:spacing w:after="0" w:line="250" w:lineRule="auto"/>
        <w:tabs>
          <w:tab w:leader="none" w:pos="1196" w:val="left"/>
        </w:tabs>
        <w:numPr>
          <w:ilvl w:val="0"/>
          <w:numId w:val="3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Spin-Off is completed.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 See the section entitled “The Spin-Off—Conditions to the Spin-Off” beginning on page 105 of this Information Statement for more detail.</w:t>
      </w: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w:t>
      </w:r>
    </w:p>
    <w:p>
      <w:pPr>
        <w:spacing w:after="0" w:line="145"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As part of this evaluation, Illumina retained outside advisors, and the Illumina Board considered a number of factors, including the long-term prospects and strategic viability of GRAIL, the strategic clarity and flexibility for Illumina and GRAIL after the Spin-Off, the ability of GRAIL to compete and operate efficiently and effectively (including GRAIL’s ability to retain and attract management talent) after the Spin-Off, the financial profile of GRAIL, the expected timing of completion of each structural alternative, the expected tax impact of each structural alternative, the probability of successful execution of each structural alternative, and the potential reaction of investors. After evaluating these and other considerations, including the input of various outside advisors,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particular, the Illumina Board considered a number of potential benefits of this approach, including:</w:t>
      </w:r>
    </w:p>
    <w:p>
      <w:pPr>
        <w:spacing w:after="0" w:line="110" w:lineRule="exact"/>
        <w:rPr>
          <w:sz w:val="20"/>
          <w:szCs w:val="20"/>
          <w:color w:val="auto"/>
        </w:rPr>
      </w:pPr>
    </w:p>
    <w:p>
      <w:pPr>
        <w:ind w:left="1620" w:right="140" w:hanging="375"/>
        <w:spacing w:after="0" w:line="318" w:lineRule="auto"/>
        <w:tabs>
          <w:tab w:leader="none" w:pos="1620"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Opportunity for continued ownership of GRAIL by Illumina stockholders. </w:t>
      </w:r>
      <w:r>
        <w:rPr>
          <w:rFonts w:ascii="Times New Roman" w:cs="Times New Roman" w:eastAsia="Times New Roman" w:hAnsi="Times New Roman"/>
          <w:sz w:val="15"/>
          <w:szCs w:val="15"/>
          <w:color w:val="auto"/>
        </w:rPr>
        <w:t>The Spin-Off will provide Illumina stockholders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opportunity to determine whether they wish to continue to own an interest in GRAIL despite GRAIL’s required separation from Illumina.</w:t>
      </w:r>
    </w:p>
    <w:p>
      <w:pPr>
        <w:spacing w:after="0" w:line="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480"/>
          </w:cols>
          <w:pgMar w:left="320" w:top="418" w:right="109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620" w:right="80" w:hanging="375"/>
        <w:spacing w:after="0" w:line="260" w:lineRule="auto"/>
        <w:tabs>
          <w:tab w:leader="none" w:pos="16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 investors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620" w:right="220" w:hanging="375"/>
        <w:spacing w:after="0" w:line="266" w:lineRule="auto"/>
        <w:tabs>
          <w:tab w:leader="none" w:pos="16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66" w:lineRule="exact"/>
        <w:rPr>
          <w:rFonts w:ascii="Times New Roman" w:cs="Times New Roman" w:eastAsia="Times New Roman" w:hAnsi="Times New Roman"/>
          <w:sz w:val="16"/>
          <w:szCs w:val="16"/>
          <w:color w:val="auto"/>
        </w:rPr>
      </w:pPr>
    </w:p>
    <w:p>
      <w:pPr>
        <w:ind w:left="1620" w:hanging="375"/>
        <w:spacing w:after="0" w:line="260" w:lineRule="auto"/>
        <w:tabs>
          <w:tab w:leader="none" w:pos="162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 ability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offer their independent equity securities to the capital markets and enable each standalone company to use its own industry-focused stock to pursue portfolio-enhancing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620" w:right="20" w:hanging="375"/>
        <w:spacing w:after="0" w:line="252" w:lineRule="auto"/>
        <w:tabs>
          <w:tab w:leader="none" w:pos="1620"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Risk of failure to achieve the anticipated benefits of the Spin-Off</w:t>
      </w:r>
      <w:r>
        <w:rPr>
          <w:rFonts w:ascii="Times New Roman" w:cs="Times New Roman" w:eastAsia="Times New Roman" w:hAnsi="Times New Roman"/>
          <w:sz w:val="16"/>
          <w:szCs w:val="16"/>
          <w:color w:val="auto"/>
        </w:rPr>
        <w:t>. Illumina and GRAIL may not achieve the anticipated benefits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 For more information on the specific risks to GRAIL of the failure to achieve the anticipated benefits of the Spin-Off, see the section entitled “Risk Factors—Risks Relating to the Spin-Off—We may be unable to achieve some or all of the benefits that we expect to achieve from the Spin-Off, which could materially adversely affect our business, financial condition, and results of operations” beginning on page 85 of this Information Statement.</w:t>
      </w:r>
    </w:p>
    <w:p>
      <w:pPr>
        <w:spacing w:after="0" w:line="82" w:lineRule="exact"/>
        <w:rPr>
          <w:rFonts w:ascii="Times New Roman" w:cs="Times New Roman" w:eastAsia="Times New Roman" w:hAnsi="Times New Roman"/>
          <w:sz w:val="16"/>
          <w:szCs w:val="16"/>
          <w:color w:val="auto"/>
        </w:rPr>
      </w:pPr>
    </w:p>
    <w:p>
      <w:pPr>
        <w:ind w:left="1620" w:right="180" w:hanging="375"/>
        <w:spacing w:after="0" w:line="255" w:lineRule="auto"/>
        <w:tabs>
          <w:tab w:leader="none" w:pos="1620"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 GRAIL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expects to be restricted from taking certain 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 For more information, see the section entitled “Certain Relationships and Related Party Transactions—Agreements with Illumina—Tax Matters Agreement” beginning on page 203 of this Information Statement.</w:t>
      </w:r>
    </w:p>
    <w:p>
      <w:pPr>
        <w:spacing w:after="0" w:line="76" w:lineRule="exact"/>
        <w:rPr>
          <w:rFonts w:ascii="Times New Roman" w:cs="Times New Roman" w:eastAsia="Times New Roman" w:hAnsi="Times New Roman"/>
          <w:sz w:val="16"/>
          <w:szCs w:val="16"/>
          <w:color w:val="auto"/>
        </w:rPr>
      </w:pPr>
    </w:p>
    <w:p>
      <w:pPr>
        <w:ind w:left="1620" w:right="60" w:hanging="375"/>
        <w:spacing w:after="0" w:line="260" w:lineRule="auto"/>
        <w:tabs>
          <w:tab w:leader="none" w:pos="1620"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71" w:lineRule="exact"/>
        <w:rPr>
          <w:rFonts w:ascii="Times New Roman" w:cs="Times New Roman" w:eastAsia="Times New Roman" w:hAnsi="Times New Roman"/>
          <w:sz w:val="16"/>
          <w:szCs w:val="16"/>
          <w:color w:val="auto"/>
        </w:rPr>
      </w:pPr>
    </w:p>
    <w:p>
      <w:pPr>
        <w:ind w:left="1620" w:right="40" w:hanging="375"/>
        <w:spacing w:after="0" w:line="255" w:lineRule="auto"/>
        <w:tabs>
          <w:tab w:leader="none" w:pos="1620"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Uncertainty regarding share prices</w:t>
      </w:r>
      <w:r>
        <w:rPr>
          <w:rFonts w:ascii="Times New Roman" w:cs="Times New Roman" w:eastAsia="Times New Roman" w:hAnsi="Times New Roman"/>
          <w:sz w:val="16"/>
          <w:szCs w:val="16"/>
          <w:color w:val="auto"/>
        </w:rPr>
        <w:t>. We cannot predict the effect of the Distribution on the trading prices of Illumina’s and GRAIL’s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440"/>
          </w:cols>
          <w:pgMar w:left="320" w:top="419" w:right="11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Notwithstanding these factors, the anticipated costs of which are not reasonably quantifiable, and considering the potential benefits discussed above, the Illumina Board determined that the Spin-Off provided the best opportunity to achieve the above benefits and enhance stockholder value. For additional information, see the section entitled “Risk Factors” beginning on page 28 of this Information Statement.</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Illumina’s Retention of up to 14.5% of GRAIL Common Stock</w:t>
      </w:r>
    </w:p>
    <w:p>
      <w:pPr>
        <w:spacing w:after="0" w:line="199"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Immediately after the Distribution becomes effective, Illumina may retain up to 14.5% of GRAIL’s common stock. Illumina intends to hold any retained shares for investment purposes.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When and How You Will Receive GRAIL Shares</w:t>
      </w:r>
    </w:p>
    <w:p>
      <w:pPr>
        <w:spacing w:after="0" w:line="104"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Illumina will distribute to its stockholders, as a pro rata dividend, for every share[s] of Illumina common stock outstanding as of the close of business on the Record Date, , 2024, share[s] of our common stock.</w:t>
      </w:r>
    </w:p>
    <w:p>
      <w:pPr>
        <w:spacing w:after="0" w:line="145"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Prior to the Distribution, Illumina will deliver at least 85.5% of the issued and outstanding shares of our common stock to the distribution agent. Computershare Trust Company, N.A. (“Computershare”) will serve as distribution agent in connection with the Distribution and as transfer agent and registrar for our common stock.</w:t>
      </w:r>
    </w:p>
    <w:p>
      <w:pPr>
        <w:sectPr>
          <w:pgSz w:w="11900" w:h="16838" w:orient="portrait"/>
          <w:cols w:equalWidth="0" w:num="1">
            <w:col w:w="10460"/>
          </w:cols>
          <w:pgMar w:left="320" w:top="419" w:right="1119" w:bottom="1440" w:gutter="0" w:footer="0" w:header="0"/>
        </w:sectPr>
      </w:pP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If you own Illumina common stock as of the close of business on in the Distribution will be issued to your account as follows: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2024, the shares of our common stock that you are entitled to receive</w:t>
      </w:r>
    </w:p>
    <w:p>
      <w:pPr>
        <w:spacing w:after="0" w:line="313" w:lineRule="exact"/>
        <w:rPr>
          <w:sz w:val="20"/>
          <w:szCs w:val="20"/>
          <w:color w:val="auto"/>
        </w:rPr>
      </w:pPr>
    </w:p>
    <w:p>
      <w:pPr>
        <w:sectPr>
          <w:pgSz w:w="11900" w:h="16838" w:orient="portrait"/>
          <w:cols w:equalWidth="0" w:num="2">
            <w:col w:w="5280" w:space="680"/>
            <w:col w:w="4500"/>
          </w:cols>
          <w:pgMar w:left="320" w:top="419" w:right="1119" w:bottom="1440" w:gutter="0" w:footer="0" w:header="0"/>
          <w:type w:val="continuous"/>
        </w:sectPr>
      </w:pPr>
    </w:p>
    <w:p>
      <w:pPr>
        <w:ind w:left="1620" w:right="40" w:hanging="375"/>
        <w:spacing w:after="0" w:line="254" w:lineRule="auto"/>
        <w:tabs>
          <w:tab w:leader="none" w:pos="1620" w:val="left"/>
        </w:tabs>
        <w:numPr>
          <w:ilvl w:val="0"/>
          <w:numId w:val="3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Registered stockholders</w:t>
      </w:r>
      <w:r>
        <w:rPr>
          <w:rFonts w:ascii="Times New Roman" w:cs="Times New Roman" w:eastAsia="Times New Roman" w:hAnsi="Times New Roman"/>
          <w:sz w:val="16"/>
          <w:szCs w:val="16"/>
          <w:color w:val="auto"/>
        </w:rPr>
        <w:t>. If you own your shares of Illumina common stock directly through Illumina’s transfer agent, Computershare, you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a registered stockholder. In this case, the distribution agent will credit the whole shares of our common stock you receive in the Distribution by way of direct registration in book-entry form to a new account with our transfer agent. Registration in book-entry form refers to a method of recording share ownership where no physical stock certificates are issued to stockholders, as is the case in the</w:t>
      </w:r>
    </w:p>
    <w:p>
      <w:pPr>
        <w:sectPr>
          <w:pgSz w:w="11900" w:h="16838" w:orient="portrait"/>
          <w:cols w:equalWidth="0" w:num="1">
            <w:col w:w="10460"/>
          </w:cols>
          <w:pgMar w:left="320" w:top="419" w:right="1119" w:bottom="1440" w:gutter="0" w:footer="0" w:header="0"/>
          <w:type w:val="continuous"/>
        </w:sectPr>
      </w:pPr>
    </w:p>
    <w:p>
      <w:pPr>
        <w:spacing w:after="0" w:line="2" w:lineRule="exact"/>
        <w:rPr>
          <w:sz w:val="20"/>
          <w:szCs w:val="20"/>
          <w:color w:val="auto"/>
        </w:rPr>
      </w:pPr>
    </w:p>
    <w:p>
      <w:pPr>
        <w:ind w:left="1620" w:right="400"/>
        <w:spacing w:after="0" w:line="248" w:lineRule="auto"/>
        <w:rPr>
          <w:sz w:val="20"/>
          <w:szCs w:val="20"/>
          <w:color w:val="auto"/>
        </w:rPr>
      </w:pPr>
      <w:r>
        <w:rPr>
          <w:rFonts w:ascii="Times New Roman" w:cs="Times New Roman" w:eastAsia="Times New Roman" w:hAnsi="Times New Roman"/>
          <w:sz w:val="16"/>
          <w:szCs w:val="16"/>
          <w:color w:val="auto"/>
        </w:rPr>
        <w:t>Distribution. You will be able to access information regarding your book-entry account holding the GRAIL shares at or by calling .</w:t>
      </w:r>
    </w:p>
    <w:p>
      <w:pPr>
        <w:sectPr>
          <w:pgSz w:w="11900" w:h="16838" w:orient="portrait"/>
          <w:cols w:equalWidth="0" w:num="1">
            <w:col w:w="10460"/>
          </w:cols>
          <w:pgMar w:left="320" w:top="419" w:right="1119" w:bottom="1440" w:gutter="0" w:footer="0" w:header="0"/>
          <w:type w:val="continuous"/>
        </w:sectPr>
      </w:pPr>
    </w:p>
    <w:p>
      <w:pPr>
        <w:spacing w:after="0" w:line="269" w:lineRule="exact"/>
        <w:rPr>
          <w:sz w:val="20"/>
          <w:szCs w:val="20"/>
          <w:color w:val="auto"/>
        </w:rPr>
      </w:pPr>
    </w:p>
    <w:p>
      <w:pPr>
        <w:ind w:left="1640" w:right="300"/>
        <w:spacing w:after="0" w:line="258" w:lineRule="auto"/>
        <w:rPr>
          <w:sz w:val="20"/>
          <w:szCs w:val="20"/>
          <w:color w:val="auto"/>
        </w:rPr>
      </w:pPr>
      <w:r>
        <w:rPr>
          <w:rFonts w:ascii="Times New Roman" w:cs="Times New Roman" w:eastAsia="Times New Roman" w:hAnsi="Times New Roman"/>
          <w:sz w:val="16"/>
          <w:szCs w:val="16"/>
          <w:color w:val="auto"/>
        </w:rPr>
        <w:t>Commencing on or shortly after the Distribution Date, the distribution agent will mail to you an account statement that indicates the number of whole shares of our common stock that have been registered in book-entry form in your name. We expect it will take the distribution agent up to two weeks after the Distribution Date to complete the distribution of the shares of our common stock and mail statements of holding to all registered stockholders.</w:t>
      </w:r>
    </w:p>
    <w:p>
      <w:pPr>
        <w:spacing w:after="0" w:line="76" w:lineRule="exact"/>
        <w:rPr>
          <w:sz w:val="20"/>
          <w:szCs w:val="20"/>
          <w:color w:val="auto"/>
        </w:rPr>
      </w:pPr>
    </w:p>
    <w:p>
      <w:pPr>
        <w:ind w:left="1620" w:hanging="375"/>
        <w:spacing w:after="0" w:line="277" w:lineRule="auto"/>
        <w:tabs>
          <w:tab w:leader="none" w:pos="1620" w:val="left"/>
        </w:tabs>
        <w:numPr>
          <w:ilvl w:val="0"/>
          <w:numId w:val="3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Street name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 beneficial stockholders</w:t>
      </w:r>
      <w:r>
        <w:rPr>
          <w:rFonts w:ascii="Times New Roman" w:cs="Times New Roman" w:eastAsia="Times New Roman" w:hAnsi="Times New Roman"/>
          <w:sz w:val="15"/>
          <w:szCs w:val="15"/>
          <w:color w:val="auto"/>
        </w:rPr>
        <w:t>. If you own your shares of Illumina common stock beneficially through a bank, broker, or other nominee, such bank, broker, or other nominee holds the shares in “street name” and records your ownership on its books. If you own your shares of Illumina common stock through a bank, broker, or other nominee, your bank, broker, or other nominee will credit your account with the whole shares of our common stock that you receive in the Distribution on or shortly after the Distribution Date. We encourage you to contact your bank, broker, or other nominee if you have any questions concerning the mechanics of having shares held in “street name.”</w:t>
      </w:r>
    </w:p>
    <w:p>
      <w:pPr>
        <w:spacing w:after="0" w:line="149"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If you sell any of your shares of Illumina common stock on or before the Distribution Date, the buyer of those shares may, in some circumstances, be entitled to receive the shares of our common stock to be distributed in respect of the Illumina shares you sold. For more information, see the section entitled “—Trading Prior to the Distribution Date” beginning on page 105 of this Information Statement.</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460"/>
          </w:cols>
          <w:pgMar w:left="320" w:top="419" w:right="1119" w:bottom="1440" w:gutter="0" w:footer="0" w:header="0"/>
          <w:type w:val="continuous"/>
        </w:sectPr>
      </w:pPr>
    </w:p>
    <w:bookmarkStart w:id="363" w:name="page364"/>
    <w:bookmarkEnd w:id="3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are not asking Illumina stockholders to take any action in connection with the Spin-Off. No stockholder approval of the Spin-Off is required. We are not asking you for a proxy and request that you not send us a proxy. We are also not asking you to make any payment or surrender or exchange any of your shares of Illumina common stock for shares of our common stock. The number of outstanding shares of Illumina common stock will not change as a result of the Spin-Off.</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Number of Shares You Will Receive</w:t>
      </w:r>
    </w:p>
    <w:p>
      <w:pPr>
        <w:sectPr>
          <w:pgSz w:w="11900" w:h="16838" w:orient="portrait"/>
          <w:cols w:equalWidth="0" w:num="1">
            <w:col w:w="10460"/>
          </w:cols>
          <w:pgMar w:left="320" w:top="419" w:right="1119" w:bottom="1440" w:gutter="0" w:footer="0" w:header="0"/>
        </w:sectPr>
      </w:pP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On the Distribution Date, for every share[s] of our common stock.</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Illumina common stock you owned as of the Record Date, you will receive</w:t>
      </w:r>
    </w:p>
    <w:p>
      <w:pPr>
        <w:spacing w:after="0" w:line="453" w:lineRule="exact"/>
        <w:rPr>
          <w:sz w:val="20"/>
          <w:szCs w:val="20"/>
          <w:color w:val="auto"/>
        </w:rPr>
      </w:pPr>
    </w:p>
    <w:p>
      <w:pPr>
        <w:sectPr>
          <w:pgSz w:w="11900" w:h="16838" w:orient="portrait"/>
          <w:cols w:equalWidth="0" w:num="2">
            <w:col w:w="3380" w:space="720"/>
            <w:col w:w="6360"/>
          </w:cols>
          <w:pgMar w:left="320" w:top="419" w:right="1119" w:bottom="1440" w:gutter="0" w:footer="0" w:header="0"/>
          <w:type w:val="continuous"/>
        </w:sectPr>
      </w:pPr>
    </w:p>
    <w:p>
      <w:pPr>
        <w:spacing w:after="0" w:line="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Fractional Shares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 For more information regarding “when-issued” trading, see the section entitled “—Trading Prior to the Distribution Date” beginning on page 105 of this Information Statement. The distribution agent will, in its sole discretion, without any influence by Illumina or us, determine when, how, through which broker-dealer, and at what price to sell the whole shares. The distribution agent is not, and any broker-dealer used by the distribution agent will not be, an affiliate of either Illumina or us.</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distribution agent will send to each registered holder of Illumina common stock entitled to a fractional share a check in the cash amount deliverable in lieu of that holder’s fractional share as soon as practicable following the Distribution Date. We expect the distribution agent to take about two weeks after the Distribution Date to complete the distribution of cash in lieu of fractional shares to Illumina stockholders. If you hold your shares of GRAIL common stock through a bank, broker, or other nominee, your bank, broker, or nominee will receive, on your behalf, your pro rata share of the aggregate net cash proceeds of the sales. No interest will be paid on any cash you receive in lieu of a fractional share. The cash you receive in lieu of a fractional share will generally be taxable to you for U.S. federal income tax purposes. For more information, see the section below entitled “—Material U.S. Federal Income Tax Consequences of the Spin-Off” beginning on page 101 of this Information Statement.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Outstanding Equity Incentive Awards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who will continue at Illumina will remain outstanding and continue to be subject to the same terms and conditions following the Distribution Date, but with adjustments to the number of shares of Illumina common stock subject to such award in order to preserve its value.</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Each Cash-Based Equity Award outstanding as of the Distribution Date may convert into GRAIL RSUs.</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460"/>
          </w:cols>
          <w:pgMar w:left="320" w:top="419" w:right="1119" w:bottom="1440" w:gutter="0" w:footer="0" w:header="0"/>
          <w:type w:val="continuous"/>
        </w:sectPr>
      </w:pPr>
    </w:p>
    <w:bookmarkStart w:id="364" w:name="page365"/>
    <w:bookmarkEnd w:id="3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 of the Spin-Off</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U.S. Holders of Illumina Common Stock</w:t>
      </w:r>
    </w:p>
    <w:p>
      <w:pPr>
        <w:spacing w:after="0" w:line="106" w:lineRule="exact"/>
        <w:rPr>
          <w:sz w:val="20"/>
          <w:szCs w:val="20"/>
          <w:color w:val="auto"/>
        </w:rPr>
      </w:pPr>
    </w:p>
    <w:p>
      <w:pPr>
        <w:ind w:left="760" w:firstLine="388"/>
        <w:spacing w:after="0" w:line="281" w:lineRule="auto"/>
        <w:rPr>
          <w:sz w:val="20"/>
          <w:szCs w:val="20"/>
          <w:color w:val="auto"/>
        </w:rPr>
      </w:pPr>
      <w:r>
        <w:rPr>
          <w:rFonts w:ascii="Times New Roman" w:cs="Times New Roman" w:eastAsia="Times New Roman" w:hAnsi="Times New Roman"/>
          <w:sz w:val="15"/>
          <w:szCs w:val="15"/>
          <w:color w:val="auto"/>
        </w:rPr>
        <w:t>The following is a summary of the material U.S. federal income tax consequences to holders of Illumina common stock in connection with the Distribution. This summary is based on the Internal Revenue Code of 1986, as amended (the “Code”), the Treasury Regulations promulgated under the Code and judicial and administrative interpretations of those laws, in each case as in effect and available as of the date of this Information Statement and all of which are subject to change at any time, possibly with retroactive effect. Any such change could affect the tax consequences described below.</w:t>
      </w:r>
    </w:p>
    <w:p>
      <w:pPr>
        <w:spacing w:after="0" w:line="144"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This summary is limited to holders of Illumina common stock who hold their Illumina common stock as a capital asset. For purposes of this summary, a “U.S. Holder” is a beneficial owner of Illumina common stock that is, for U.S. federal income tax purposes:</w:t>
      </w:r>
    </w:p>
    <w:p>
      <w:pPr>
        <w:spacing w:after="0" w:line="62" w:lineRule="exact"/>
        <w:rPr>
          <w:sz w:val="20"/>
          <w:szCs w:val="20"/>
          <w:color w:val="auto"/>
        </w:rPr>
      </w:pPr>
    </w:p>
    <w:p>
      <w:pPr>
        <w:ind w:left="1620" w:hanging="375"/>
        <w:spacing w:after="0"/>
        <w:tabs>
          <w:tab w:leader="none" w:pos="1620"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a resident of the U.S.;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for U.S. federal income tax purposes, created or organized under the laws of the U.S. or any state thereof or the District of Columbia;</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11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U.S. is able to exercise primary jurisdiction over its administration and one or more U.S. persons have the authority to control all of its substantial decisions or (ii) in the case of a trust that was treated as a domestic trust under law in effect before August 20, 1996, a valid election is in place under applicable Treasury Regulations.</w:t>
      </w:r>
    </w:p>
    <w:p>
      <w:pPr>
        <w:spacing w:after="0" w:line="157"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This summary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62" w:lineRule="exact"/>
        <w:rPr>
          <w:sz w:val="20"/>
          <w:szCs w:val="20"/>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or currencies;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financial institutions, or insurance companies;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 regulated investment companies, or grantor trusts;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acquired Illumina common stock pursuant to the exercise of employee stock options or otherwise as compensation;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own, or are deemed to own, 10% or more, by voting power or value, of Illumina equity;</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owning Illumina common stock as part of a position in a straddle or as part of a hedging, conversion, or other risk-reduction transaction for U.S. federal income tax purposes;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long-term residents of the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are subject to the alternative minimum tax;</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own Illumina common stock through partnerships or other pass-through entities;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Illumina common stock through a tax-qualified retirement plan.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This summary does not address any U.S. state or local or foreign tax consequences or any estate, gift, or other non-income tax consequences.</w:t>
      </w:r>
    </w:p>
    <w:p>
      <w:pPr>
        <w:spacing w:after="0" w:line="197"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If a partnership, or any other entity treated as a partnership for U.S. federal income tax purposes, holds Illumina common stock, the tax treatment of a partner in that partnership will generally depend on the status of the partner and the activities of the partnership. Such a partner or partnership is urged to consult its own tax advisor as to its tax consequences.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460"/>
          </w:cols>
          <w:pgMar w:left="320" w:top="419" w:right="111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right="16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YOU ARE URGED TO CONSULT YOUR OWN TAX ADVISOR WITH RESPECT TO THE U.S. FEDERAL, STATE, AND LOCAL, AND FOREIGN TAX CONSEQUENCES OF THE DISTRIBUTION.</w:t>
      </w:r>
    </w:p>
    <w:p>
      <w:pPr>
        <w:spacing w:after="0" w:line="2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Completion of the Spin-Off is conditioned upon Illumina’s receipt of a private letter ruling from the IRS and of a written opinion of Cravath, Swaine &amp; Moore LLP, counsel to Illumina, each of which shall remain in full force and effect, that the Spin-Off will qualify for non-recognition of gain and loss under Sections 355 and 368 of the Code. The private letter ruling and the opinion will be based on the assumption that, among other things, the representations made, and information submitted, in connection with them are accurate, and that we and Illumina will comply with certain warranties and covenants specified therein. If the Spin-Off qualifies for this treatment and subject to the qualifications and limitations set forth herein (including the discussion below relating to the receipt of cash in lieu of fractional shares), for U.S. federal income tax purposes:</w:t>
      </w:r>
    </w:p>
    <w:p>
      <w:pPr>
        <w:spacing w:after="0" w:line="81" w:lineRule="exact"/>
        <w:rPr>
          <w:sz w:val="20"/>
          <w:szCs w:val="20"/>
          <w:color w:val="auto"/>
        </w:rPr>
      </w:pPr>
    </w:p>
    <w:p>
      <w:pPr>
        <w:ind w:left="1620" w:right="60" w:hanging="375"/>
        <w:spacing w:after="0" w:line="278" w:lineRule="auto"/>
        <w:tabs>
          <w:tab w:leader="none" w:pos="162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gain or loss will be recognized by, or be includible in the income of, a U.S. Holder as a result of the Distribution, except with respect to any cash received in lieu of fractional shares;</w:t>
      </w:r>
    </w:p>
    <w:p>
      <w:pPr>
        <w:spacing w:after="0" w:line="61" w:lineRule="exact"/>
        <w:rPr>
          <w:rFonts w:ascii="Times New Roman" w:cs="Times New Roman" w:eastAsia="Times New Roman" w:hAnsi="Times New Roman"/>
          <w:sz w:val="16"/>
          <w:szCs w:val="16"/>
          <w:color w:val="auto"/>
        </w:rPr>
      </w:pPr>
    </w:p>
    <w:p>
      <w:pPr>
        <w:ind w:left="1620" w:right="100" w:hanging="375"/>
        <w:spacing w:after="0" w:line="258" w:lineRule="auto"/>
        <w:tabs>
          <w:tab w:leader="none" w:pos="162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tax basis of the Illumina common stock and our common stock held by each U.S. Holder immediately after the Distribution will be the same as the aggregate tax basis of the Illumina common stock held by the U.S. Holder immediately before the Distribution, allocated between the Illumina common stock and our common stock in proportion to their relative fair market values on the date of the Distribution (subject to reduction upon the deemed sale of any fractional shares, as described below); and</w:t>
      </w:r>
    </w:p>
    <w:p>
      <w:pPr>
        <w:spacing w:after="0" w:line="7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period of our common stock received by each U.S. Holder should include the holding period of its Illumina common stock.</w:t>
      </w:r>
    </w:p>
    <w:p>
      <w:pPr>
        <w:spacing w:after="0" w:line="197" w:lineRule="exact"/>
        <w:rPr>
          <w:sz w:val="20"/>
          <w:szCs w:val="20"/>
          <w:color w:val="auto"/>
        </w:rPr>
      </w:pPr>
    </w:p>
    <w:p>
      <w:pPr>
        <w:jc w:val="both"/>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U.S. Holders who have acquired different blocks of Illumina common stock at different times or at different prices are urged to consult their tax advisors regarding the allocation of their aggregate adjusted tax basis among, and the holding period of, shares of our common stock distributed with respect to such blocks of Illumina common stock.</w:t>
      </w:r>
    </w:p>
    <w:p>
      <w:pPr>
        <w:spacing w:after="0" w:line="15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If a U.S. Holder receives cash in lieu of a fractional share of common stock as part of the Distribution, the U.S. Holder will be treated as though it first received a distribution of the fractional share in the Distribution and then sold it for the amount of cash actually received. The U.S. Holder will generally recognize capital gain or loss measured by the difference between the cash received for such fractional share and the U.S. Holder’s tax basis in that fractional share, as determined above. Such capital gain or loss will be long-term capital gain or loss if the U.S. Holder’s holding period for the Illumina common stock is more than one year on the date of the Distribution.</w:t>
      </w:r>
    </w:p>
    <w:p>
      <w:pPr>
        <w:spacing w:after="0" w:line="165" w:lineRule="exact"/>
        <w:rPr>
          <w:sz w:val="20"/>
          <w:szCs w:val="20"/>
          <w:color w:val="auto"/>
        </w:rPr>
      </w:pPr>
    </w:p>
    <w:p>
      <w:pPr>
        <w:ind w:left="760" w:right="180" w:firstLine="388"/>
        <w:spacing w:after="0" w:line="253" w:lineRule="auto"/>
        <w:rPr>
          <w:sz w:val="20"/>
          <w:szCs w:val="20"/>
          <w:color w:val="auto"/>
        </w:rPr>
      </w:pPr>
      <w:r>
        <w:rPr>
          <w:rFonts w:ascii="Times New Roman" w:cs="Times New Roman" w:eastAsia="Times New Roman" w:hAnsi="Times New Roman"/>
          <w:sz w:val="16"/>
          <w:szCs w:val="16"/>
          <w:color w:val="auto"/>
        </w:rPr>
        <w:t>The private letter ruling and the opinion of counsel will not address any U.S. state or local or foreign tax consequences of the Spin-Off. The private letter ruling and the opinion will assume that the Spin-Off will be completed according to the terms of the Separation and Distribution Agreement and will rely on the facts as stated in the Separation and Distribution Agreement, the Tax Matters Agreement, the Stockholder and Registration Rights Agreement, the other ancillary agreements, this Information Statement, and a number of other documents. In addition, the private letter ruling and the opinion will be based on certain representations as to factual matters from, and certain covenants by, Illumina and us. The private letter ruling and the opinion cannot be relied on if any of the assumptions, representations or covenants are incorrect, incomplete, or inaccurate, or are violated in any material respect.</w:t>
      </w:r>
    </w:p>
    <w:p>
      <w:pPr>
        <w:spacing w:after="0" w:line="166"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opinion of counsel will not be binding on the IRS or the courts, and there can be no assurance that the IRS or a court will not take a contrary position. Although a private letter ruling from the IRS is generally binding on the IRS, the ruling will be based on certain facts and representations and undertakings from Illumina and us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460"/>
          </w:cols>
          <w:pgMar w:left="320" w:top="419" w:right="111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60"/>
        <w:spacing w:after="0" w:line="278" w:lineRule="auto"/>
        <w:rPr>
          <w:sz w:val="20"/>
          <w:szCs w:val="20"/>
          <w:color w:val="auto"/>
        </w:rPr>
      </w:pPr>
      <w:r>
        <w:rPr>
          <w:rFonts w:ascii="Times New Roman" w:cs="Times New Roman" w:eastAsia="Times New Roman" w:hAnsi="Times New Roman"/>
          <w:sz w:val="16"/>
          <w:szCs w:val="16"/>
          <w:color w:val="auto"/>
        </w:rPr>
        <w:t>that certain necessary conditions to obtain tax-free treatment under the Code have been satisfied, and the private letter ruling will not address every requirement for the Spin-Off to qualify for tax-free treatment.</w:t>
      </w:r>
    </w:p>
    <w:p>
      <w:pPr>
        <w:spacing w:after="0" w:line="145" w:lineRule="exact"/>
        <w:rPr>
          <w:sz w:val="20"/>
          <w:szCs w:val="20"/>
          <w:color w:val="auto"/>
        </w:rPr>
      </w:pPr>
    </w:p>
    <w:p>
      <w:pPr>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 above consequences would not apply, and U.S. Holders could be subject to tax. In this case, each U.S. Holder who receives our common stock in the Distribution would generally be treated as receiving a distribution in an amount equal to the fair market value of our common stock received, which would generally result in:</w:t>
      </w:r>
    </w:p>
    <w:p>
      <w:pPr>
        <w:spacing w:after="0" w:line="78" w:lineRule="exact"/>
        <w:rPr>
          <w:sz w:val="20"/>
          <w:szCs w:val="20"/>
          <w:color w:val="auto"/>
        </w:rPr>
      </w:pPr>
    </w:p>
    <w:p>
      <w:pPr>
        <w:ind w:left="1620" w:right="80" w:hanging="375"/>
        <w:spacing w:after="0" w:line="278" w:lineRule="auto"/>
        <w:tabs>
          <w:tab w:leader="none" w:pos="162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dividend to the U.S. Holder to the extent of that U.S. Holder’s pro rata share of Illumina’s current and accumulated earnings and profits;</w:t>
      </w:r>
    </w:p>
    <w:p>
      <w:pPr>
        <w:spacing w:after="0" w:line="61"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U.S. Holder’s basis (but not below zero) in Illumina common stock to the extent the amount received exceeds the shareholder’s share of Illumina’s earnings and profits; and</w:t>
      </w:r>
    </w:p>
    <w:p>
      <w:pPr>
        <w:spacing w:after="0" w:line="61"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gain from the exchange of Illumina common stock to the extent the amount received exceeds the sum of the U.S. Holder’s share of Illumina’s earnings and profits and the U.S. Holder’s basis in its Illumina common stock.</w:t>
      </w:r>
    </w:p>
    <w:p>
      <w:pPr>
        <w:spacing w:after="0" w:line="2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Backup Withholding and Information Statement</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Payments of cash in lieu of a fractional share of our common stock may, under certain circumstances, be subject to “backup withholding,” unless a U.S. Holder provides proof of an applicable exemption or a correct taxpayer identification number, and otherwise complies with the requirements of the backup withholding rules. Corporations will generally be exempt from backup withholding, but may be required to provide a certification to establish their entitlement to the exemption. Backup withholding is not an additional tax, and it may be refunded or credited against a U.S. Holder’s U.S. federal income tax liability if the required information is timely supplied to the IRS.</w:t>
      </w:r>
    </w:p>
    <w:p>
      <w:pPr>
        <w:spacing w:after="0" w:line="165"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Treasury Regulations require each Illumina shareholder that, immediately before the Distribution, owned 5% or more (by vote or value) of the total outstanding stock of Illumina to attach to such shareholder’s U.S. federal income tax return for the year in which the Distribution occurs a statement setting forth certain information related to the Distribution.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Illumina</w:t>
      </w:r>
    </w:p>
    <w:p>
      <w:pPr>
        <w:spacing w:after="0" w:line="20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The following is a summary of the material U.S. federal income tax consequences to Illumina in connection with the Spin-Off that may be relevant to holders of Illumina common stock.</w:t>
      </w:r>
    </w:p>
    <w:p>
      <w:pPr>
        <w:spacing w:after="0" w:line="1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As discussed above, completion of the Spin-Off is conditioned upon Illumina’s receipt of a private letter ruling from the IRS and of a written opinion of Cravath, Swaine &amp; Moore LLP, counsel to Illumina, each of which shall remain in full force and effect, that the Spin-Off will qualify for non-recognition of gain and loss under Sections 355 and 368 of the Code. If the Spin-Off so qualifies, no gain or loss will be recognized by Illumina as a result of the Distribution. The opinion of counsel is subject to the qualifications and limitations as are set forth above under the section above entitled “—Consequences to U.S. Holders of Illumina Common Stock” beginning on page 101 of this Information Statement.</w:t>
      </w:r>
    </w:p>
    <w:p>
      <w:pPr>
        <w:spacing w:after="0" w:line="165"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then Illumina would generally recognize gain equal to the excess of the fair market value of our common stock distributed to Illumina shareholders over Illumina’s tax basis in our common stock.</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Obligation</w:t>
      </w:r>
    </w:p>
    <w:p>
      <w:pPr>
        <w:spacing w:after="0" w:line="106"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Sections 355 and 368 of the Code, we expect that we could, under certain circumstances, be required under the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460"/>
          </w:cols>
          <w:pgMar w:left="320" w:top="419" w:right="111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2" w:lineRule="auto"/>
        <w:rPr>
          <w:sz w:val="20"/>
          <w:szCs w:val="20"/>
          <w:color w:val="auto"/>
        </w:rPr>
      </w:pPr>
      <w:r>
        <w:rPr>
          <w:rFonts w:ascii="Times New Roman" w:cs="Times New Roman" w:eastAsia="Times New Roman" w:hAnsi="Times New Roman"/>
          <w:sz w:val="16"/>
          <w:szCs w:val="16"/>
          <w:color w:val="auto"/>
        </w:rPr>
        <w:t>Tax Matters Agreement to indemnify Illumina for certain taxes resulting from the recognition of gain described above and related expenses. In addition, current tax law generally creates a presumption that the Distribution would be taxable to Illumina, but not to holders, if we or our shareholders were to engage in transactions that result in a 50% or greater change by vote or value in the ownership of our stock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Illumina due to such a 50% or greater change in ownership of our stock, Illumina would recognize gain equal to the excess of the fair market value of our common stock distributed to Illumina shareholders over Illumina’s tax basis in our common stock and we expect that we could, under certain circumstances, be required under the Tax Matters Agreement to indemnify Illumina for some or all of the tax on such gain and related expenses.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the Spin-Off</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After the Spin-Off, we will be an independent, publicly traded company. Immediately following the Spin-Off, we expect to have approximately</w:t>
      </w:r>
    </w:p>
    <w:p>
      <w:pPr>
        <w:spacing w:after="0" w:line="23" w:lineRule="exact"/>
        <w:rPr>
          <w:sz w:val="20"/>
          <w:szCs w:val="20"/>
          <w:color w:val="auto"/>
        </w:rPr>
      </w:pPr>
    </w:p>
    <w:p>
      <w:pPr>
        <w:ind w:left="760" w:right="80" w:firstLine="674"/>
        <w:spacing w:after="0" w:line="248" w:lineRule="auto"/>
        <w:rPr>
          <w:sz w:val="20"/>
          <w:szCs w:val="20"/>
          <w:color w:val="auto"/>
        </w:rPr>
      </w:pPr>
      <w:r>
        <w:rPr>
          <w:rFonts w:ascii="Times New Roman" w:cs="Times New Roman" w:eastAsia="Times New Roman" w:hAnsi="Times New Roman"/>
          <w:sz w:val="16"/>
          <w:szCs w:val="16"/>
          <w:color w:val="auto"/>
        </w:rPr>
        <w:t>beneficial holders of shares of our common stock and approximately shares of our common stock outstanding, based in part on the number of Illumina stockholders and shares of Illumina common stock outstanding on , 2024. Up to 14.5% of our common stock will be held</w:t>
      </w:r>
    </w:p>
    <w:p>
      <w:pPr>
        <w:spacing w:after="0" w:line="1" w:lineRule="exact"/>
        <w:rPr>
          <w:sz w:val="20"/>
          <w:szCs w:val="20"/>
          <w:color w:val="auto"/>
        </w:rPr>
      </w:pPr>
    </w:p>
    <w:p>
      <w:pPr>
        <w:ind w:left="760" w:right="40"/>
        <w:spacing w:after="0" w:line="249" w:lineRule="auto"/>
        <w:rPr>
          <w:sz w:val="20"/>
          <w:szCs w:val="20"/>
          <w:color w:val="auto"/>
        </w:rPr>
      </w:pPr>
      <w:r>
        <w:rPr>
          <w:rFonts w:ascii="Times New Roman" w:cs="Times New Roman" w:eastAsia="Times New Roman" w:hAnsi="Times New Roman"/>
          <w:sz w:val="16"/>
          <w:szCs w:val="16"/>
          <w:color w:val="auto"/>
        </w:rPr>
        <w:t>by Illumina. The actual number of shares of our common stock Illumina will distribute in the Spin-Off will depend on the actual number of shares of Illumina common stock outstanding on the Record Date, which will reflect any issuance of new shares in respect of settlements or exercises of outstanding equity-based awards pursuant to Illumina’s equity plans, on or prior to the Record Date. The Spin-Off will not affect the number of outstanding shares of Illumina common stock or any rights of Illumina stockholders, although we expect the trading price of shares of Illumina common stock immediately following the Distribution to be lower than immediately prior to the Distribution because the trading price of Illumina common stock will no longer reflect the value of GRAIL. Furthermore, until the market has fully analyzed the value of Illumina without GRAIL, the trading price of shares of Illumina common stock may fluctuate and result in a higher volatility in the price of our common stock.</w:t>
      </w:r>
    </w:p>
    <w:p>
      <w:pPr>
        <w:spacing w:after="0" w:line="170"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Before our separation from Illumina, we intend to enter into a Separation and Distribution Agreement and several other agreements with Illumina related to the Spin-Off. These agreements will govern the relationship between Illumina and GRAIL after completion of the Spin-Off and allocate between Illumina and GRAIL various assets, liabilities, rights, and obligations, including tax-related assets and liabilities. We describe these arrangements in greater detail under the section entitled “Certain Relationships and Related Party Transactions—Agreements with Illumina” beginning on page 202 of this Information Statement.</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Listing and Trading of Our Common Stock</w:t>
      </w:r>
    </w:p>
    <w:p>
      <w:pPr>
        <w:spacing w:after="0" w:line="10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As of the date of this Information Statement, we are a wholly owned subsidiary of Illumina. Accordingly, no public market for our common stock currently exists, although a “when-issued” market in our common stock may develop prior to the Distribution. For an explanation of a “when-issued market,” see the section below entitled “—Trading Prior to the Distribution Date” beginning on page 105 of this Information Statement. We intend to list our shares of common stock on Nasdaq under the ticker symbol “GRAL.” Following the Spin-Off, Illumina common stock will continue to trade on Nasdaq under the ticker symbol “ILMN.”</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Neither we nor Illumina can assure you as to the trading price of Illumina common stock or our common stock after the Spin-Off, or as to whether the combined trading prices of our common stock and the Illumina common stock after the Spin-Off will be less than, equal to or greater than the trading prices of Illumina common stock prior to the Spin-Off. The trading price of our common stock may fluctuate significantly following the Spin-Off and result in a higher volatility in the price of our common stock. For more detail, see the section entitled “Risk Factors—Risks Relating to Our Common Stock” beginning on page 88 of this Information Statement.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10480"/>
          </w:cols>
          <w:pgMar w:left="320" w:top="419" w:right="109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shares of our common stock distributed to Illumina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U.S. federal securities law purposes. These individuals may include some or all of our directors and executives. Individuals who are our affiliates will be permitted to sell their shares of our common stock only pursuant to an effective registration statement under the Securities Act of 1933 (the “Securities Act”) or an exemption from the registration requirements of the Securities Act, such as those afforded by Section 4(a)(1) of the Securities Act or Rule 144 thereunder.</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Trading Prior to the Distribution Date</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expect a “when-issued” market in our common stock to develop on or shortly before the Record Date for the Distribution and continue up to and including the Distribution Date. “When-issued” trading refers to a sale or purchase made conditionally on or before the Distribution Date because the securities of the spun-off entity have not yet been distributed. If you own shares of Illumina common stock at the close of business on the Record Date, you will be entitled to receive shares of our common stock in the Distribution. You may trade this entitlement to receive shares of our common stock, without the shares of Illumina common stock you own, on the “when-issued” market. We expect “when-issued” trades of our common stock to settle within two trading days after the Distribution Date. On the first trading day following the Distribution Date, we expect that “when-issued” trading of our common stock will end and “regular-way” trading will begin.</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also anticipate that, on or shortly before the Record Date and continuing up to and including the Distribution Date, there will be two markets in Illumina common stock: a “regular-way” market and an “ex-distribution” market. Shares of Illumina common stock that trade on the “regular-way” market will trade with an entitlement to receive shares of our common stock in the Distribution. Shares that trade on the “ex-distribution” market will trade without an entitlement to receive shares of our common stock in the Distribution. Therefore, if you sell shares of Illumina common stock in the “regular-way” market up to and including the Distribution Date, you will be selling your right to receive shares of our common stock in the Distribution. However, if you own shares of Illumina common stock at the close of business on the Record Date and sell those shares on the “ex-distribution” market up to and including the Distribution Date, you will still receive the shares of our common stock that you would otherwise be entitled to receive in the Distribution.</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Following the Distribution Date, we expect shares of our common stock to be listed on Nasdaq under the ticker symbol “GRAL.” If “when-issued” trading occurs, the listing for our common stock is expected to be under a ticker symbol different from our “regular-way” ticker symbol. We will announce our “when-issued” ticker symbol when and if it becomes available. If the Spin-Off does not occur, all “when-issued” trading will be null and void.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Conditions to the Spin-Off</w:t>
      </w:r>
    </w:p>
    <w:p>
      <w:pPr>
        <w:spacing w:after="0" w:line="104"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separation will be effective on the Distribution Date, provided that the following conditions shall have been satisfied or waived by Illumina:</w:t>
      </w:r>
    </w:p>
    <w:p>
      <w:pPr>
        <w:spacing w:after="0" w:line="62" w:lineRule="exact"/>
        <w:rPr>
          <w:sz w:val="20"/>
          <w:szCs w:val="20"/>
          <w:color w:val="auto"/>
        </w:rPr>
      </w:pPr>
    </w:p>
    <w:p>
      <w:pPr>
        <w:ind w:left="1620" w:right="20" w:hanging="375"/>
        <w:spacing w:after="0" w:line="278" w:lineRule="auto"/>
        <w:tabs>
          <w:tab w:leader="none" w:pos="1620"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Securities Exchange Act of 1934, and no stop order</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460"/>
          </w:cols>
          <w:pgMar w:left="320" w:top="419" w:right="111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40"/>
        <w:spacing w:after="0" w:line="278" w:lineRule="auto"/>
        <w:rPr>
          <w:sz w:val="20"/>
          <w:szCs w:val="20"/>
          <w:color w:val="auto"/>
        </w:rPr>
      </w:pPr>
      <w:r>
        <w:rPr>
          <w:rFonts w:ascii="Times New Roman" w:cs="Times New Roman" w:eastAsia="Times New Roman" w:hAnsi="Times New Roman"/>
          <w:sz w:val="16"/>
          <w:szCs w:val="16"/>
          <w:color w:val="auto"/>
        </w:rPr>
        <w:t>suspending the effectiveness of the Registration Statement shall be in effect and no proceedings for that purpose shall be pending before or threatened by the SEC;</w:t>
      </w:r>
    </w:p>
    <w:p>
      <w:pPr>
        <w:spacing w:after="0" w:line="62" w:lineRule="exact"/>
        <w:rPr>
          <w:sz w:val="20"/>
          <w:szCs w:val="20"/>
          <w:color w:val="auto"/>
        </w:rPr>
      </w:pPr>
    </w:p>
    <w:p>
      <w:pPr>
        <w:ind w:left="1620" w:right="140" w:hanging="375"/>
        <w:spacing w:after="0" w:line="258" w:lineRule="auto"/>
        <w:tabs>
          <w:tab w:leader="none" w:pos="16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received a private letter ruling from the IRS and the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Sections 355 and 368 of the Code;</w:t>
      </w:r>
    </w:p>
    <w:p>
      <w:pPr>
        <w:spacing w:after="0" w:line="77" w:lineRule="exact"/>
        <w:rPr>
          <w:rFonts w:ascii="Times New Roman" w:cs="Times New Roman" w:eastAsia="Times New Roman" w:hAnsi="Times New Roman"/>
          <w:sz w:val="16"/>
          <w:szCs w:val="16"/>
          <w:color w:val="auto"/>
        </w:rPr>
      </w:pPr>
    </w:p>
    <w:p>
      <w:pPr>
        <w:ind w:left="1620" w:right="200" w:hanging="375"/>
        <w:spacing w:after="0" w:line="263" w:lineRule="auto"/>
        <w:tabs>
          <w:tab w:leader="none" w:pos="16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73" w:lineRule="exact"/>
        <w:rPr>
          <w:rFonts w:ascii="Times New Roman" w:cs="Times New Roman" w:eastAsia="Times New Roman" w:hAnsi="Times New Roman"/>
          <w:sz w:val="16"/>
          <w:szCs w:val="16"/>
          <w:color w:val="auto"/>
        </w:rPr>
      </w:pPr>
    </w:p>
    <w:p>
      <w:pPr>
        <w:ind w:left="1620" w:right="240" w:hanging="375"/>
        <w:spacing w:after="0" w:line="263" w:lineRule="auto"/>
        <w:tabs>
          <w:tab w:leader="none" w:pos="16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of Directors (the “Board”), immediately after the Distribution;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145"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fulfillment of the above conditions will not create any obligation on Illumina’s part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5" w:lineRule="exact"/>
        <w:rPr>
          <w:sz w:val="20"/>
          <w:szCs w:val="20"/>
          <w:color w:val="auto"/>
        </w:rPr>
      </w:pPr>
    </w:p>
    <w:p>
      <w:pPr>
        <w:ind w:left="760" w:right="60" w:firstLine="388"/>
        <w:spacing w:after="0" w:line="272" w:lineRule="auto"/>
        <w:rPr>
          <w:sz w:val="20"/>
          <w:szCs w:val="20"/>
          <w:color w:val="auto"/>
        </w:rPr>
      </w:pPr>
      <w:r>
        <w:rPr>
          <w:rFonts w:ascii="Times New Roman" w:cs="Times New Roman" w:eastAsia="Times New Roman" w:hAnsi="Times New Roman"/>
          <w:sz w:val="15"/>
          <w:szCs w:val="15"/>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w:t>
      </w:r>
    </w:p>
    <w:p>
      <w:pPr>
        <w:spacing w:after="0" w:line="2" w:lineRule="exact"/>
        <w:rPr>
          <w:sz w:val="20"/>
          <w:szCs w:val="20"/>
          <w:color w:val="auto"/>
        </w:rPr>
      </w:pPr>
    </w:p>
    <w:p>
      <w:pPr>
        <w:ind w:left="760"/>
        <w:spacing w:after="0"/>
        <w:tabs>
          <w:tab w:leader="none" w:pos="10260" w:val="left"/>
        </w:tabs>
        <w:rPr>
          <w:sz w:val="20"/>
          <w:szCs w:val="20"/>
          <w:color w:val="auto"/>
        </w:rPr>
      </w:pPr>
      <w:r>
        <w:rPr>
          <w:rFonts w:ascii="Times New Roman" w:cs="Times New Roman" w:eastAsia="Times New Roman" w:hAnsi="Times New Roman"/>
          <w:sz w:val="16"/>
          <w:szCs w:val="16"/>
          <w:color w:val="auto"/>
        </w:rPr>
        <w:t>and auditors, that will not be recouped. Total one-time transaction costs associated with the Spin-Off are preliminarily estimated to range from $</w:t>
      </w:r>
      <w:r>
        <w:rPr>
          <w:sz w:val="20"/>
          <w:szCs w:val="20"/>
          <w:color w:val="auto"/>
        </w:rPr>
        <w:tab/>
      </w:r>
      <w:r>
        <w:rPr>
          <w:rFonts w:ascii="Times New Roman" w:cs="Times New Roman" w:eastAsia="Times New Roman" w:hAnsi="Times New Roman"/>
          <w:sz w:val="15"/>
          <w:szCs w:val="15"/>
          <w:color w:val="auto"/>
        </w:rPr>
        <w:t>to</w:t>
      </w:r>
    </w:p>
    <w:p>
      <w:pPr>
        <w:spacing w:after="0" w:line="6" w:lineRule="exact"/>
        <w:rPr>
          <w:sz w:val="20"/>
          <w:szCs w:val="20"/>
          <w:color w:val="auto"/>
        </w:rPr>
      </w:pPr>
    </w:p>
    <w:p>
      <w:pPr>
        <w:ind w:left="760" w:right="160" w:firstLine="9"/>
        <w:spacing w:after="0" w:line="251" w:lineRule="auto"/>
        <w:tabs>
          <w:tab w:leader="none" w:pos="1196"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Spin-Off is completed.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480"/>
          </w:cols>
          <w:pgMar w:left="320" w:top="419" w:right="109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the shares of our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public disclosure obligations and practices.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440"/>
          </w:cols>
          <w:pgMar w:left="320" w:top="419" w:right="113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also “Risk Factors—Risks Relating to Our Common Stock—We do not expect to pay any dividends for the foreseeable future” beginning on page 91 of this Information Statement.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440"/>
          </w:cols>
          <w:pgMar w:left="320" w:top="419" w:right="113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sets forth the cash, cash equivalents and marketable securities, and capitalization of GRAIL as of December 31, 2023:</w:t>
      </w:r>
    </w:p>
    <w:p>
      <w:pPr>
        <w:spacing w:after="0" w:line="114" w:lineRule="exact"/>
        <w:rPr>
          <w:sz w:val="20"/>
          <w:szCs w:val="20"/>
          <w:color w:val="auto"/>
        </w:rPr>
      </w:pPr>
    </w:p>
    <w:p>
      <w:pPr>
        <w:ind w:left="1620" w:hanging="375"/>
        <w:spacing w:after="0"/>
        <w:tabs>
          <w:tab w:leader="none" w:pos="16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actual basis;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to give effect to our conversion from a limited liability company to a corporation;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to give effect to the Distribution and other related transactions, as if they occurred on December 31, 2023.</w:t>
      </w:r>
    </w:p>
    <w:p>
      <w:pPr>
        <w:spacing w:after="0" w:line="20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information below is not necessarily indicative of what our capitalization would have been had the conversion to a corporation, the Distribution, and other related transactions been completed as of December 31, 2023. In addition, it is not indicative of our future capitalization and may not reflect the capitalization or financial condition that would have resulted had we operated as an independent, publicly traded company as of the applicable dates presented. You should review the following table in conjunction with the sections entitled “Unaudited Pro Forma Condensed Consolidated Financial Information” and “Management’s Discussion and Analysis of Financial Condition and Results of Operations” beginning on pages 112 and 168 of this Information Statement, respectively, and our Consolidated Financial Statements and accompanying notes set forth in the section entitled “Index to Consolidated Financial Statements” beginning on page F-1 of this Information Statement.</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60" w:type="dxa"/>
            <w:vAlign w:val="bottom"/>
            <w:vMerge w:val="restart"/>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76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Pro Forma as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100" w:type="dxa"/>
            <w:vAlign w:val="bottom"/>
            <w:tcBorders>
              <w:top w:val="single" w:sz="8" w:color="auto"/>
            </w:tcBorders>
            <w:gridSpan w:val="6"/>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6"/>
              </w:rPr>
              <w:t>(in thousands, except share and per share data)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Pr>
          <w:p>
            <w:pPr>
              <w:jc w:val="right"/>
              <w:ind w:right="604"/>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5"/>
                <w:szCs w:val="15"/>
                <w:color w:val="auto"/>
              </w:rPr>
            </w:pPr>
          </w:p>
        </w:tc>
        <w:tc>
          <w:tcPr>
            <w:tcW w:w="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ind w:left="440"/>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7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0" w:type="dxa"/>
            <w:vAlign w:val="bottom"/>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Stockholders’ (deficit) equity:</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Common stock, $0.001 par value per share, no shares authorized, issued and</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actual;</w:t>
            </w:r>
          </w:p>
        </w:tc>
        <w:tc>
          <w:tcPr>
            <w:tcW w:w="4600" w:type="dxa"/>
            <w:vAlign w:val="bottom"/>
            <w:gridSpan w:val="4"/>
            <w:shd w:val="clear" w:color="auto" w:fill="CCEEFF"/>
          </w:tcPr>
          <w:p>
            <w:pPr>
              <w:jc w:val="right"/>
              <w:ind w:right="1584"/>
              <w:spacing w:after="0"/>
              <w:rPr>
                <w:sz w:val="20"/>
                <w:szCs w:val="20"/>
                <w:color w:val="auto"/>
              </w:rPr>
            </w:pPr>
            <w:r>
              <w:rPr>
                <w:rFonts w:ascii="Times New Roman" w:cs="Times New Roman" w:eastAsia="Times New Roman" w:hAnsi="Times New Roman"/>
                <w:sz w:val="16"/>
                <w:szCs w:val="16"/>
                <w:color w:val="auto"/>
                <w:w w:val="98"/>
              </w:rPr>
              <w:t>shares authorized, pro forma and pro forma as</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w:t>
            </w:r>
          </w:p>
        </w:tc>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pro forma;</w:t>
            </w:r>
          </w:p>
        </w:tc>
        <w:tc>
          <w:tcPr>
            <w:tcW w:w="2400" w:type="dxa"/>
            <w:vAlign w:val="bottom"/>
            <w:gridSpan w:val="2"/>
            <w:shd w:val="clear" w:color="auto" w:fill="CCEEFF"/>
          </w:tcPr>
          <w:p>
            <w:pPr>
              <w:jc w:val="right"/>
              <w:ind w:right="1164"/>
              <w:spacing w:after="0"/>
              <w:rPr>
                <w:sz w:val="20"/>
                <w:szCs w:val="20"/>
                <w:color w:val="auto"/>
              </w:rPr>
            </w:pPr>
            <w:r>
              <w:rPr>
                <w:rFonts w:ascii="Times New Roman" w:cs="Times New Roman" w:eastAsia="Times New Roman" w:hAnsi="Times New Roman"/>
                <w:sz w:val="16"/>
                <w:szCs w:val="16"/>
                <w:color w:val="auto"/>
              </w:rPr>
              <w:t>shares issued</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outstanding pro forma as</w:t>
            </w:r>
          </w:p>
        </w:tc>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17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Total capitalization</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vMerge w:val="restart"/>
          </w:tcPr>
          <w:p>
            <w:pPr>
              <w:jc w:val="right"/>
              <w:ind w:right="1121"/>
              <w:spacing w:after="0"/>
              <w:rPr>
                <w:sz w:val="20"/>
                <w:szCs w:val="20"/>
                <w:color w:val="auto"/>
              </w:rPr>
            </w:pPr>
            <w:r>
              <w:rPr>
                <w:rFonts w:ascii="Times New Roman" w:cs="Times New Roman" w:eastAsia="Times New Roman" w:hAnsi="Times New Roman"/>
                <w:sz w:val="16"/>
                <w:szCs w:val="16"/>
                <w:color w:val="auto"/>
              </w:rPr>
              <w:t>109</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19" w:right="111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SELECTED HISTORICAL FINANCIAL DATA</w:t>
      </w:r>
    </w:p>
    <w:p>
      <w:pPr>
        <w:spacing w:after="0" w:line="199"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following tables present selected historical financial data as of and for each of the fiscal years ended December 31, 2023 and January 1, 2023 and for the periods from August 19, 2021 to January 2, 2022 and January 1, 2021 to August 18, 2021. We have derived our summary historical statements of operations data for the years ended December 31, 2023 and January 1, 2023 and for the periods from August 19, 2021 to January 2, 2022 and January 1, 2021 to August 18, 2021, and summary historical balance sheet data as of December 31, 2023 and January 1, 2023, as set forth below, from our audited historical consolidated financial statements and related notes included elsewhere in this Information Statement. We refer to our audited financial statements as the “Consolidated Financial Statements,” which are included in this Information Statement.</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selected historical financial data presented below should be read in conjunction with our Consolidated Financial Statements and the accompanying notes thereto, the section entitled “Management’s Discussion and Analysis of Financial Condition and Results of Operations” beginning on page 168 of this Information Statement, and the section entitled “Unaudited Pro Forma Condensed Consolidated Financial Information” beginning on page 112 of this Information Statement. On August 18, 2021, we became a wholly owned subsidiary of Illumina. Although we were held and operated separately and independently from Illumina, the selected historical financial data does not necessarily reflect what our results of operations and financial position would have been if we had operated as an independent, publicly traded company during the periods presented. In addition, our historical financial data does not reflect changes that we expect to experience in the future as a result of our separation from Illumina, including changes, if any, in the financing of our business. Accordingly, the historical results should not be relied upon as an indicator of our future performance.</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8"/>
              </w:rPr>
              <w:t>(Successor)</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4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40" w:type="dxa"/>
            <w:vAlign w:val="bottom"/>
          </w:tcPr>
          <w:p>
            <w:pPr>
              <w:spacing w:after="0"/>
              <w:rPr>
                <w:sz w:val="8"/>
                <w:szCs w:val="8"/>
                <w:color w:val="auto"/>
              </w:rPr>
            </w:pPr>
          </w:p>
        </w:tc>
        <w:tc>
          <w:tcPr>
            <w:tcW w:w="1040" w:type="dxa"/>
            <w:vAlign w:val="bottom"/>
            <w:tcBorders>
              <w:top w:val="single" w:sz="8" w:color="auto"/>
            </w:tcBorders>
          </w:tcPr>
          <w:p>
            <w:pPr>
              <w:ind w:left="18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 to</w:t>
            </w:r>
          </w:p>
        </w:tc>
        <w:tc>
          <w:tcPr>
            <w:tcW w:w="30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2"/>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64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38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60" w:type="dxa"/>
            <w:vAlign w:val="bottom"/>
          </w:tcPr>
          <w:p>
            <w:pPr>
              <w:spacing w:after="0"/>
              <w:rPr>
                <w:sz w:val="13"/>
                <w:szCs w:val="13"/>
                <w:color w:val="auto"/>
              </w:rPr>
            </w:pPr>
          </w:p>
        </w:tc>
        <w:tc>
          <w:tcPr>
            <w:tcW w:w="1320" w:type="dxa"/>
            <w:vAlign w:val="bottom"/>
            <w:tcBorders>
              <w:right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3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23"/>
        </w:trPr>
        <w:tc>
          <w:tcPr>
            <w:tcW w:w="46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Borders>
              <w:top w:val="single" w:sz="8" w:color="auto"/>
            </w:tcBorders>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54,856</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12,052</w:t>
            </w:r>
          </w:p>
        </w:tc>
        <w:tc>
          <w:tcPr>
            <w:tcW w:w="3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2,133</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Revenue—related parties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694</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Cost of revenue (exclusive of amortization of</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33,739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5,288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5,226</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revenue—related parties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795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44,630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310,431</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309,781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19,145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1,475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122,328</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100,512</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173,494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478,071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614</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0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940,587</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339,367</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(5,442,890)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(928,154)</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(238)</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(884)</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198"/>
        </w:trPr>
        <w:tc>
          <w:tcPr>
            <w:tcW w:w="4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40" w:type="dxa"/>
            <w:vAlign w:val="bottom"/>
            <w:tcBorders>
              <w:top w:val="single" w:sz="8" w:color="auto"/>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3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(5,441,388)</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(929,019)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(336,233)</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(5,399,098)</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64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110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36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40" w:type="dxa"/>
            <w:vAlign w:val="bottom"/>
            <w:tcBorders>
              <w:bottom w:val="single" w:sz="8" w:color="auto"/>
            </w:tcBorders>
            <w:gridSpan w:val="2"/>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54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86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660" w:type="dxa"/>
            <w:vAlign w:val="bottom"/>
            <w:gridSpan w:val="3"/>
          </w:tcPr>
          <w:p>
            <w:pPr>
              <w:jc w:val="center"/>
              <w:ind w:left="673"/>
              <w:spacing w:after="0" w:line="123"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3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20" w:type="dxa"/>
            <w:vAlign w:val="bottom"/>
            <w:gridSpan w:val="2"/>
          </w:tcPr>
          <w:p>
            <w:pPr>
              <w:ind w:left="36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241,596</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4,937,986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291,825</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3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10,955,907</w:t>
            </w:r>
          </w:p>
        </w:tc>
        <w:tc>
          <w:tcPr>
            <w:tcW w:w="0" w:type="dxa"/>
            <w:vAlign w:val="bottom"/>
          </w:tcPr>
          <w:p>
            <w:pPr>
              <w:spacing w:after="0"/>
              <w:rPr>
                <w:sz w:val="1"/>
                <w:szCs w:val="1"/>
                <w:color w:val="auto"/>
              </w:rPr>
            </w:pPr>
          </w:p>
        </w:tc>
      </w:tr>
      <w:tr>
        <w:trPr>
          <w:trHeight w:val="194"/>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(6,310,640)</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3600" w:type="dxa"/>
            <w:vAlign w:val="bottom"/>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600" w:type="dxa"/>
            <w:vAlign w:val="bottom"/>
            <w:vMerge w:val="restart"/>
          </w:tcPr>
          <w:p>
            <w:pPr>
              <w:jc w:val="right"/>
              <w:ind w:right="2161"/>
              <w:spacing w:after="0"/>
              <w:rPr>
                <w:sz w:val="20"/>
                <w:szCs w:val="20"/>
                <w:color w:val="auto"/>
              </w:rPr>
            </w:pPr>
            <w:r>
              <w:rPr>
                <w:rFonts w:ascii="Times New Roman" w:cs="Times New Roman" w:eastAsia="Times New Roman" w:hAnsi="Times New Roman"/>
                <w:sz w:val="16"/>
                <w:szCs w:val="16"/>
                <w:color w:val="auto"/>
              </w:rPr>
              <w:t>111</w:t>
            </w: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6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375" w:name="page376"/>
    <w:bookmarkEnd w:id="3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8740" w:type="dxa"/>
            <w:vAlign w:val="bottom"/>
          </w:tcPr>
          <w:p>
            <w:pPr>
              <w:spacing w:after="0"/>
              <w:rPr>
                <w:sz w:val="16"/>
                <w:szCs w:val="16"/>
                <w:color w:val="auto"/>
              </w:rPr>
            </w:pPr>
          </w:p>
        </w:tc>
      </w:tr>
      <w:tr>
        <w:trPr>
          <w:trHeight w:val="449"/>
        </w:trPr>
        <w:tc>
          <w:tcPr>
            <w:tcW w:w="11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874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r>
      <w:tr>
        <w:trPr>
          <w:trHeight w:val="209"/>
        </w:trPr>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74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r>
      <w:tr>
        <w:trPr>
          <w:trHeight w:val="321"/>
        </w:trPr>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74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8"/>
              </w:rPr>
              <w:t>UNAUDITED PRO FORMA CONDENSED CONSOLIDATED FINANCIAL INFORMATION</w:t>
            </w:r>
          </w:p>
        </w:tc>
      </w:tr>
      <w:tr>
        <w:trPr>
          <w:trHeight w:val="381"/>
        </w:trPr>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On</w:t>
            </w:r>
          </w:p>
        </w:tc>
        <w:tc>
          <w:tcPr>
            <w:tcW w:w="874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8"/>
              </w:rPr>
              <w:t>, 2024, Illumina announced plans for the separation of GRAIL from Illumina. To effect the Spin-Off, Illumina will distribute at least</w:t>
            </w:r>
          </w:p>
        </w:tc>
      </w:tr>
    </w:tbl>
    <w:p>
      <w:pPr>
        <w:ind w:left="760" w:right="60"/>
        <w:spacing w:after="0" w:line="256" w:lineRule="auto"/>
        <w:rPr>
          <w:sz w:val="20"/>
          <w:szCs w:val="20"/>
          <w:color w:val="auto"/>
        </w:rPr>
      </w:pPr>
      <w:r>
        <w:rPr>
          <w:rFonts w:ascii="Times New Roman" w:cs="Times New Roman" w:eastAsia="Times New Roman" w:hAnsi="Times New Roman"/>
          <w:sz w:val="16"/>
          <w:szCs w:val="16"/>
          <w:color w:val="auto"/>
        </w:rPr>
        <w:t>85.5% of the shares of GRAIL’s common stock owned by Illumina to Illumina’s stockholders, and GRAIL will become an independent, publicly traded company. Immediately after the Distribution becomes effective, Illumina may retain up to 14.5% of GRAIL’s common stock.</w:t>
      </w:r>
    </w:p>
    <w:p>
      <w:pPr>
        <w:spacing w:after="0" w:line="16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of GRAIL has been derived from the historical consolidated financial statements, which we refer to as the “Consolidated Financial Statements,” included in the section entitled “Index to Consolidated Financial Statements” beginning on page F-1 of this Information Statement. The unaudited pro forma condensed consolidated statement of operations data for the year ended December 31, 2023 has been prepared as though the Distribution occurred on January 2, 2023. The unaudited pro forma condensed consolidated balance sheet data as of December 31, 2023 has been prepared as though the Distribution occurred on December 31, 2023. The unaudited pro forma condensed consolidated financial information was prepared in accordance with Article 11 of Regulation S-X, updated for Release No. 33-10786, which became effective January 1, 2021. The unaudited pro forma condensed consolidated financial information has been adjusted to give effect to pro forma adjustments referred to as “Transaction Accounting Adjustments” including:</w:t>
      </w:r>
    </w:p>
    <w:p>
      <w:pPr>
        <w:spacing w:after="0" w:line="85" w:lineRule="exact"/>
        <w:rPr>
          <w:sz w:val="20"/>
          <w:szCs w:val="20"/>
          <w:color w:val="auto"/>
        </w:rPr>
      </w:pPr>
    </w:p>
    <w:p>
      <w:pPr>
        <w:ind w:left="1620" w:hanging="375"/>
        <w:spacing w:after="0"/>
        <w:tabs>
          <w:tab w:leader="none" w:pos="1620"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GRAIL from a limited liability company to a corporation.</w:t>
      </w:r>
    </w:p>
    <w:p>
      <w:pPr>
        <w:spacing w:after="0" w:line="197"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The unaudited pro forma condensed consolidated financial information is presented for illustrative purposes only and is not necessarily indicative of the operating results or financial position that would have been achieved had the Spin-Off occurred on January 2, 2023 or December 31, 2023, respectively, nor is it indicative of GRAIL’s future operating results or financial position. The pro forma adjustments are based upon information and assumptions available at the time of the filing of this Information Statement as set forth in the notes to the unaudited pro forma condensed consolidated financial information. Because this unaudited pro forma condensed consolidated financial information has been prepared based upon preliminary estimates, the impact of the Spin-Off and the timing thereof could cause material differences from the information presented herein.</w:t>
      </w:r>
    </w:p>
    <w:p>
      <w:pPr>
        <w:spacing w:after="0" w:line="151"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should be read in conjunction with our Consolidated Financial Statements and accompanying notes included under the section entitled “Index to Consolidated Financial Statements” beginning on page F-1 of this Information Statement and the sections entitled “Capitalization” and “Management’s Discussion and Analysis of Financial Condition and Results of Operations” beginning on pages 109 and 168, respectively, of this Information Statement. The unaudited pro forma condensed consolidated financial information constitutes forward-looking information and is subject to certain risks and uncertainties that could cause actual results to differ materially from those anticipated. For more information, see the sections entitled “Cautionary Statement Concerning Forward-Looking Statements” and “Risk Factors” beginning on pages 95 and 28, respectively, of this Information Statement.</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10460"/>
          </w:cols>
          <w:pgMar w:left="320" w:top="408" w:right="111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clinically-validated, commercially available test for early detection of multiple types of cancer, which we termed multi-cancer early detection (“MCED”). Galleri detects a shared cancer signal across more than 50 types of cancer and can predict with high accuracy the specific organ or tissue type where the cancer signal originated, all from a simple blood draw. We launched Galleri in the United States in mid-2021. As of September 30, 2023, we have sold more than 125,000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8" w:lineRule="exact"/>
        <w:rPr>
          <w:sz w:val="20"/>
          <w:szCs w:val="20"/>
          <w:color w:val="auto"/>
        </w:rPr>
      </w:pPr>
    </w:p>
    <w:p>
      <w:pPr>
        <w:ind w:left="760" w:right="60" w:firstLine="388"/>
        <w:spacing w:after="0" w:line="270" w:lineRule="auto"/>
        <w:rPr>
          <w:sz w:val="20"/>
          <w:szCs w:val="20"/>
          <w:color w:val="auto"/>
        </w:rPr>
      </w:pPr>
      <w:r>
        <w:rPr>
          <w:rFonts w:ascii="Times New Roman" w:cs="Times New Roman" w:eastAsia="Times New Roman" w:hAnsi="Times New Roman"/>
          <w:sz w:val="15"/>
          <w:szCs w:val="15"/>
          <w:color w:val="auto"/>
        </w:rPr>
        <w:t>Cancer is a major public health crisis. It is the second leading cause of death both in the United States and worldwide. Most cancers that result in death are diagnosed too late, in advanced stages when they are most challenging to treat. Approximately 67% of cancer deaths result from cancers that have no recommended screening guidelines.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We believe that expanding upon these current guidelines to screen individuals for many types of cancer with a single test represents a significant opportunity to reduce cancer mortality and the cost of cancer care. Based on our published modeling data, we estimate that adding Galleri to these five standard of care single-cancer screening tests could detect many more cancers at an earlier stage and potentially avert approximately 100,000 deaths per year in the United States as measured by five-year survival. In addition, a recent analysis demonstrated that diagnosing cancer early could result in an estimated $26 billion in annual cost-savings in the United States.</w:t>
      </w:r>
    </w:p>
    <w:p>
      <w:pPr>
        <w:spacing w:after="0" w:line="15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designed Galleri to detect cancer early, when it can be cured. Galleri works by detecting DNA fragments shed into the bloodstream by tumor cells. DNA from cancer has specific methylation patterns that can be used to both identify a general cancer signal and localize that signal to a specific organ or tissue type. In clinical studies, Galleri identified a shared cancer signal across more than 50 types of cancer, often at an early stage. If a cancer signal is detected, Galleri predicts the tissue type or organ associated with the cancer signal (the cancer signal origin) with high accuracy. Test results are then used by healthcare providers to guide follow-up diagnostic testing.</w:t>
      </w:r>
    </w:p>
    <w:p>
      <w:pPr>
        <w:spacing w:after="0" w:line="165"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As an early leader in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Our industry leadership has been recognized with multiple national high-profile accolades, including being acknowledged by </w:t>
      </w:r>
      <w:r>
        <w:rPr>
          <w:rFonts w:ascii="Times New Roman" w:cs="Times New Roman" w:eastAsia="Times New Roman" w:hAnsi="Times New Roman"/>
          <w:sz w:val="16"/>
          <w:szCs w:val="16"/>
          <w:i w:val="1"/>
          <w:iCs w:val="1"/>
          <w:color w:val="auto"/>
        </w:rPr>
        <w:t xml:space="preserve">Time Magazine </w:t>
      </w:r>
      <w:r>
        <w:rPr>
          <w:rFonts w:ascii="Times New Roman" w:cs="Times New Roman" w:eastAsia="Times New Roman" w:hAnsi="Times New Roman"/>
          <w:sz w:val="16"/>
          <w:szCs w:val="16"/>
          <w:color w:val="auto"/>
        </w:rPr>
        <w:t>as one of the Best Inventions of 2022, and</w:t>
      </w:r>
      <w:r>
        <w:rPr>
          <w:rFonts w:ascii="Times New Roman" w:cs="Times New Roman" w:eastAsia="Times New Roman" w:hAnsi="Times New Roman"/>
          <w:sz w:val="16"/>
          <w:szCs w:val="16"/>
          <w:i w:val="1"/>
          <w:iCs w:val="1"/>
          <w:color w:val="auto"/>
        </w:rPr>
        <w:t xml:space="preserve"> The Atlantic </w:t>
      </w:r>
      <w:r>
        <w:rPr>
          <w:rFonts w:ascii="Times New Roman" w:cs="Times New Roman" w:eastAsia="Times New Roman" w:hAnsi="Times New Roman"/>
          <w:sz w:val="16"/>
          <w:szCs w:val="16"/>
          <w:color w:val="auto"/>
        </w:rPr>
        <w:t>as one of the top breakthroughs of 2022 and being named in</w:t>
      </w:r>
      <w:r>
        <w:rPr>
          <w:rFonts w:ascii="Times New Roman" w:cs="Times New Roman" w:eastAsia="Times New Roman" w:hAnsi="Times New Roman"/>
          <w:sz w:val="16"/>
          <w:szCs w:val="16"/>
          <w:i w:val="1"/>
          <w:iCs w:val="1"/>
          <w:color w:val="auto"/>
        </w:rPr>
        <w:t xml:space="preserve"> Fast Company </w:t>
      </w:r>
      <w:r>
        <w:rPr>
          <w:rFonts w:ascii="Times New Roman" w:cs="Times New Roman" w:eastAsia="Times New Roman" w:hAnsi="Times New Roman"/>
          <w:sz w:val="16"/>
          <w:szCs w:val="16"/>
          <w:color w:val="auto"/>
        </w:rPr>
        <w:t xml:space="preserve">World 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ectPr>
          <w:pgSz w:w="11900" w:h="16838" w:orient="portrait"/>
          <w:cols w:equalWidth="0" w:num="1">
            <w:col w:w="10460"/>
          </w:cols>
          <w:pgMar w:left="320" w:top="418" w:right="1119" w:bottom="1440" w:gutter="0" w:footer="0" w:header="0"/>
        </w:sectPr>
      </w:pPr>
    </w:p>
    <w:p>
      <w:pPr>
        <w:spacing w:after="0" w:line="3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hanging="369"/>
        <w:spacing w:after="0" w:line="278" w:lineRule="auto"/>
        <w:rPr>
          <w:sz w:val="20"/>
          <w:szCs w:val="20"/>
          <w:color w:val="auto"/>
        </w:rPr>
      </w:pPr>
      <w:r>
        <w:rPr>
          <w:rFonts w:ascii="Times New Roman" w:cs="Times New Roman" w:eastAsia="Times New Roman" w:hAnsi="Times New Roman"/>
          <w:sz w:val="16"/>
          <w:szCs w:val="16"/>
          <w:color w:val="auto"/>
        </w:rPr>
        <w:t>To support broad access for Galleri in the United States, we plan to complete a premarket approval application (“PMA”) submission with the FDA . We seek to use data from the NHS-Galleri Trial,</w:t>
      </w:r>
    </w:p>
    <w:p>
      <w:pPr>
        <w:spacing w:after="0" w:line="85" w:lineRule="exact"/>
        <w:rPr>
          <w:sz w:val="20"/>
          <w:szCs w:val="20"/>
          <w:color w:val="auto"/>
        </w:rPr>
      </w:pPr>
    </w:p>
    <w:p>
      <w:pPr>
        <w:sectPr>
          <w:pgSz w:w="11900" w:h="16838" w:orient="portrait"/>
          <w:cols w:equalWidth="0" w:num="2">
            <w:col w:w="900" w:space="620"/>
            <w:col w:w="8940"/>
          </w:cols>
          <w:pgMar w:left="320" w:top="418" w:right="1119"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0460"/>
          </w:cols>
          <w:pgMar w:left="320" w:top="418" w:right="1119" w:bottom="1440" w:gutter="0" w:footer="0" w:header="0"/>
          <w:type w:val="continuous"/>
        </w:sectPr>
      </w:pPr>
    </w:p>
    <w:bookmarkStart w:id="377" w:name="page378"/>
    <w:bookmarkEnd w:id="3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and we are working with stakeholders to advance and shape the public reimbursement landscape in the United States to enable coverage of FDA-approved MCED tests by Medicare. Following FDA approval, we also expect to pursue inclusion of Galleri in the USPSTF’s guideline recommendation.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w:t>
      </w:r>
    </w:p>
    <w:p>
      <w:pPr>
        <w:spacing w:after="0" w:line="165" w:lineRule="exact"/>
        <w:rPr>
          <w:sz w:val="20"/>
          <w:szCs w:val="20"/>
          <w:color w:val="auto"/>
        </w:rPr>
      </w:pPr>
    </w:p>
    <w:p>
      <w:pPr>
        <w:ind w:left="760" w:right="140" w:firstLine="388"/>
        <w:spacing w:after="0" w:line="269" w:lineRule="auto"/>
        <w:rPr>
          <w:sz w:val="20"/>
          <w:szCs w:val="20"/>
          <w:color w:val="auto"/>
        </w:rPr>
      </w:pPr>
      <w:r>
        <w:rPr>
          <w:rFonts w:ascii="Times New Roman" w:cs="Times New Roman" w:eastAsia="Times New Roman" w:hAnsi="Times New Roman"/>
          <w:sz w:val="15"/>
          <w:szCs w:val="15"/>
          <w:color w:val="auto"/>
        </w:rPr>
        <w:t>Since our founding, we have undertaken a rigorous approach to identify in a blood sample the most informative markers of cancer through what we believe is the largest clinical program in genomic medicine to date. We have collected population-scale clinical data from more than 300,000 participants across eight clinical studies, with more than 21,000 of these participants included in the studies that supported the development and launch of Galleri, and over 165,000 individuals enrolled in interventional studies (NHS Galleri and PATHFINDER 2) to support our PMA submission. These studies include our foundational case-control Circulating Cell-free Genome Atlas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Our clinical studies, including our early discovery work, have demonstrated robust and reproducible test performance. Notably, key results from our interventional PATHFINDER study were generally consistent with data from our case-control CCGA study, which is evidence supporting the generalizability and robustness of Galleri. We expect to continue to report ongoing and long-term follow-up clinical data from these studies over many years.</w:t>
      </w:r>
    </w:p>
    <w:p>
      <w:pPr>
        <w:spacing w:after="0" w:line="15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Based on our extensive discovery work, we believe that targeted methylation is the best approach for detecting a cancer signal and identifying a cancer signal origin. In our head-to-head analyses, methylation exhibited stronger performance when compared to interrogating mutations, chromosomal alterations, fragment lengths,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we refined and developed a targeted methylation approach focused on highly informative and low-noise methylation regions for cancer signal and cancer signal origin detection. Our targeted methylation approach can detect lower levels of cancer signal in blood compared to other approaches, enabling early cancer detection in asymptomatic individuals more efficiently compared to whole-genome methylation.</w:t>
      </w:r>
    </w:p>
    <w:p>
      <w:pPr>
        <w:spacing w:after="0" w:line="168"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620" w:right="60" w:hanging="375"/>
        <w:spacing w:after="0" w:line="256" w:lineRule="auto"/>
        <w:tabs>
          <w:tab w:leader="none" w:pos="1620"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Precision oncology portfolio</w:t>
      </w:r>
      <w:r>
        <w:rPr>
          <w:rFonts w:ascii="Times New Roman" w:cs="Times New Roman" w:eastAsia="Times New Roman" w:hAnsi="Times New Roman"/>
          <w:sz w:val="16"/>
          <w:szCs w:val="16"/>
          <w:color w:val="auto"/>
        </w:rPr>
        <w:t>: We are developing our precision oncology portfolio and launched our research use only (“RUO”) targeted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480"/>
          </w:cols>
          <w:pgMar w:left="320" w:top="419" w:right="109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140"/>
        <w:spacing w:after="0" w:line="277" w:lineRule="auto"/>
        <w:rPr>
          <w:sz w:val="20"/>
          <w:szCs w:val="20"/>
          <w:color w:val="auto"/>
        </w:rPr>
      </w:pPr>
      <w:r>
        <w:rPr>
          <w:rFonts w:ascii="Times New Roman" w:cs="Times New Roman" w:eastAsia="Times New Roman" w:hAnsi="Times New Roman"/>
          <w:sz w:val="15"/>
          <w:szCs w:val="15"/>
          <w:color w:val="auto"/>
        </w:rPr>
        <w:t>oncology setting include pre-treatment prognosis, post-treatment prognosis or minimal residual disease (“MRD”), biomarker discovery,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to support patient care across the cancer care continuum.</w:t>
      </w:r>
    </w:p>
    <w:p>
      <w:pPr>
        <w:spacing w:after="0" w:line="62" w:lineRule="exact"/>
        <w:rPr>
          <w:sz w:val="20"/>
          <w:szCs w:val="20"/>
          <w:color w:val="auto"/>
        </w:rPr>
      </w:pPr>
    </w:p>
    <w:p>
      <w:pPr>
        <w:ind w:left="1620" w:hanging="375"/>
        <w:spacing w:after="0" w:line="253" w:lineRule="auto"/>
        <w:tabs>
          <w:tab w:leader="none" w:pos="1620"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Diagnostic aid for cancer test</w:t>
      </w:r>
      <w:r>
        <w:rPr>
          <w:rFonts w:ascii="Times New Roman" w:cs="Times New Roman" w:eastAsia="Times New Roman" w:hAnsi="Times New Roman"/>
          <w:sz w:val="16"/>
          <w:szCs w:val="16"/>
          <w:color w:val="auto"/>
        </w:rPr>
        <w:t>: We are developing our diagnostic aid for cancer (“DAC”) test to accelerate diagnostic resolution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technology was able to detect many cancer types and identify where they were located in the body with high accuracy.</w:t>
      </w:r>
    </w:p>
    <w:p>
      <w:pPr>
        <w:spacing w:after="0" w:line="168"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present significant market opportunities and patient care solutions across the cancer care continuum.</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620" w:hanging="375"/>
        <w:spacing w:after="0" w:line="270" w:lineRule="auto"/>
        <w:tabs>
          <w:tab w:leader="none" w:pos="1620" w:val="left"/>
        </w:tabs>
        <w:numPr>
          <w:ilvl w:val="0"/>
          <w:numId w:val="4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Our clinically-validated, commercially available, MCED test, Galleri. </w:t>
      </w:r>
      <w:r>
        <w:rPr>
          <w:rFonts w:ascii="Times New Roman" w:cs="Times New Roman" w:eastAsia="Times New Roman" w:hAnsi="Times New Roman"/>
          <w:sz w:val="15"/>
          <w:szCs w:val="15"/>
          <w:color w:val="auto"/>
        </w:rPr>
        <w:t>Galleri is a clinically-validated, commercially available, MCED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test that is setting the standard for multi-cancer early detection. From a simple blood draw, Galleri can detect a cancer signal shared by over 50 types of cancer, over 45 of which do not have recommended screening guidelines. Galleri has demonstrated high positive predictive value (“PPV”) and low false positive rate, improves the opportunity for early detection of cancer in asymptomatic individuals by screening for multiple types of cancer, and predicts the location of the suspected cancer with high accuracy to help guide an efficient diagnostic evaluation. Further, as Galleri relies on a blood draw, the test can be integrated into existing care pathways, such as annual health checks, which can enable wide-scale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5"/>
          <w:szCs w:val="15"/>
          <w:i w:val="1"/>
          <w:iCs w:val="1"/>
          <w:color w:val="auto"/>
        </w:rPr>
        <w:t>Time Magazine</w:t>
      </w:r>
      <w:r>
        <w:rPr>
          <w:rFonts w:ascii="Times New Roman" w:cs="Times New Roman" w:eastAsia="Times New Roman" w:hAnsi="Times New Roman"/>
          <w:sz w:val="15"/>
          <w:szCs w:val="15"/>
          <w:color w:val="auto"/>
        </w:rPr>
        <w:t xml:space="preserve"> as one of the Best Inventions of 2022, and </w:t>
      </w:r>
      <w:r>
        <w:rPr>
          <w:rFonts w:ascii="Times New Roman" w:cs="Times New Roman" w:eastAsia="Times New Roman" w:hAnsi="Times New Roman"/>
          <w:sz w:val="15"/>
          <w:szCs w:val="15"/>
          <w:i w:val="1"/>
          <w:iCs w:val="1"/>
          <w:color w:val="auto"/>
        </w:rPr>
        <w:t>The Atlantic</w:t>
      </w:r>
      <w:r>
        <w:rPr>
          <w:rFonts w:ascii="Times New Roman" w:cs="Times New Roman" w:eastAsia="Times New Roman" w:hAnsi="Times New Roman"/>
          <w:sz w:val="15"/>
          <w:szCs w:val="15"/>
          <w:color w:val="auto"/>
        </w:rPr>
        <w:t xml:space="preserve"> as one of the top breakthroughs of 2022 and being named in </w:t>
      </w:r>
      <w:r>
        <w:rPr>
          <w:rFonts w:ascii="Times New Roman" w:cs="Times New Roman" w:eastAsia="Times New Roman" w:hAnsi="Times New Roman"/>
          <w:sz w:val="15"/>
          <w:szCs w:val="15"/>
          <w:i w:val="1"/>
          <w:iCs w:val="1"/>
          <w:color w:val="auto"/>
        </w:rPr>
        <w:t>Fast Company</w:t>
      </w:r>
      <w:r>
        <w:rPr>
          <w:rFonts w:ascii="Times New Roman" w:cs="Times New Roman" w:eastAsia="Times New Roman" w:hAnsi="Times New Roman"/>
          <w:sz w:val="15"/>
          <w:szCs w:val="15"/>
          <w:color w:val="auto"/>
        </w:rPr>
        <w:t xml:space="preserve"> World Changing Ideas of 2022 and in the </w:t>
      </w:r>
      <w:r>
        <w:rPr>
          <w:rFonts w:ascii="Times New Roman" w:cs="Times New Roman" w:eastAsia="Times New Roman" w:hAnsi="Times New Roman"/>
          <w:sz w:val="15"/>
          <w:szCs w:val="15"/>
          <w:i w:val="1"/>
          <w:iCs w:val="1"/>
          <w:color w:val="auto"/>
        </w:rPr>
        <w:t>Fortune</w:t>
      </w:r>
      <w:r>
        <w:rPr>
          <w:rFonts w:ascii="Times New Roman" w:cs="Times New Roman" w:eastAsia="Times New Roman" w:hAnsi="Times New Roman"/>
          <w:sz w:val="15"/>
          <w:szCs w:val="15"/>
          <w:color w:val="auto"/>
        </w:rPr>
        <w:t xml:space="preserve"> Change the World List in 2023.</w:t>
      </w:r>
    </w:p>
    <w:p>
      <w:pPr>
        <w:spacing w:after="0" w:line="70" w:lineRule="exact"/>
        <w:rPr>
          <w:rFonts w:ascii="Times New Roman" w:cs="Times New Roman" w:eastAsia="Times New Roman" w:hAnsi="Times New Roman"/>
          <w:sz w:val="15"/>
          <w:szCs w:val="15"/>
          <w:color w:val="auto"/>
        </w:rPr>
      </w:pPr>
    </w:p>
    <w:p>
      <w:pPr>
        <w:ind w:left="1620" w:right="40" w:hanging="375"/>
        <w:spacing w:after="0" w:line="260" w:lineRule="auto"/>
        <w:tabs>
          <w:tab w:leader="none" w:pos="162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 Galleri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significant, with more than 300 million individuals globally over the age of 50 (our intended use population), including more than</w:t>
      </w:r>
    </w:p>
    <w:p>
      <w:pPr>
        <w:spacing w:after="0" w:line="1" w:lineRule="exact"/>
        <w:rPr>
          <w:rFonts w:ascii="Times New Roman" w:cs="Times New Roman" w:eastAsia="Times New Roman" w:hAnsi="Times New Roman"/>
          <w:sz w:val="16"/>
          <w:szCs w:val="16"/>
          <w:color w:val="auto"/>
        </w:rPr>
      </w:pPr>
    </w:p>
    <w:p>
      <w:pPr>
        <w:ind w:left="1620" w:right="1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100 million individuals in the United States. We launched Galleri in the United States in mid-2021. As of September 30, 2023, we have sold more than 125,000 commercial tests and established over 100 commercial partnerships, including leading healthcare systems, employers, payors, and life insurance providers. In this real-world setting, Galleri is detecting deadly cancers in early stages. As an early leader in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Subject to the results of an early analysis from the first screening test (the prevalent screening round) in the NHS-Galleri Trial, the NHS may commence phased commercial implementation in England, beginning with a two-year pilot, and with the potential for</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460"/>
          </w:cols>
          <w:pgMar w:left="320" w:top="419" w:right="111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20"/>
        <w:spacing w:after="0" w:line="278" w:lineRule="auto"/>
        <w:rPr>
          <w:sz w:val="20"/>
          <w:szCs w:val="20"/>
          <w:color w:val="auto"/>
        </w:rPr>
      </w:pPr>
      <w:r>
        <w:rPr>
          <w:rFonts w:ascii="Times New Roman" w:cs="Times New Roman" w:eastAsia="Times New Roman" w:hAnsi="Times New Roman"/>
          <w:sz w:val="16"/>
          <w:szCs w:val="16"/>
          <w:color w:val="auto"/>
        </w:rPr>
        <w:t>further expansion subject to final results from the trial. Our commercial leadership is further supported by our high-capacity laboratories to enable population screening volumes.</w:t>
      </w:r>
    </w:p>
    <w:p>
      <w:pPr>
        <w:spacing w:after="0" w:line="60" w:lineRule="exact"/>
        <w:rPr>
          <w:sz w:val="20"/>
          <w:szCs w:val="20"/>
          <w:color w:val="auto"/>
        </w:rPr>
      </w:pPr>
    </w:p>
    <w:p>
      <w:pPr>
        <w:ind w:left="1620" w:hanging="375"/>
        <w:spacing w:after="0" w:line="250" w:lineRule="auto"/>
        <w:tabs>
          <w:tab w:leader="none" w:pos="162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Clinical validation through unprecedented clinical studies and real-world experience. </w:t>
      </w:r>
      <w:r>
        <w:rPr>
          <w:rFonts w:ascii="Times New Roman" w:cs="Times New Roman" w:eastAsia="Times New Roman" w:hAnsi="Times New Roman"/>
          <w:sz w:val="16"/>
          <w:szCs w:val="16"/>
          <w:color w:val="auto"/>
        </w:rPr>
        <w:t>We designed and executed what we believe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largest clinical program in genomic medicine to date. We have collected population-scale clinical data from more than 300,000 participants across eight clinical studies, with more than 21,000 of these participants included in the studies that supported the development and launch of Galleri, and over 165,000 individuals enrolled in interventional studies (NHS Galleri and PATHFINDER 2) to support our PMA submission.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Our clinical studies, including our early discovery work, have demonstrated robust and reproducible test performance. Notably, key results from our interventional PATHFINDER study were generally consistent with data from our case-control CCGA study, which is evidence supporting the generalizability and robustness of Galleri. Together with our partners at leading community and academic medical centers in the United States and United Kingdom, we expect to continue to report ongoing and long-term follow-up clinical data from these studies over many years.</w:t>
      </w:r>
    </w:p>
    <w:p>
      <w:pPr>
        <w:spacing w:after="0" w:line="89" w:lineRule="exact"/>
        <w:rPr>
          <w:rFonts w:ascii="Times New Roman" w:cs="Times New Roman" w:eastAsia="Times New Roman" w:hAnsi="Times New Roman"/>
          <w:sz w:val="16"/>
          <w:szCs w:val="16"/>
          <w:color w:val="auto"/>
        </w:rPr>
      </w:pPr>
    </w:p>
    <w:p>
      <w:pPr>
        <w:ind w:left="1620" w:right="20" w:hanging="375"/>
        <w:spacing w:after="0" w:line="251" w:lineRule="auto"/>
        <w:tabs>
          <w:tab w:leader="none" w:pos="162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84"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 Galleri</w:t>
      </w:r>
    </w:p>
    <w:p>
      <w:pPr>
        <w:sectPr>
          <w:pgSz w:w="11900" w:h="16838" w:orient="portrait"/>
          <w:cols w:equalWidth="0" w:num="1">
            <w:col w:w="10480"/>
          </w:cols>
          <w:pgMar w:left="320" w:top="418" w:right="1099" w:bottom="1440" w:gutter="0" w:footer="0" w:header="0"/>
        </w:sectPr>
      </w:pPr>
    </w:p>
    <w:p>
      <w:pPr>
        <w:spacing w:after="0" w:line="25" w:lineRule="exact"/>
        <w:rPr>
          <w:sz w:val="20"/>
          <w:szCs w:val="20"/>
          <w:color w:val="auto"/>
        </w:rPr>
      </w:pPr>
    </w:p>
    <w:p>
      <w:pPr>
        <w:ind w:left="1620" w:right="180"/>
        <w:spacing w:after="0" w:line="248" w:lineRule="auto"/>
        <w:rPr>
          <w:sz w:val="20"/>
          <w:szCs w:val="20"/>
          <w:color w:val="auto"/>
        </w:rPr>
      </w:pPr>
      <w:r>
        <w:rPr>
          <w:rFonts w:ascii="Times New Roman" w:cs="Times New Roman" w:eastAsia="Times New Roman" w:hAnsi="Times New Roman"/>
          <w:sz w:val="16"/>
          <w:szCs w:val="16"/>
          <w:color w:val="auto"/>
        </w:rPr>
        <w:t>and our products in development. Specifically, we have exclusive licenses to more than granted patents globally, and own more than issued patents, with more than pending patent applications covering methylation and other technologies. In</w:t>
      </w:r>
    </w:p>
    <w:p>
      <w:pPr>
        <w:sectPr>
          <w:pgSz w:w="11900" w:h="16838" w:orient="portrait"/>
          <w:cols w:equalWidth="0" w:num="1">
            <w:col w:w="10480"/>
          </w:cols>
          <w:pgMar w:left="320" w:top="418" w:right="1099" w:bottom="1440" w:gutter="0" w:footer="0" w:header="0"/>
          <w:type w:val="continuous"/>
        </w:sectPr>
      </w:pPr>
    </w:p>
    <w:p>
      <w:pPr>
        <w:spacing w:after="0" w:line="1" w:lineRule="exact"/>
        <w:rPr>
          <w:sz w:val="20"/>
          <w:szCs w:val="20"/>
          <w:color w:val="auto"/>
        </w:rPr>
      </w:pPr>
    </w:p>
    <w:p>
      <w:pPr>
        <w:ind w:left="1620" w:right="80"/>
        <w:spacing w:after="0" w:line="252" w:lineRule="auto"/>
        <w:rPr>
          <w:sz w:val="20"/>
          <w:szCs w:val="20"/>
          <w:color w:val="auto"/>
        </w:rPr>
      </w:pPr>
      <w:r>
        <w:rPr>
          <w:rFonts w:ascii="Times New Roman" w:cs="Times New Roman" w:eastAsia="Times New Roman" w:hAnsi="Times New Roman"/>
          <w:sz w:val="16"/>
          <w:szCs w:val="16"/>
          <w:color w:val="auto"/>
        </w:rPr>
        <w:t>addition, our patents, trade secrets, and know-how provide broad intellectual property coverage for our products, including chemistry, bioinformatics, and machine learning algorithms used in Galleri and our product development pipeline. Our patents will begin to expire in 2028. Our patent applications, if issued as patents, would begin to expire in 2037.</w:t>
      </w:r>
    </w:p>
    <w:p>
      <w:pPr>
        <w:spacing w:after="0" w:line="80" w:lineRule="exact"/>
        <w:rPr>
          <w:sz w:val="20"/>
          <w:szCs w:val="20"/>
          <w:color w:val="auto"/>
        </w:rPr>
      </w:pPr>
    </w:p>
    <w:p>
      <w:pPr>
        <w:ind w:left="1620" w:right="40" w:hanging="375"/>
        <w:spacing w:after="0" w:line="256" w:lineRule="auto"/>
        <w:tabs>
          <w:tab w:leader="none" w:pos="162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116</w:t>
      </w:r>
    </w:p>
    <w:p>
      <w:pPr>
        <w:sectPr>
          <w:pgSz w:w="11900" w:h="16838" w:orient="portrait"/>
          <w:cols w:equalWidth="0" w:num="1">
            <w:col w:w="10480"/>
          </w:cols>
          <w:pgMar w:left="320" w:top="418" w:right="1099" w:bottom="1440" w:gutter="0" w:footer="0" w:header="0"/>
          <w:type w:val="continuous"/>
        </w:sectPr>
      </w:pPr>
    </w:p>
    <w:bookmarkStart w:id="380" w:name="page381"/>
    <w:bookmarkEnd w:id="3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620" w:right="40" w:hanging="375"/>
        <w:spacing w:after="0" w:line="252" w:lineRule="auto"/>
        <w:tabs>
          <w:tab w:leader="none" w:pos="162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screenings, and establish and maintain the market-leading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620" w:right="20" w:hanging="375"/>
        <w:spacing w:after="0" w:line="273" w:lineRule="auto"/>
        <w:tabs>
          <w:tab w:leader="none" w:pos="162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Expanding access to our products by pursuing reimbursement and coverage from payors. </w:t>
      </w:r>
      <w:r>
        <w:rPr>
          <w:rFonts w:ascii="Times New Roman" w:cs="Times New Roman" w:eastAsia="Times New Roman" w:hAnsi="Times New Roman"/>
          <w:sz w:val="15"/>
          <w:szCs w:val="15"/>
          <w:color w:val="auto"/>
        </w:rPr>
        <w:t>Our ability to impact cancer outcomes will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 accelerated in markets where we secure reimbursement for our products. Prior to broad reimbursement in the United States, we will continue our work with clinics and health systems to accelerate utilization, and with self-insured employers and health insurers to offer and</w:t>
      </w:r>
    </w:p>
    <w:p>
      <w:pPr>
        <w:spacing w:after="0" w:line="2" w:lineRule="exact"/>
        <w:rPr>
          <w:sz w:val="20"/>
          <w:szCs w:val="20"/>
          <w:color w:val="auto"/>
        </w:rPr>
      </w:pPr>
    </w:p>
    <w:p>
      <w:pPr>
        <w:ind w:left="1620" w:right="220"/>
        <w:spacing w:after="0" w:line="264" w:lineRule="auto"/>
        <w:rPr>
          <w:sz w:val="20"/>
          <w:szCs w:val="20"/>
          <w:color w:val="auto"/>
        </w:rPr>
      </w:pPr>
      <w:r>
        <w:rPr>
          <w:rFonts w:ascii="Times New Roman" w:cs="Times New Roman" w:eastAsia="Times New Roman" w:hAnsi="Times New Roman"/>
          <w:sz w:val="15"/>
          <w:szCs w:val="15"/>
          <w:color w:val="auto"/>
        </w:rPr>
        <w:t>cover Galleri. In the United States, we have established private reimbursement from over 70 self-insured employers and multiple payors and health systems as of September 30, 2023. To support broad access for Galleri in the United States, we plan to complete a PMA</w:t>
      </w:r>
    </w:p>
    <w:p>
      <w:pPr>
        <w:spacing w:after="0" w:line="1" w:lineRule="exact"/>
        <w:rPr>
          <w:sz w:val="20"/>
          <w:szCs w:val="20"/>
          <w:color w:val="auto"/>
        </w:rPr>
      </w:pPr>
    </w:p>
    <w:p>
      <w:pPr>
        <w:ind w:left="1620"/>
        <w:spacing w:after="0" w:line="249" w:lineRule="auto"/>
        <w:rPr>
          <w:sz w:val="20"/>
          <w:szCs w:val="20"/>
          <w:color w:val="auto"/>
        </w:rPr>
      </w:pPr>
      <w:r>
        <w:rPr>
          <w:rFonts w:ascii="Times New Roman" w:cs="Times New Roman" w:eastAsia="Times New Roman" w:hAnsi="Times New Roman"/>
          <w:sz w:val="16"/>
          <w:szCs w:val="16"/>
          <w:color w:val="auto"/>
        </w:rPr>
        <w:t>submission with the FDA in .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for Medicare. Following FDA approval, we also expect to pursue inclusion of Galleri in the USPSTF’s guideline recommendation.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82" w:lineRule="exact"/>
        <w:rPr>
          <w:sz w:val="20"/>
          <w:szCs w:val="20"/>
          <w:color w:val="auto"/>
        </w:rPr>
      </w:pPr>
    </w:p>
    <w:p>
      <w:pPr>
        <w:ind w:left="1620" w:hanging="375"/>
        <w:spacing w:after="0" w:line="252" w:lineRule="auto"/>
        <w:tabs>
          <w:tab w:leader="none" w:pos="162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September 30, 2023, we have published more than 45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Lancet Oncology</w:t>
      </w:r>
      <w:r>
        <w:rPr>
          <w:rFonts w:ascii="Times New Roman" w:cs="Times New Roman" w:eastAsia="Times New Roman" w:hAnsi="Times New Roman"/>
          <w:sz w:val="16"/>
          <w:szCs w:val="16"/>
          <w:color w:val="auto"/>
        </w:rPr>
        <w:t>. We have also presented our data in more than 20 podium and 135 poster presentations at renowned medical conferences,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117</w:t>
      </w:r>
    </w:p>
    <w:p>
      <w:pPr>
        <w:sectPr>
          <w:pgSz w:w="11900" w:h="16838" w:orient="portrait"/>
          <w:cols w:equalWidth="0" w:num="1">
            <w:col w:w="10480"/>
          </w:cols>
          <w:pgMar w:left="320" w:top="419" w:right="109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620" w:right="60" w:hanging="375"/>
        <w:spacing w:after="0" w:line="252" w:lineRule="auto"/>
        <w:tabs>
          <w:tab w:leader="none" w:pos="1620"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 methylation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 and post-treatment prognosis, recurrence detection, and clinical monitoring. We continually seek to enhance the performance of our products through a comprehensive, rigorous approach to ongoing classifier training, improvement of features, and reduced processing time and cost. We will continue to improve our technologies and launch innovative products across the cancer care continuum.</w:t>
      </w:r>
    </w:p>
    <w:p>
      <w:pPr>
        <w:spacing w:after="0" w:line="79" w:lineRule="exact"/>
        <w:rPr>
          <w:rFonts w:ascii="Times New Roman" w:cs="Times New Roman" w:eastAsia="Times New Roman" w:hAnsi="Times New Roman"/>
          <w:sz w:val="16"/>
          <w:szCs w:val="16"/>
          <w:color w:val="auto"/>
        </w:rPr>
      </w:pPr>
    </w:p>
    <w:p>
      <w:pPr>
        <w:ind w:left="1620" w:hanging="375"/>
        <w:spacing w:after="0" w:line="270" w:lineRule="auto"/>
        <w:tabs>
          <w:tab w:leader="none" w:pos="1620" w:val="left"/>
        </w:tabs>
        <w:numPr>
          <w:ilvl w:val="0"/>
          <w:numId w:val="4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 significant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represents one of the most rigorous levels of validation required for laboratory-developed tests. Our facilities are able to process a substantial number of tests per year and we expect to be able to meet our anticipated near-term needs.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70" w:lineRule="exact"/>
        <w:rPr>
          <w:rFonts w:ascii="Times New Roman" w:cs="Times New Roman" w:eastAsia="Times New Roman" w:hAnsi="Times New Roman"/>
          <w:sz w:val="15"/>
          <w:szCs w:val="15"/>
          <w:color w:val="auto"/>
        </w:rPr>
      </w:pPr>
    </w:p>
    <w:p>
      <w:pPr>
        <w:ind w:left="1620" w:right="40" w:hanging="375"/>
        <w:spacing w:after="0" w:line="254" w:lineRule="auto"/>
        <w:tabs>
          <w:tab w:leader="none" w:pos="1620"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We are on an urgent mission to detect cancer early, when it can be cured.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Improving Cancer Care</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Burden of Cancer and the Benefits of Earlier Detection</w:t>
      </w:r>
    </w:p>
    <w:p>
      <w:pPr>
        <w:spacing w:after="0" w:line="10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Cancer is the second leading cause of death in both the United States and worldwide, with more than 19 million new cases and 10 million deaths globally in 2020. This burden is expected to grow as the global population ages. According to the American Cancer Society, there will be approximately 1.9 million new cancer cases and 610,000 cancer deaths in the United States in 2023. An analysis published in the AACR’s Cancer Epidemiology, Biomarkers and Prevention Journal estimated that $201 billion was spent on cancer care in the United States in 2020, with some of the costliest treatments targeting late-stage cancers that are highly challenging to treat. The same analysis projected that by 2030, the cost of cancer in the United States would rise to more than $246 billion annually, driven by an aging population and rising costs of care. It is estimated that the global economic cost of cancer from 2020 to 2050 will be approximately $25 trillion.</w:t>
      </w:r>
    </w:p>
    <w:p>
      <w:pPr>
        <w:spacing w:after="0" w:line="166"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A fundamental driver of cancer mortality today is that most cancers that result in death are diagnosed too late, in advanced stages when they are most challenging to treat. If cancer is detected early, when it is localized,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118</w:t>
      </w:r>
    </w:p>
    <w:p>
      <w:pPr>
        <w:sectPr>
          <w:pgSz w:w="11900" w:h="16838" w:orient="portrait"/>
          <w:cols w:equalWidth="0" w:num="1">
            <w:col w:w="10480"/>
          </w:cols>
          <w:pgMar w:left="320" w:top="419" w:right="109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5" w:lineRule="auto"/>
        <w:rPr>
          <w:sz w:val="20"/>
          <w:szCs w:val="20"/>
          <w:color w:val="auto"/>
        </w:rPr>
      </w:pPr>
      <w:r>
        <w:rPr>
          <w:rFonts w:ascii="Times New Roman" w:cs="Times New Roman" w:eastAsia="Times New Roman" w:hAnsi="Times New Roman"/>
          <w:sz w:val="16"/>
          <w:szCs w:val="16"/>
          <w:color w:val="auto"/>
        </w:rPr>
        <w:t xml:space="preserve">it is more amenable to curative treatment. According to 2006 to 2015 data from the Surveillance, Epidemiology, and End Results Program of the U.S. National Cancer Institute (“SEER”), across all cancers, the five-year cancer-specific survival rate is approximately 89% when localized, compared to 21% when the cancer is metastasized. Historically, a key challenge to early detection is that there has been no mechanism to detect most cancers while individuals are asymptomatic. Detecting cancers at earlier stages could potentially reduce cancer-related five-year mortality by at least 15-24%, according to a model published in the AACR’s </w:t>
      </w:r>
      <w:r>
        <w:rPr>
          <w:rFonts w:ascii="Times New Roman" w:cs="Times New Roman" w:eastAsia="Times New Roman" w:hAnsi="Times New Roman"/>
          <w:sz w:val="16"/>
          <w:szCs w:val="16"/>
          <w:i w:val="1"/>
          <w:iCs w:val="1"/>
          <w:color w:val="auto"/>
        </w:rPr>
        <w:t>Cancer Epidemiology, Biomarkers &amp; Prevention Journal</w:t>
      </w:r>
      <w:r>
        <w:rPr>
          <w:rFonts w:ascii="Times New Roman" w:cs="Times New Roman" w:eastAsia="Times New Roman" w:hAnsi="Times New Roman"/>
          <w:sz w:val="16"/>
          <w:szCs w:val="16"/>
          <w:color w:val="auto"/>
        </w:rPr>
        <w:t xml:space="preserve"> in May 2020.</w:t>
      </w:r>
    </w:p>
    <w:p>
      <w:pPr>
        <w:spacing w:after="0" w:line="165"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Treatment costs increase by stage across all cancers, and treating cancers that are in more advanced stages can be up to two to four times more costly than treating cancers at earlier states. In addition, a recent analysis demonstrated that diagnosing cancer early could result in an estimated $26 billion (approximately 17% of total treatment costs) in annual cancer treatment cost-savings in the United States.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Cancer Screening Today and Limitations of the Current Cancer Screening Paradigm</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In the United States, we consider standard of care screening for cancer to consist of the grade A and B recommendations published by the USPSTF, which currently recommend broad population screening for only four types of cancer using single-cancer screening tests (breast, cervical, colorectal, and lung cancer), and prostate cancer screening, which is USPSTF grade C and is widely implemented in the United States. These screening tests have helped to reduce mortality for these specific types of cancer; however, there are a number of limitations to the current paradigm.</w:t>
      </w:r>
    </w:p>
    <w:p>
      <w:pPr>
        <w:spacing w:after="0" w:line="161"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First, existing standard of care screening is limited to a minority of cancers. For the majority of cancer types, there are no recommended screening guidelines or no screening tests exist. Only 14% of cancers in the United States are diagnosed through screening, according to NORC at the University of Chicago. We estimate that approximately 67% of cancer deaths result from cancers that have no recommended screening guidelines. Many patients are diagnosed when presenting with symptoms, by which time these cancers may be advanced and harder to treat. Additionally, we estimate that asymptomatic individuals undertaking a standard of care screening test are many times (2-24x depending on cancer type) more likely to have a different type of cancer than the cancer type for which they are being screened.</w:t>
      </w:r>
    </w:p>
    <w:p>
      <w:pPr>
        <w:spacing w:after="0" w:line="16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Second, the existing standard of care screening tests are each for a single cancer type and prioritize high sensitivity, resulting in higher false positive rates. Even if single-cancer screening tests were available for every cancer type, the administration of many single-cancer screening tests, either as independently administered tests or as a string of individual screens combined into a single test, would be clinically and economically untenable at population-scale. Screening individuals with multiple single-cancer screening tests adds incrementally to the total number of independent tests conducted and therefore to the cumulative false positive rate. For example, in the Prostate, Lung, Colorectal and Ovarian (“PLCO”) Cancer Screening Trial, which was a large randomized controlled trial designed and sponsored by the U.S. National Cancer Institute, the cumulative risk of a false positive after 14 sequential single-cancer screening tests over a three-year period covering only four cancer types was 50% or greater. In addition, we developed a model using SEER data to analyze, among others, the false positive rate of a hypothetical screening system in which a patient is screened using single-cancer screening tests for the 11 most deadly types of cancer in the United States (excluding prostate) over a one-year period, with each of the 11 single-cancer screening tests having an assumed false positive rate of 11%. Based on this model, we estimate that the cumulative risk of a false positive after these 11 single-cancer screening tests would be approximately 80%.</w:t>
      </w:r>
    </w:p>
    <w:p>
      <w:pPr>
        <w:spacing w:after="0" w:line="168"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Third, single-cancer screening tests are also unlikely to be developed for detecting less common cancers, which account for a majority of all cancer deaths. In many instances, the incidence of such cancers can be too low to undertake the required clinical studies. Additionally, achieving cost effectiveness for a test for a less common cancer type would be challenging. Developing single-cancer screening tests for individual cancer types with lower incidence presents significant logistical burdens and expense.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119</w:t>
      </w:r>
    </w:p>
    <w:p>
      <w:pPr>
        <w:sectPr>
          <w:pgSz w:w="11900" w:h="16838" w:orient="portrait"/>
          <w:cols w:equalWidth="0" w:num="1">
            <w:col w:w="10460"/>
          </w:cols>
          <w:pgMar w:left="320" w:top="419" w:right="111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Opportunity for Multi-Cancer Early Detection</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believe a population-scale, MCED screening test will help address these limitations of the current cancer screening paradigm and can be a powerful tool to reduce the burden of cancer.</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How to Measure Performance of a Population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a number of measures of performance for cancer screening tests.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150495</wp:posOffset>
            </wp:positionV>
            <wp:extent cx="4194175" cy="22066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194175"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While sensitivity has become an established measure in evaluating the performance of single-cancer screening tests, we do not believe that sensitivity is the best measure to evaluate MCED tests for two primary reasons. First, sensitivity in blood-based cancer screening tests is largely dependent on the amount of cfDNA in the blood. The levels of cfDNA are driven by the cancer types (certain cancers shed more circulating tumor DNA (ctDNA) than others) and stage (earlier stage cancers shed less ctDNA than later stage) in the population being tested. This variability can make it challenging to measure and interpret the overall performance of a test that identifies a shared cancer signal, and is not searching for any particular cancer, and is deployed across broad populations. Second, tests that are optimized for sensitivity often sacrifice specificity, which results in a higher rate of false positive results. While this tradeoff is generally accepted for single-cancer screening tests, it is critical to retain high specificity for a multi-cancer screening test due to the substantial resulting impact that false positive results could have across the population if a significant number of individuals are screened. This is particularly relevant when screening the general population for a low-incidence disease, like cancer.</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Rather than sensitivity, we believe that the two most appropriate metrics for evaluating the effectiveness of an MCED test screening at population-scale are PPV, which incorporates both sensitivity and specificity, and yield. An MCED that has high PPV and high yield would result in identifying more cancers earlier. PPV represents the probability that a positive test result is a true positive and directly answers the patient-centric clinical question, “if my patient has a positive test result, what is the likelihood they truly have cancer?” We believe a high PPV can give clinicians confidence in a positive test result and a sense of urgency to initiate confirmatory diagnostic workups. The ability to detect as many cancer types as possible drives a high yield, enabling detection of as many cancer cases in a population as possible. We believe that a high yield maximizes the population-scale impact of an MCED test in detecting cancer early. We believe dramatically increasing the yield of a cancer screening program will be necessary to address the global burden of cancer and provide the potential to significantly improve cancer care.</w:t>
      </w:r>
    </w:p>
    <w:p>
      <w:pPr>
        <w:spacing w:after="0" w:line="3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460"/>
          </w:cols>
          <w:pgMar w:left="320" w:top="419" w:right="111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For a condition like cancer that has a low prevalence in the population, PPV is significantly impacted by prevalence and specificity, such that PPV increases with the prevalence of cancer in the population and with the specificity. This is because in diseases, like cancer, with low prevalence, the population without cancer will be much larger and therefore small changes in specificity will result in relatively large changes in the number of false positives. The relationship between specificity, prevalence, and PPV is illustrated by the figure below. For example, to illustrate how prevalence impacts PPV, note the “esophagus” single-cancer screening test data, depicted by purple circles in the figure, which has a significantly lower PPV than the “multi-cancer” screening data, depicted by the gray squares in the figure. For convenience, these data points are highlighted with two red vertical arrows. The higher PPV of the multi-cancer screening test is due to the aggregate prevalence of multiple cancers using a single test. To illustrate how specificity impacts PPV, note the three gray squares indicating “multi-cancer” screening data, which are indicated by three black horizontal arrows. The increase in specificity from 95% to 99% results in a significant increase in PPV due to the reduction in false positives.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1765300</wp:posOffset>
            </wp:positionH>
            <wp:positionV relativeFrom="paragraph">
              <wp:posOffset>130175</wp:posOffset>
            </wp:positionV>
            <wp:extent cx="3619500" cy="33553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619500"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believe another critical metric for measuring the performance of a multi-cancer early detection test is the yield. Single-cancer screening tests are, by definition, limited in their maximum yield, as they are focused on only one cancer type. By contrast, multi-cancer screening tests increase the yield by detecting multiple cancer types simultaneously in a population. There is an inverse relationship between aggregate sensitivity and yield; for example, low signal cancer types will drive down aggregate sensitivity but will increase the yield.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440"/>
          </w:cols>
          <w:pgMar w:left="320" w:top="419" w:right="11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Requirements of a Population-Scale MCED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the following features are essential for an MCED test to be accepted as a broad-based screening test in asymptomatic populations:</w:t>
      </w:r>
    </w:p>
    <w:p>
      <w:pPr>
        <w:spacing w:after="0" w:line="112" w:lineRule="exact"/>
        <w:rPr>
          <w:sz w:val="20"/>
          <w:szCs w:val="20"/>
          <w:color w:val="auto"/>
        </w:rPr>
      </w:pPr>
    </w:p>
    <w:p>
      <w:pPr>
        <w:ind w:left="1620" w:right="240" w:hanging="375"/>
        <w:spacing w:after="0" w:line="281" w:lineRule="auto"/>
        <w:tabs>
          <w:tab w:leader="none" w:pos="16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identify a broad range of cancer types</w:t>
      </w:r>
      <w:r>
        <w:rPr>
          <w:rFonts w:ascii="Times New Roman" w:cs="Times New Roman" w:eastAsia="Times New Roman" w:hAnsi="Times New Roman"/>
          <w:sz w:val="16"/>
          <w:szCs w:val="16"/>
          <w:color w:val="auto"/>
        </w:rPr>
        <w:t>: An MCED test should identify many cancer types to maximize the absolute number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clinically significant cancer cases detected in a population and yield.</w:t>
      </w:r>
    </w:p>
    <w:p>
      <w:pPr>
        <w:spacing w:after="0" w:line="57" w:lineRule="exact"/>
        <w:rPr>
          <w:rFonts w:ascii="Times New Roman" w:cs="Times New Roman" w:eastAsia="Times New Roman" w:hAnsi="Times New Roman"/>
          <w:sz w:val="16"/>
          <w:szCs w:val="16"/>
          <w:color w:val="auto"/>
        </w:rPr>
      </w:pPr>
    </w:p>
    <w:p>
      <w:pPr>
        <w:ind w:left="1620" w:right="340" w:hanging="375"/>
        <w:spacing w:after="0" w:line="264" w:lineRule="auto"/>
        <w:tabs>
          <w:tab w:leader="none" w:pos="16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High PPV and low false positive rate</w:t>
      </w:r>
      <w:r>
        <w:rPr>
          <w:rFonts w:ascii="Times New Roman" w:cs="Times New Roman" w:eastAsia="Times New Roman" w:hAnsi="Times New Roman"/>
          <w:sz w:val="16"/>
          <w:szCs w:val="16"/>
          <w:color w:val="auto"/>
        </w:rPr>
        <w:t>: An MCED test should have a high PPV and low false positive rate to help maximize physician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confidence in a positive test result, drive a sense of urgency to perform confirmatory diagnostic workups, and minimize the number of unnecessary workups in a population.</w:t>
      </w:r>
    </w:p>
    <w:p>
      <w:pPr>
        <w:spacing w:after="0" w:line="71" w:lineRule="exact"/>
        <w:rPr>
          <w:rFonts w:ascii="Times New Roman" w:cs="Times New Roman" w:eastAsia="Times New Roman" w:hAnsi="Times New Roman"/>
          <w:sz w:val="16"/>
          <w:szCs w:val="16"/>
          <w:color w:val="auto"/>
        </w:rPr>
      </w:pPr>
    </w:p>
    <w:p>
      <w:pPr>
        <w:ind w:left="1620" w:right="400" w:hanging="375"/>
        <w:spacing w:after="0" w:line="281" w:lineRule="auto"/>
        <w:tabs>
          <w:tab w:leader="none" w:pos="16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predict with high accuracy the cancer signal origin and direct diagnostic workup</w:t>
      </w:r>
      <w:r>
        <w:rPr>
          <w:rFonts w:ascii="Times New Roman" w:cs="Times New Roman" w:eastAsia="Times New Roman" w:hAnsi="Times New Roman"/>
          <w:sz w:val="16"/>
          <w:szCs w:val="16"/>
          <w:color w:val="auto"/>
        </w:rPr>
        <w:t>: An MCED test should predict the cancer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 origin with high accuracy to facilitate efficient diagnostic workups.</w:t>
      </w:r>
    </w:p>
    <w:p>
      <w:pPr>
        <w:spacing w:after="0" w:line="57" w:lineRule="exact"/>
        <w:rPr>
          <w:rFonts w:ascii="Times New Roman" w:cs="Times New Roman" w:eastAsia="Times New Roman" w:hAnsi="Times New Roman"/>
          <w:sz w:val="16"/>
          <w:szCs w:val="16"/>
          <w:color w:val="auto"/>
        </w:rPr>
      </w:pPr>
    </w:p>
    <w:p>
      <w:pPr>
        <w:jc w:val="both"/>
        <w:ind w:left="1620" w:right="80" w:hanging="375"/>
        <w:spacing w:after="0" w:line="264" w:lineRule="auto"/>
        <w:tabs>
          <w:tab w:leader="none" w:pos="16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Backed by robust analytical and clinical performance</w:t>
      </w:r>
      <w:r>
        <w:rPr>
          <w:rFonts w:ascii="Times New Roman" w:cs="Times New Roman" w:eastAsia="Times New Roman" w:hAnsi="Times New Roman"/>
          <w:sz w:val="16"/>
          <w:szCs w:val="16"/>
          <w:color w:val="auto"/>
        </w:rPr>
        <w:t>: An MCED test should be rigorously validated to account for non-cancer biological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signals and the underlying heterogeneity of populations without cancer. We believe clinical validation should be performed using a locked assay and classifier and should be analyzed in case-controlled and intended-use populations.</w:t>
      </w:r>
    </w:p>
    <w:p>
      <w:pPr>
        <w:spacing w:after="0" w:line="71" w:lineRule="exact"/>
        <w:rPr>
          <w:rFonts w:ascii="Times New Roman" w:cs="Times New Roman" w:eastAsia="Times New Roman" w:hAnsi="Times New Roman"/>
          <w:sz w:val="16"/>
          <w:szCs w:val="16"/>
          <w:color w:val="auto"/>
        </w:rPr>
      </w:pPr>
    </w:p>
    <w:p>
      <w:pPr>
        <w:ind w:left="1620" w:right="320" w:hanging="375"/>
        <w:spacing w:after="0" w:line="264" w:lineRule="auto"/>
        <w:tabs>
          <w:tab w:leader="none" w:pos="16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limit overdiagnosis of indolent cancers</w:t>
      </w:r>
      <w:r>
        <w:rPr>
          <w:rFonts w:ascii="Times New Roman" w:cs="Times New Roman" w:eastAsia="Times New Roman" w:hAnsi="Times New Roman"/>
          <w:sz w:val="16"/>
          <w:szCs w:val="16"/>
          <w:color w:val="auto"/>
        </w:rPr>
        <w:t>: An MCED test should preferentially detect the cancers most likely to result in death,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aggressive and clinically significant cancers warranting treatment, and should not result in overdiagnosis of more indolent cancers.</w:t>
      </w:r>
    </w:p>
    <w:p>
      <w:pPr>
        <w:spacing w:after="0" w:line="71" w:lineRule="exact"/>
        <w:rPr>
          <w:rFonts w:ascii="Times New Roman" w:cs="Times New Roman" w:eastAsia="Times New Roman" w:hAnsi="Times New Roman"/>
          <w:sz w:val="16"/>
          <w:szCs w:val="16"/>
          <w:color w:val="auto"/>
        </w:rPr>
      </w:pPr>
    </w:p>
    <w:p>
      <w:pPr>
        <w:ind w:left="1620" w:right="40" w:hanging="375"/>
        <w:spacing w:after="0" w:line="259" w:lineRule="auto"/>
        <w:tabs>
          <w:tab w:leader="none" w:pos="16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Application to a diverse population</w:t>
      </w:r>
      <w:r>
        <w:rPr>
          <w:rFonts w:ascii="Times New Roman" w:cs="Times New Roman" w:eastAsia="Times New Roman" w:hAnsi="Times New Roman"/>
          <w:sz w:val="16"/>
          <w:szCs w:val="16"/>
          <w:color w:val="auto"/>
        </w:rPr>
        <w:t>: An MCED test should be built on a comprehensive evidence program that supports implementation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broad elevated risk population (such as those over the age of 50). To support this, clinical studies should evaluate effectiveness in diverse and high-risk populations, including populations that are diverse in behaviors (such as smoking), non-cancer diseases, environmental exposures, age, gender, race, ethnicity, socio-economic status, and other confounding indications and differences.</w:t>
      </w:r>
    </w:p>
    <w:p>
      <w:pPr>
        <w:spacing w:after="0" w:line="74" w:lineRule="exact"/>
        <w:rPr>
          <w:rFonts w:ascii="Times New Roman" w:cs="Times New Roman" w:eastAsia="Times New Roman" w:hAnsi="Times New Roman"/>
          <w:sz w:val="16"/>
          <w:szCs w:val="16"/>
          <w:color w:val="auto"/>
        </w:rPr>
      </w:pPr>
    </w:p>
    <w:p>
      <w:pPr>
        <w:ind w:left="1620" w:right="40" w:hanging="375"/>
        <w:spacing w:after="0" w:line="281" w:lineRule="auto"/>
        <w:tabs>
          <w:tab w:leader="none" w:pos="16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Complementary to standard of care screenings</w:t>
      </w:r>
      <w:r>
        <w:rPr>
          <w:rFonts w:ascii="Times New Roman" w:cs="Times New Roman" w:eastAsia="Times New Roman" w:hAnsi="Times New Roman"/>
          <w:sz w:val="16"/>
          <w:szCs w:val="16"/>
          <w:color w:val="auto"/>
        </w:rPr>
        <w:t>: An MCED test should serve as a complement to, not a replacement for, current standard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care screening tests so as not to discourage adherence to existing USPSTF guidelines.</w:t>
      </w:r>
    </w:p>
    <w:p>
      <w:pPr>
        <w:spacing w:after="0" w:line="57" w:lineRule="exact"/>
        <w:rPr>
          <w:rFonts w:ascii="Times New Roman" w:cs="Times New Roman" w:eastAsia="Times New Roman" w:hAnsi="Times New Roman"/>
          <w:sz w:val="16"/>
          <w:szCs w:val="16"/>
          <w:color w:val="auto"/>
        </w:rPr>
      </w:pPr>
    </w:p>
    <w:p>
      <w:pPr>
        <w:ind w:left="1620" w:right="160" w:hanging="375"/>
        <w:spacing w:after="0" w:line="281" w:lineRule="auto"/>
        <w:tabs>
          <w:tab w:leader="none" w:pos="16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Simple to implement and access</w:t>
      </w:r>
      <w:r>
        <w:rPr>
          <w:rFonts w:ascii="Times New Roman" w:cs="Times New Roman" w:eastAsia="Times New Roman" w:hAnsi="Times New Roman"/>
          <w:sz w:val="16"/>
          <w:szCs w:val="16"/>
          <w:color w:val="auto"/>
        </w:rPr>
        <w:t>: An MCED test should be easy to implement in clinical practice and reduce or avoid common barriers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screening such as requirements for access to specialized equipment.</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Products: Galleri and Beyond</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Multi-Cancer Early Detection Test: Galleri</w:t>
      </w:r>
    </w:p>
    <w:p>
      <w:pPr>
        <w:spacing w:after="0" w:line="106"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Our clinically-validated, commercially available multi-cancer early detection test, Galleri, is transforming cancer care and has the potential to unlock substantial improvements in cancer detection and mortality.</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A fundamental driver of cancer mortality today is that most cancers that result in death are diagnosed too late, in advanced stages when they are most challenging to treat. If cancer is detected early, when it is localized, it is more amenable to curative treatment. Galleri is designed to complement the USPSTF’s recommended screenings, be easy to implement in practice, and improve overall population cancer detection. From a simple blood draw, Galleri can detect a cancer signal shared by over 50 types of cancer, over 45 of which do not have recommended screening guidelines. Galleri improves the opportunity for early detection of cancer in asymptomatic individuals by screening for multiple types of cancer, predicts the location of the suspected cancer with high accuracy to help guide next steps for diagnosis, and has demonstrated high PPV and low false positive rates. We launched Galleri in the United States in mid-2021. As of September 30, 2023, we have sold more than 125,000 commercial tests and established over 100 commercial partnerships. In this real-world setting, Galleri has detected deadly cancers in early stages. Our validated test has been deployed across healthcare systems,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122</w:t>
      </w:r>
    </w:p>
    <w:p>
      <w:pPr>
        <w:sectPr>
          <w:pgSz w:w="11900" w:h="16838" w:orient="portrait"/>
          <w:cols w:equalWidth="0" w:num="1">
            <w:col w:w="10480"/>
          </w:cols>
          <w:pgMar w:left="320" w:top="418" w:right="109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20"/>
        <w:spacing w:after="0" w:line="278" w:lineRule="auto"/>
        <w:rPr>
          <w:sz w:val="20"/>
          <w:szCs w:val="20"/>
          <w:color w:val="auto"/>
        </w:rPr>
      </w:pPr>
      <w:r>
        <w:rPr>
          <w:rFonts w:ascii="Times New Roman" w:cs="Times New Roman" w:eastAsia="Times New Roman" w:hAnsi="Times New Roman"/>
          <w:sz w:val="16"/>
          <w:szCs w:val="16"/>
          <w:color w:val="auto"/>
        </w:rPr>
        <w:t>employers, payors, and life insurance providers, and for additional at-risk groups such as firefighters, and continues to unlock the promise of early cancer detection.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developed Galleri with the following critical features necessary to address the requirements of a population-scale MCED screening test:</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identify a broad range of cancer types</w:t>
      </w:r>
    </w:p>
    <w:p>
      <w:pPr>
        <w:spacing w:after="0" w:line="102"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Galleri is able to detect a cancer signal shared in over 50 types of cancer, including the most deadly types of cancer that do not have recommended screens. We believe that Galleri can significantly increase the number of cancer types screened for in the population and has the potential to increase yield of cancers in the United States that are diagnosed through screening from 14% to 49%.</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High PPV and low false positive rate</w:t>
      </w:r>
    </w:p>
    <w:p>
      <w:pPr>
        <w:spacing w:after="0" w:line="102"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clinical studies, Galleri has demonstrated a high PPV of approximately 43% and a low false positive rate of less than 1%. A high PPV, which is enabled in part by a low false positive rate, is important in clinical practice because it represents the probability that a positive test result is a true positive and can give clinicians high confidence and a sense of urgency to initiate confirmatory diagnostic workups. A low false positive rate can help to limit unnecessary workups on patients who do not have cancer. The image below sets forth certain key performance information from our PATHFINDER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96435" cy="23425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496435" cy="234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460"/>
          </w:cols>
          <w:pgMar w:left="320" w:top="419" w:right="111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While Galleri is designed to complement the current standard of care screening tests, Galleri’s high PPV of approximately 43% is significantly higher than the PPV of all of the standard of care single-cancer screening tests. Galleri’s low false positive rate of less than 1% is also significantly lower than the false positive rate of all of the standard of care single-cancer screening tests. The table below presents the PPV and number of false positives associated with the current standard of care screening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127635</wp:posOffset>
            </wp:positionV>
            <wp:extent cx="4496435" cy="31134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496435" cy="311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predict with high accuracy the cancer signal origin and direct diagnostic workup</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Galleri has a high 88% cancer signal origin prediction accuracy for identifying the location of cancer, which supports physician approaches to diagnostic resolution through well-established workup pathways. Cancer signal origin prediction accuracy represents the extent to which first and second origins identified were correct among true positive tests. In our PATHFINDER study the first workup based on cancer signal origin facilitated a diagnostic resolution in 25 of the 32 participants who had diagnostic resolution (approximately 80%). Importantly, this group of 32 participants consisted of only those who received a cancer signal detected result from both Galleri and an earlier version of our MCED test also being studied in our PATHFINDER study. We also found that Galleri’s cancer signal origin prediction generally facilitated diagnosis in less than three months (median of 79 days) among participants who had a cancer signal detected. Further, Galleri’s cancer signal origin prediction capability enables physicians to limit the use of full body imaging following cancer signal detected results, which can be expensive, not readily accessible to broad patient populations, exposes patients to radiation, and can lead to false alarms and unnecessary ancillary workups.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Backed by robust analytical and clinical performance</w:t>
      </w:r>
    </w:p>
    <w:p>
      <w:pPr>
        <w:spacing w:after="0" w:line="102" w:lineRule="exact"/>
        <w:rPr>
          <w:sz w:val="20"/>
          <w:szCs w:val="20"/>
          <w:color w:val="auto"/>
        </w:rPr>
      </w:pPr>
    </w:p>
    <w:p>
      <w:pPr>
        <w:jc w:val="both"/>
        <w:ind w:left="760" w:right="420" w:firstLine="388"/>
        <w:spacing w:after="0" w:line="289" w:lineRule="auto"/>
        <w:rPr>
          <w:sz w:val="20"/>
          <w:szCs w:val="20"/>
          <w:color w:val="auto"/>
        </w:rPr>
      </w:pPr>
      <w:r>
        <w:rPr>
          <w:rFonts w:ascii="Times New Roman" w:cs="Times New Roman" w:eastAsia="Times New Roman" w:hAnsi="Times New Roman"/>
          <w:sz w:val="15"/>
          <w:szCs w:val="15"/>
          <w:color w:val="auto"/>
        </w:rPr>
        <w:t>Galleri test performance is validated by extensive clinical studies. We have established a broad population-scale clinical evidence program, including the more than 21,000 participants included in the studies that supported the development and launch of Galleri. We established clinical validation using a locked assay and classifier in case-controlled and intended-use populations. Importantly, we were able to translate performance</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420"/>
          </w:cols>
          <w:pgMar w:left="320" w:top="419" w:right="115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78" w:lineRule="auto"/>
        <w:rPr>
          <w:sz w:val="20"/>
          <w:szCs w:val="20"/>
          <w:color w:val="auto"/>
        </w:rPr>
      </w:pPr>
      <w:r>
        <w:rPr>
          <w:rFonts w:ascii="Times New Roman" w:cs="Times New Roman" w:eastAsia="Times New Roman" w:hAnsi="Times New Roman"/>
          <w:sz w:val="16"/>
          <w:szCs w:val="16"/>
          <w:color w:val="auto"/>
        </w:rPr>
        <w:t>from our foundational case control CCGA study to our interventional PATHFINDER study. We have shared evidence supporting Galleri’s performance at renowned medical conferences and published results from our studies in leading scientific and medical journals.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limit overdiagnosis of indolent cancers</w:t>
      </w:r>
    </w:p>
    <w:p>
      <w:pPr>
        <w:spacing w:after="0" w:line="102" w:lineRule="exact"/>
        <w:rPr>
          <w:sz w:val="20"/>
          <w:szCs w:val="20"/>
          <w:color w:val="auto"/>
        </w:rPr>
      </w:pPr>
    </w:p>
    <w:p>
      <w:pPr>
        <w:ind w:left="760" w:right="40" w:firstLine="388"/>
        <w:spacing w:after="0" w:line="270" w:lineRule="auto"/>
        <w:rPr>
          <w:sz w:val="20"/>
          <w:szCs w:val="20"/>
          <w:color w:val="auto"/>
        </w:rPr>
      </w:pPr>
      <w:r>
        <w:rPr>
          <w:rFonts w:ascii="Times New Roman" w:cs="Times New Roman" w:eastAsia="Times New Roman" w:hAnsi="Times New Roman"/>
          <w:sz w:val="15"/>
          <w:szCs w:val="15"/>
          <w:color w:val="auto"/>
        </w:rPr>
        <w:t>Data across our clinical studies suggests that although Galleri detects cancer signals for some of the most aggressive cancers, detection of cancer signals for indolent cancer types, which people are less likely to die from, is low. Based on the Kaplan-Meier curves in the figure below, which show survival over time, detected cancers have a similar prognosis to that expected based on our analysis of SEER data, whereas cancers not detected by Galleri had a more favorable prognosis than would be expected. At any given stage, survival was worse for cancers detected by Galleri, as shown in the figure below. More specifically, the blue curves, which represent detected cancers, are steeper than the purple curves, which represent undetected cancers, meaning that cancers detected by Galleri have a worse prognosis than those cancers that were not detected. These findings were consistent across stages of cancer. Because this effect could be influenced by the types of cancer being evaluated, we adjusted for the age and cancer type distribution reported in the SEER data, and showed that this result is consistent if our detection rate were applied to the cancer and age distribution present in the SEER data (represented by the dashed lines in the figure below). This suggests that indolent cancers are unlikely to be detected by Galleri, and Galleri would be unlikely to contribute to the problem of overdiagnosis, and the associated harms related to treatment of over-diagnosed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123190</wp:posOffset>
            </wp:positionV>
            <wp:extent cx="4488815" cy="3211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488815" cy="321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 p-values shown in the figure above indicate the likelihood that this result might be due to chance. The smaller the p-value, the less likely these results are due to chance (for example, a p-value = 0.001 means that there is a 0.1% probability that the result is purely due to chance). The small p-value reflects both the magnitude of the difference as well as the large sample size. We believe these findings are biologically consistent with evidence suggesting that indolent, less aggressive cancers are less likely to shed DNA into the blood.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480"/>
          </w:cols>
          <w:pgMar w:left="320" w:top="419" w:right="109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Application to a diverse population</w:t>
      </w:r>
    </w:p>
    <w:p>
      <w:pPr>
        <w:spacing w:after="0" w:line="102"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Galleri has been validated in population-scale clinical studies to help detect cancer across broad populations that are diverse in behaviors (such as smoking), non-cancer diseases, environmental exposures, age, gender, race, ethnicity, socio-economic status, and other confounding indications and differences. For example, in published data from our CCGA study, we found no differences in performance across racial subgroups. Understanding the signals associated with population diversity is important to our ability to account for biological noise and develop high-specificity tests for a broad testing population. The inclusion of confounding conditions in our studies, such as aging and inflammatory conditions, enables us to discriminate true cancer signals from biological noise.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continue to study Galleri in population-scale studies that evaluate the effectiveness of the test in diverse and high-risk populations. For example, we have worked with clinics, fire departments, municipalities, and unions to test thousands of firefighters, who generally have exposure-related increased risk of cancer. We established a research collaboration with the U.S. Department of Veterans Affairs (“VA”), the largest healthcare system in the United States, and the Veterans Health Foundation to provide Galleri to 10,000 veterans, many of whom are at high risk for cancer, across multiple participating VA sites over a three-year clinical study period. In addition, in our SUMMIT study, we are evaluating Galleri in a population of individuals at high risk for lung and other smoking-related cancers.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Complementary to standard of care screenings</w:t>
      </w:r>
    </w:p>
    <w:p>
      <w:pPr>
        <w:spacing w:after="0" w:line="102" w:lineRule="exact"/>
        <w:rPr>
          <w:sz w:val="20"/>
          <w:szCs w:val="20"/>
          <w:color w:val="auto"/>
        </w:rPr>
      </w:pPr>
    </w:p>
    <w:p>
      <w:pPr>
        <w:ind w:left="760" w:right="220" w:firstLine="388"/>
        <w:spacing w:after="0" w:line="258" w:lineRule="auto"/>
        <w:rPr>
          <w:sz w:val="20"/>
          <w:szCs w:val="20"/>
          <w:color w:val="auto"/>
        </w:rPr>
      </w:pPr>
      <w:r>
        <w:rPr>
          <w:rFonts w:ascii="Times New Roman" w:cs="Times New Roman" w:eastAsia="Times New Roman" w:hAnsi="Times New Roman"/>
          <w:sz w:val="16"/>
          <w:szCs w:val="16"/>
          <w:color w:val="auto"/>
        </w:rPr>
        <w:t>In the United States, the five standard of care single-cancer screening tests have helped to reduce mortality for these specific types of cancer. Galleri expands upon the current standard of care guidelines to screen individuals with a single test for many types of cancer, most of which have no recommended screenings. We envision a world where Galleri is broadly accessible and used routinely alongside current standard of care screenings, potentially annually, to drive significant improvements in patient care and reduce cancer mortality and the cost of cancer care.</w:t>
      </w:r>
    </w:p>
    <w:p>
      <w:pPr>
        <w:spacing w:after="0" w:line="161"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To estimate the potential impact of early cancer detection and mortality reduction, we developed and published a cancer epidemiology forecast model. Based on our published modeling data, we estimate that adding Galleri to the five standard of care single-cancer screening tests could detect many more cancers at an earlier stage and potentially avert approximately 100,000 deaths per year in the United States, or 39% of the five-year deaths expected if not for early detection by Galleri.</w:t>
      </w:r>
    </w:p>
    <w:p>
      <w:pPr>
        <w:spacing w:after="0" w:line="161"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In addition, we estimate that in a population of approximately 107 million individuals between the ages of 50-79 in the United States, adding Galleri to the five standard of care single-cancer screening tests could result in the detection of an additional 460,000 cancer cases. Our model shows that the use of Galleri together with standard of care screenings could lead to the detection of three times as many cancer cases overall as compared to standard of care screenings alone, with only 6.5% more incremental false positives. We estimate that identification of many more cancer cases with a limited number of additional false positives would reduce the cost to diagnose one cancer by approximately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4509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488815" cy="145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400"/>
          </w:cols>
          <w:pgMar w:left="320" w:top="419" w:right="117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Simple to implement and access</w:t>
      </w:r>
    </w:p>
    <w:p>
      <w:pPr>
        <w:spacing w:after="0" w:line="19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Galleri is administered via a simple blood draw that enhances patient access and is easy for healthcare providers to implement. We believe ease of a blood draw can increase compliance by reducing some of the barriers that have limited the adoption of certain individual cancer screening tests, including the time to obtain the screening test as well as access to specialists and specialized equipment. The test is available through a wide range of in-person and telemedicine care settings in the United States. Galleri is conveniently accessible to patients who can complete the blood draw at physician offices, reference labs, and mobile phlebotomy labs, among other locations. In addition, Galleri can be easily integrated into routine practice, where healthcare providers can order Galleri as part of an annual examination.</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Support Services for Physicians that Drive a Positive Patient Experience</w:t>
      </w:r>
    </w:p>
    <w:p>
      <w:pPr>
        <w:spacing w:after="0" w:line="104"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We have developed a suite of support services to optimize the test experience for healthcare providers and patients. We believe it is important that cancer signal detected patients and their healthcare providers are supported as they navigate follow-ups such as scheduling a confirmatory diagnostic procedure. For all cancer signal detected results, our medical science liaisons connect with the ordering provider via email or phone to offer support in clinical decision making. Clinical care documents are shared with the healthcare provider that describe published clinical guidelines to help guide next steps in the diagnostic work-up. Healthcare providers can additionally elect to access a Galleri experience council—a cohort of physicians (including experts from National Cancer Institute designated cancer centers) with experience with Galleri who can provide peer-to-peer consultations. We also operate an early cancer detection board, analogous to a tumor board, that includes third-party experts across specialties to discuss any challenging cases for which advice is sought. We offer patients a post-cancer signal detected result support center that provides materials they can bring to a referral to ensure the receiving physician understands the cancer signal detected test result to facilitate urgent care for such patients.</w:t>
      </w:r>
    </w:p>
    <w:p>
      <w:pPr>
        <w:spacing w:after="0" w:line="158"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In addition, our software systems support a positive experience for physicians and their patients. Our physician portal is designed to allow physicians to order our test and obtain patient consent electronically, which is efficient and helps minimize errors and incomplete user information. We designed our software systems to integrate with third-party electronic medical record systems to streamline test ordering and results delivery. Importantly, for every test we process, we provide a clinically actionable test report, as depicted in the graphic below, that is delivered through our secure web portal to the ordering healthcare providers to show whether or not a cancer signal is detected, and if so, to predict where in the body the cancer signal is located.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420"/>
          </w:cols>
          <w:pgMar w:left="320" w:top="419" w:right="11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image below depicts an illustrative cancer signal detected test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150495</wp:posOffset>
            </wp:positionV>
            <wp:extent cx="2773045" cy="37484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773045" cy="374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Investment to Enhance Versions of Tests</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seek to continually enhance the performance and features of Galleri. Commercial use and ongoing research programs provide valuable data that we believe can enhance test performance. Real-world evidence is already informing product improvements today. We will leverage even larger datasets to further develop our advanced machine learning algorithms. By further refining and selecting subsets of highly informative regions for cancer signal origin detection to reduce panel size, we could achieve deeper sequencing coverage and lower sequencing costs. We also aim to further improve the sensitivity of our tests by obtaining deeper sequencing coverage and a better understanding of noise and leveraging even larger datasets to further develop our advanced machine learning algorithms. We also continue to research and develop technologies that have the potential to complement methylation through orthogonal biological information, including additional analytes and biofluids such as proteins and urine.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Precision Oncology Portfolio</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precision oncology market is expected to grow significantly in the coming years, and multiple research studies have indicated that liquid biopsies and ctDNA detection will play a major part in this growth. Our precision oncology portfolio currently consists of an RUO-targeted methylation-based platform with customizable classifiers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480"/>
          </w:cols>
          <w:pgMar w:left="320" w:top="419" w:right="109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0"/>
        <w:spacing w:after="0" w:line="278" w:lineRule="auto"/>
        <w:rPr>
          <w:sz w:val="20"/>
          <w:szCs w:val="20"/>
          <w:color w:val="auto"/>
        </w:rPr>
      </w:pPr>
      <w:r>
        <w:rPr>
          <w:rFonts w:ascii="Times New Roman" w:cs="Times New Roman" w:eastAsia="Times New Roman" w:hAnsi="Times New Roman"/>
          <w:sz w:val="16"/>
          <w:szCs w:val="16"/>
          <w:color w:val="auto"/>
        </w:rPr>
        <w:t>that enables applications for disease prognostication, risk stratification, minimal residual disease (“MRD”) detection and recurrence and relapse monitoring across many cancer types.</w:t>
      </w:r>
    </w:p>
    <w:p>
      <w:pPr>
        <w:spacing w:after="0" w:line="1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initiated early collaborations with select, leading biopharmaceutical companies beginning in 2020, and the launch of our RUO offering in early 2023 has unlocked additional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first companion diagnostic partnership was announced in 2022 with AstraZeneca. We have published or presented early performance data on MCED testing at multiple academic conferences, including ASCO, AACR and ESMO, across different use cases and indications. These data demonstrate the versatility of the platform across multiple applications and areas of clinical unmet need.</w:t>
      </w:r>
    </w:p>
    <w:p>
      <w:pPr>
        <w:spacing w:after="0" w:line="166"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Our RUO offering uses our proprietary targeted methylation platform to analyze cfDNA isolated from peripheral blood for cancer signal interrogation. Our RUO technology estimates tumor burden based on tumor methylation fraction, enabling longitudinal monitoring and surveillance solutions. Data from our studies have demonstrated analytically validated performance, and robust analytical sensitivity, specificity, and precision. For example, in a recent analytical validation study, cfDNA was analyzed from donors with and without cancer. Analytical sensitivity was assessed in 12 different solid tumor types. Results demonstrated strong median limit of detection (“LoD”) of 0.023% based on measures of the abnormally methylated ctDNA fraction. Analytical specificity was 98.5% and overall precision across all replicates was 94.6%. The low input requirements support retrospective research studies.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to our biopharmaceutical business, we believe that our targeted methylation platform could enable clinical products to support patient care across the cancer care continuum. For example, many tests available today for solid tumors require tissue samples and development of patient-specific assays, which contributes to longer turnaround times and potential delays in treatment decisions. Our multi-cancer, non-invasive targeted methylation platform enables cancer detection, classification and monitoring with limited plasma input and no tumor tissue. Test results can be returned rapidly with a 7-10 day clinical turnaround time. The blood-only liquid biopsy approach eliminates challenges with obtaining tissue samples and avoids bias due to tumor heterogeneity and disease evolution. The targeted methylation approach is also able to enhance accuracy as compared to mutation-based approaches which are known to be confounded by normal biological processes, such as those associated with aging. In the clinical monitoring application, the difficulty of obtaining serial tissue samples, particularly in cancer types such as lung and liver, means a blood-based approach is likely to be much more attractive to clinicians and biopharmaceutical partners.</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Further, we have validated performance of our technology in an MRD setting, with sensitivity on par with tumor-informed methods. MRD testing is used in pharmaceutical studies and clinical practice to detect the presence or absence of residual disease and inform treatment decisions, including identifying patients who may be eligible for adjuvant therapy.</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Diagnostic Aid for Cancer Test</w:t>
      </w:r>
    </w:p>
    <w:p>
      <w:pPr>
        <w:spacing w:after="0" w:line="106"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 xml:space="preserve">To accelerate diagnostic resolution for patients with non-specific signs and symptoms, but with a clinical suspicion of cancer, we are developing our DAC test using the same proprietary platform used to develop Galleri. Through a simple blood draw, DAC is designed to provide physicians with a powerful decision-making tool to aid diagnosis, achieve resolution more quickly, and avoid unnecessary workups. Data published in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Oncology </w:t>
      </w:r>
      <w:r>
        <w:rPr>
          <w:rFonts w:ascii="Times New Roman" w:cs="Times New Roman" w:eastAsia="Times New Roman" w:hAnsi="Times New Roman"/>
          <w:sz w:val="16"/>
          <w:szCs w:val="16"/>
          <w:color w:val="auto"/>
        </w:rPr>
        <w:t>showed that, in a symptomatic patient population, our methylation platform was able to detect many cancer types and identify where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cancer signal origin was located in the body with high accuracy.</w:t>
      </w:r>
    </w:p>
    <w:p>
      <w:pPr>
        <w:spacing w:after="0" w:line="165"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Symptomatic detection of cancer is a significant unmet need; we estimate that approximately 16 million patients in the United States present with non-specific signs and symptoms each year. These patients are subject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480"/>
          </w:cols>
          <w:pgMar w:left="320" w:top="419" w:right="109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to potentially invasive and time-consuming diagnostic workups. Further, over 70% of patients with non-specific, but concerning symptoms, undergo imaging, scoping, biopsies and other procedures, and over 25% of patients take more than four months to reach a diagnosis once they have already been referred for investigation. There is currently no option for multi-cancer detection for these patients, meaning they will need to potentially undergo multiple single cancer workups. Only around 4% of these patients are ultimately diagnosed with cancer. As demonstrated through SYMPLIFY and other published studies, primary care physicians frequently have difficulty determining which investigations and specialists a patient should be referred to having presented with a non-specific symptom such as unexplained weight loss. This can sometimes result in a prolonged diagnostic odyssey for the patient, with multiple investigations over many months.</w:t>
      </w:r>
    </w:p>
    <w:p>
      <w:pPr>
        <w:spacing w:after="0" w:line="16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Based on our findings in the SYMPLIFY study that included more than 6,200 participants and was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DAC demonstrated an overall PPV of approximately 76% with an overall NPV of approximately 98%. NPV is an important measurement in a symptomatic population because we believe it provides a physician with more certainty that a negative test indicates a patient does not have cancer that will go untreated. In addition, the overall cancer signal origin prediction accuracy was approximately 91% (first origin indicated had a cancer signal origin prediction accuracy of approximately 85%). Test performance was the strongest in patients referred for investigation of a possible upper gastrointestinal cancer, which has historically been more difficult to diagnose, with a PPV of approximately 66% and an NPV of approximately 99%. The high overall PPV, NPV, and cancer signal origin prediction accuracy results demonstrated in the SYMPLIFY study provide further evidence that our methylation-based platform can help clinicians in difficult non-specific symptomatic situations determine the likelihood that an individual might have cancer, and if a cancer signal is reported, where to direct patients based on the predicted cancer signal origin. The image below summarizes information from our SYMPLIFY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8815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48881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Our DAC test has the potential to be reimbursed as a medical benefit, which is an existing, established coverage pathway in the United States. We anticipate launching our DAC test when we have confirmed eligibility for reimbursement in the United States. In deploying DAC in clinical practice, we expect to leverage our existing commercial salesforce and infrastructure.</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Additional Products in Development</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rigorous discovery efforts have already enabled us to build unique technologies and develop a powerful platform for early detection. Moving forward, we will continue to research and develop technologies that have the potential to complement and enhance our capabilities. We have conducted early research and development in areas such as immunology and biofluids such as urine. We also plan to leverage relationships, including with academic and industry partners, to help expedite bringing potential new applications of our technology to market.</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460"/>
          </w:cols>
          <w:pgMar w:left="320" w:top="419" w:right="111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Methylation Technology Platform</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Origin Story</w:t>
      </w:r>
    </w:p>
    <w:p>
      <w:pPr>
        <w:spacing w:after="0" w:line="106" w:lineRule="exact"/>
        <w:rPr>
          <w:sz w:val="20"/>
          <w:szCs w:val="20"/>
          <w:color w:val="auto"/>
        </w:rPr>
      </w:pPr>
    </w:p>
    <w:p>
      <w:pPr>
        <w:ind w:left="760" w:right="60" w:firstLine="388"/>
        <w:spacing w:after="0" w:line="271" w:lineRule="auto"/>
        <w:rPr>
          <w:sz w:val="20"/>
          <w:szCs w:val="20"/>
          <w:color w:val="auto"/>
        </w:rPr>
      </w:pPr>
      <w:r>
        <w:rPr>
          <w:rFonts w:ascii="Times New Roman" w:cs="Times New Roman" w:eastAsia="Times New Roman" w:hAnsi="Times New Roman"/>
          <w:sz w:val="15"/>
          <w:szCs w:val="15"/>
          <w:color w:val="auto"/>
        </w:rPr>
        <w:t>Although the presence of tumor DNA in the blood was discovered in 1948, it has largely been used as a non-invasive method to select targeted therapies for patients with late-stage cancer. More recently, evidence supported the idea that DNA in the blood could also detect cancer in earlier stages, which raised the possibility of utilizing cfDNA for early cancer detection (i.e., when patients are asymptomatic). This idea originated in part at Illumina from incidental findings from a study involving a commercial cfDNA-based non-invasive prenatal test. This study leveraged whole-genome sequencing to interrogate copy-number variations to identify fetal chromosomal abnormalities from fetal cfDNA in maternal circulation. From an overall cohort of 125,426 pregnant women, 10 cases of maternal cancer were identified. In cancer cases that presented with advanced symptoms, the treating clinician noted that earlier detection of the malignancy would have had a positive effect on their care. This incidental detection of multiple cancer types via cancer-specific chromosomal changes suggested that a cfDNA-based MCED was possible and GRAIL was founded shortly thereafter.</w:t>
      </w:r>
    </w:p>
    <w:p>
      <w:pPr>
        <w:spacing w:after="0" w:line="2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Detecting Cancer Signals in the Blood</w:t>
      </w:r>
    </w:p>
    <w:p>
      <w:pPr>
        <w:spacing w:after="0" w:line="106"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Blood contains circulating genomic material, including fragments of tumor DNA in an individual with cancer, which makes it well suited for detecting cancer signals. The genome is a set of DNA instructions found in a cell that contains information for how an organism and its cells function. Changes to one or more genes, often referred to as mutations, can disrupt a cell’s normal functioning and cause disease. Genetic mutations can be indicative of cancer, and the reason why cancer is often called a disease of the genome. Although understanding an individual’s genetic mutations can help diagnose and treat cancer (for example, by selecting a therapy known to target a specific mutation or set of mutations), mutations only provide part of the picture that drives the complex biology of cancer.</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It is well recognized that a hallmark of cancer is abnormally methylated DNA. Methylation is a fundamental biological process active in all living cells that regulates gene expression (i.e., which sections of the DNA “turn on” or “turn off”) and thus drives cellular function. A methylation site is a location on the genome where a methyl group, made up of one carbon atom and three hydrogen atoms, is attached to a cytosine base along the DNA strand. An abnormal methylation site is either hyper (normally not methylated but is then methylated) or hypo (normally methylated but is not then methylated). Hypermethylation can lead to silencing of tumor suppressor genes, transcription factors, and DNA repair mechanisms and therefore increase the likelihood of tumor formation. Hypomethylation can lead to genomic instability and chromosomal rearrangements. Modifications in methylation patterns can result in changes in protein levels, which can trigger changes in cellular function and lead to disease, including cancer. For example, hypermethylation of the genome’s regulatory region that activates a tumor suppressor gene can turn off expression and lead to tumor growth. Additionally, because each cell type in the body has a unique methylation pattern, or “fingerprint,” evaluation of methylation patterns can enable the determination of a cancer signal origin.</w:t>
      </w:r>
    </w:p>
    <w:p>
      <w:pPr>
        <w:spacing w:after="0" w:line="17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Nucleic acids, including tumor DNA and its methylation patterns, can shed from cells into the bloodstream. Short DNA fragments in the blood are known as cfDNA and come from nearly all cell types in the body, including normal cells, diseased cells, cancerous cells, microbes such as parasites, bacteria, and viruses, and, in pregnant women, the placenta. The cfDNA fragments shed into the blood can be sequenced, and their exact sequences and methylation patterns can be used to identify disease and to determine the location from which they originated. When a person has cancer, the DNA from cancerous cells circulate as part of the blood plasma. Cancerous tumor DNA in the blood is specifically referred to as circulating tumor DNA (“ctDNA”).</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ability to sequence cfDNA from blood allows for a direct interrogation of methylation patterns that are shared by many types of cancer. To successfully develop cfDNA sequencing technology into an effective, highly-specific MCED test, we had to overcome a number of technical, biological, and clinical challenges. Due to the very small amount of ctDNA present in a blood sample, the sequencing assay must achieve a sufficiently</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480"/>
          </w:cols>
          <w:pgMar w:left="320" w:top="419" w:right="109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0"/>
        <w:spacing w:after="0" w:line="278" w:lineRule="auto"/>
        <w:rPr>
          <w:sz w:val="20"/>
          <w:szCs w:val="20"/>
          <w:color w:val="auto"/>
        </w:rPr>
      </w:pPr>
      <w:r>
        <w:rPr>
          <w:rFonts w:ascii="Times New Roman" w:cs="Times New Roman" w:eastAsia="Times New Roman" w:hAnsi="Times New Roman"/>
          <w:sz w:val="16"/>
          <w:szCs w:val="16"/>
          <w:color w:val="auto"/>
        </w:rPr>
        <w:t>LoD to capture signals that are derived from a tumor versus those from healthy cells in the body, and be able to distinguish this signal from noise in a population of asymptomatic individuals with other confounding conditions and circulating DNA from normal cells.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Proprietary Methylation Platform</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have developed a targeted methylation platform, comprising wet lab workflows and machine learning algorithms, to recognize a shared cancer signal by efficiently interrogating over one million methylation sites on DNA fragments found in blood. We leveraged our methylation platform to produce our first MCED test, Galleri.</w:t>
      </w:r>
    </w:p>
    <w:p>
      <w:pPr>
        <w:spacing w:after="0" w:line="157"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invested heavily to develop our methylation platform and have built what we believe is an unprecedented longitudinal dataset of high-quality, linked clinical and genomic data. Our proprietary wet lab procedures enable a rich retention of DNA signal in our bisulfite sequencing process, and are designed to optimize the processing of data and improve the quality of our assays. Investments in scalable data management infrastructure enable collection, management, and integration of data from our population-scale clinical program. Sophisticated machine learning algorithms efficiently analyze these extremely large data sets and differentiate cancer signal from technical and biological noise. Our algorithms learn from the growing aggregate data set over time and derive biological insights that we believe will enable both product improvements and new product development over time.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Unbiased Discovery Approach</w:t>
      </w:r>
    </w:p>
    <w:p>
      <w:pPr>
        <w:spacing w:after="0" w:line="106"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To identify the most effective way of detecting cancer signals in the blood, we took a comprehensive and unbiased discovery approach to evaluate multiple next-generation sequencing (“NGS”) prototype assays. We designed our CCGA study to characterize the range of genomic signals in the blood of people with and without cancer. Our goal was to develop and evaluate computational models to distinguish cancer cfDNA from non-cancer cfDNA and to develop machine learning algorithms to identify and localize the cancer signal within the body. Notably, the non-cancer participants included individuals with varied age, sex, ethnicity, cancer risk factors such as smoking status, and body mass index and comorbid conditions, increasing the generalizability of this study. This study led to the development, refinement, and clinical validation of our targeted methylation platform.</w:t>
      </w:r>
    </w:p>
    <w:p>
      <w:pPr>
        <w:spacing w:after="0" w:line="151"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developed multiple prototype assays to identify and measure a wide variety of cancer genome signals that are found in cfDNA. Our prototype assays used targeted sequencing to measure single nucleotide variants (“SNV”) and small variants to evaluate cancer-derived mutations (with and without white blood cell (“WBC”) noise removal); whole-genome (“WG”) sequencing to analyze somatic copy number alterations (“SCNA”) and fragment features such as length and endpoint; and whole-genome bisulfite sequencing (“WGBS”) to identify methylation patterns.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440"/>
          </w:cols>
          <w:pgMar w:left="320" w:top="418" w:right="11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firstLine="388"/>
        <w:spacing w:after="0" w:line="252" w:lineRule="auto"/>
        <w:rPr>
          <w:sz w:val="20"/>
          <w:szCs w:val="20"/>
          <w:color w:val="auto"/>
        </w:rPr>
      </w:pPr>
      <w:r>
        <w:rPr>
          <w:rFonts w:ascii="Times New Roman" w:cs="Times New Roman" w:eastAsia="Times New Roman" w:hAnsi="Times New Roman"/>
          <w:sz w:val="16"/>
          <w:szCs w:val="16"/>
          <w:color w:val="auto"/>
        </w:rPr>
        <w:t>We demonstrated that a WGBS approach to characterizing methylation patterns performed as well or better than the other approaches we tested, either as standalone or in combination, and showed the most potential for further optimization. We found that the methylation signatures were shared across more than 50 cancer types. Additionally, the methylation assay performed better to determine the cancer signal origin. After comprehensive analysis of whole-genome methylation patterns, we discovered highly informative and low noise methylation regions for cancer signal detection and localization. Based on these results, a more efficient version of our methylation technology was advanced into further development, using a targeted methylation approach that had superior performance and lower costs compared to WGBS methylation. The graphic below shows that our targeted methylation assay had a LoD of approximately 100 parts per million (“PPM”) which is significantly lower than other NGS approaches we assessed. LoD is the tumor fraction (or the estimated fraction of tumor genomes in a cfDNA sample) at which the probability of detecting the cancer is at least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130810</wp:posOffset>
            </wp:positionV>
            <wp:extent cx="4488815" cy="31737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488815" cy="317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0" w:firstLine="388"/>
        <w:spacing w:after="0" w:line="259" w:lineRule="auto"/>
        <w:rPr>
          <w:sz w:val="20"/>
          <w:szCs w:val="20"/>
          <w:color w:val="auto"/>
        </w:rPr>
      </w:pPr>
      <w:r>
        <w:rPr>
          <w:rFonts w:ascii="Times New Roman" w:cs="Times New Roman" w:eastAsia="Times New Roman" w:hAnsi="Times New Roman"/>
          <w:sz w:val="16"/>
          <w:szCs w:val="16"/>
          <w:color w:val="auto"/>
        </w:rPr>
        <w:t>We believe the performance advantage of ctDNA methylation is largely due to its biological characteristics, which make it more robust at the low signal-to-noise ratios inherent in cfDNA. In contrast to typical cancer mutations that only affect a handful of genomic locations, there are nearly</w:t>
      </w:r>
    </w:p>
    <w:p>
      <w:pPr>
        <w:spacing w:after="0" w:line="1" w:lineRule="exact"/>
        <w:rPr>
          <w:sz w:val="20"/>
          <w:szCs w:val="20"/>
          <w:color w:val="auto"/>
        </w:rPr>
      </w:pPr>
    </w:p>
    <w:p>
      <w:pPr>
        <w:jc w:val="both"/>
        <w:ind w:left="760" w:right="160"/>
        <w:spacing w:after="0" w:line="252" w:lineRule="auto"/>
        <w:rPr>
          <w:sz w:val="20"/>
          <w:szCs w:val="20"/>
          <w:color w:val="auto"/>
        </w:rPr>
      </w:pPr>
      <w:r>
        <w:rPr>
          <w:rFonts w:ascii="Times New Roman" w:cs="Times New Roman" w:eastAsia="Times New Roman" w:hAnsi="Times New Roman"/>
          <w:sz w:val="16"/>
          <w:szCs w:val="16"/>
          <w:color w:val="auto"/>
        </w:rPr>
        <w:t xml:space="preserve">30 million methylation sites across the human genome, making them a ubiquitous and rich signal for detecting cancer. When localizing cancer signal origin, methylation signals inherently reflect tissue differentiation and malignant cancer states which makes them significantly more informative than other approaches we tested. Data describing our CCGA discovery approach was published in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in 2022.</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400"/>
          </w:cols>
          <w:pgMar w:left="320" w:top="419" w:right="117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Methylation-based Platform is Highly-Differentiated – Technology Advantages and Validated Performance</w:t>
      </w:r>
    </w:p>
    <w:p>
      <w:pPr>
        <w:spacing w:after="0" w:line="106" w:lineRule="exact"/>
        <w:rPr>
          <w:sz w:val="20"/>
          <w:szCs w:val="20"/>
          <w:color w:val="auto"/>
        </w:rPr>
      </w:pPr>
    </w:p>
    <w:p>
      <w:pPr>
        <w:ind w:left="760" w:right="180" w:firstLine="388"/>
        <w:spacing w:after="0" w:line="253" w:lineRule="auto"/>
        <w:rPr>
          <w:sz w:val="20"/>
          <w:szCs w:val="20"/>
          <w:color w:val="auto"/>
        </w:rPr>
      </w:pPr>
      <w:r>
        <w:rPr>
          <w:rFonts w:ascii="Times New Roman" w:cs="Times New Roman" w:eastAsia="Times New Roman" w:hAnsi="Times New Roman"/>
          <w:sz w:val="16"/>
          <w:szCs w:val="16"/>
          <w:color w:val="auto"/>
        </w:rPr>
        <w:t>We believe our targeted methylation approach is differentiated from other blood-based detection technologies. Whole-genome methylation from cfDNA used in our prototype MCED test performed strongly with respect to cancer signal detection and cancer signal origin prediction, without requiring additional sequencing to correct for the high background noise due to DNA from WBCs. Importantly, subsequent technology improvements led to our development of the targeted methylation approach that has superior performance and lower costs compared to whole-genome methylation. These performance improvements (specificity, sensitivity, and cancer signal origin prediction accuracy) were recently reported in large-scale clinical validations studies, CCGA and PATHFINDER, which supported the commercial launch of Galleri. We continue to learn from our clinical studies and apply these learnings to our methylation platform.</w:t>
      </w:r>
    </w:p>
    <w:p>
      <w:pPr>
        <w:spacing w:after="0" w:line="1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our studies, methylation outperformed WGS and targeted sequencing in cancer detection and cancer signal origin for a number of reasons. First, methylation is more pervasive compared with the mutation sites typically interrogated in traditional liquid biopsy approaches. Our targeted methylation approach interrogates approximately one million informative sites of cytosine and guanine separated by a phosphate group (“CpG sites”) out of the roughly 30 million CpG sites across the genome. We identified these 1 million CpG sites as the most informative regions for cancer signal detection and cancer signal origin prediction. This allows deeper sequencing of those informative regions compared with WGBS and may overcome expected cost and efficiency limitations of WGS or WGBS approaches. Second, although WGS detected cancer at high tumor fractions, it had a worse limit of detection than a methylation-based approach. Targeted sequencing for mutation detection was also subject to highly prevalent mutations present in individuals due to other biological processes and aging. As such, unlike methylation, targeted sequencing required concurrent WBC sequencing to achieve strong performance. Finally, epigenetic signals inherently reflect tissue differentiation and malignant cancer states; this likely contributes to the strong cancer detection and cancer signal origin classification. Importantly, we found there was little to no value in combining approaches to improve clinical LoD or sensitivity above WGBS.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Clinical Studies</w:t>
      </w:r>
    </w:p>
    <w:p>
      <w:pPr>
        <w:spacing w:after="0" w:line="104"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We have built what we believe is one of the largest clinical programs in genomic medicine, which has generated what we believe is an unprecedented longitudinal dataset of high-quality, linked clinical and genomic data. To date, we have enrolled more than 300,000 participants in numerous population-scale, prospective, multi-center clinical studies, with more than 21,000 of these participants included in the studies that supported the development and launch of Galleri, and over 165,000 individuals enrolled in interventional studies (NHS Galleri and PATHFINDER 2) to support our PMA submission. Additionally, we announced plans for a 100,000 individual real world study in the Medicare population. Our studies have supported the development of our methylation platform, Galleri, and are facilitating the development of DAC. These foundational population-scale studies involve partnerships with numerous leading academic and cancer institutions and large community networks.</w:t>
      </w:r>
    </w:p>
    <w:p>
      <w:pPr>
        <w:spacing w:after="0" w:line="166" w:lineRule="exact"/>
        <w:rPr>
          <w:sz w:val="20"/>
          <w:szCs w:val="20"/>
          <w:color w:val="auto"/>
        </w:rPr>
      </w:pPr>
    </w:p>
    <w:p>
      <w:pPr>
        <w:ind w:left="760" w:right="160" w:firstLine="388"/>
        <w:spacing w:after="0" w:line="254" w:lineRule="auto"/>
        <w:rPr>
          <w:sz w:val="20"/>
          <w:szCs w:val="20"/>
          <w:color w:val="auto"/>
        </w:rPr>
      </w:pPr>
      <w:r>
        <w:rPr>
          <w:rFonts w:ascii="Times New Roman" w:cs="Times New Roman" w:eastAsia="Times New Roman" w:hAnsi="Times New Roman"/>
          <w:sz w:val="16"/>
          <w:szCs w:val="16"/>
          <w:color w:val="auto"/>
        </w:rPr>
        <w:t>Our studies include the collection of blood and, as available and as directed by the protocol, tissue samples, demographic data, patient-reported outcomes data, and clinical data from participants. Clinical information, demographics, and medical data relevant to cancer status are collected from participants at time of enrollment and at regular intervals during a follow-up period. We integrate this information with the genomic data created from sequencing the samples and utilize these data to both train and validate our early cancer detection tests. Importantly, these are longitudinal studies and, in many cases, participant medical data will continue accruing for a number of years, facilitating analyses of longer-term outcomes, and further performance improvements of our products.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480"/>
          </w:cols>
          <w:pgMar w:left="320" w:top="419" w:right="109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clinical studies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2066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488815"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right="40" w:firstLine="388"/>
        <w:spacing w:after="0" w:line="270" w:lineRule="auto"/>
        <w:rPr>
          <w:sz w:val="20"/>
          <w:szCs w:val="20"/>
          <w:color w:val="auto"/>
        </w:rPr>
      </w:pPr>
      <w:r>
        <w:rPr>
          <w:rFonts w:ascii="Times New Roman" w:cs="Times New Roman" w:eastAsia="Times New Roman" w:hAnsi="Times New Roman"/>
          <w:sz w:val="15"/>
          <w:szCs w:val="15"/>
          <w:color w:val="auto"/>
        </w:rPr>
        <w:t>We were the first to invest in and initiate multiple, large clinical validation studies for multi-cancer early detection. Results from PATHFINDER, our first completed return-of-results study, provided critical data to support launch of Galleri and understand how clinicians implement Galleri into care pathways in clinical practice. We have completed enrollment in five additional studies: NHS-Galleri, Circulating Cell-free Genome Atlas (“CCGA”), SUMMIT, STRIVE, and SYMPLIFY. We are actively enrolling two studies: PATHFINDER 2 and REFLECTION, and will begin enrollment in our</w:t>
      </w:r>
    </w:p>
    <w:p>
      <w:pPr>
        <w:spacing w:after="0" w:line="2" w:lineRule="exact"/>
        <w:rPr>
          <w:sz w:val="20"/>
          <w:szCs w:val="20"/>
          <w:color w:val="auto"/>
        </w:rPr>
      </w:pPr>
    </w:p>
    <w:p>
      <w:pPr>
        <w:ind w:left="760"/>
        <w:spacing w:after="0"/>
        <w:tabs>
          <w:tab w:leader="none" w:pos="3040" w:val="left"/>
        </w:tabs>
        <w:rPr>
          <w:sz w:val="20"/>
          <w:szCs w:val="20"/>
          <w:color w:val="auto"/>
        </w:rPr>
      </w:pPr>
      <w:r>
        <w:rPr>
          <w:rFonts w:ascii="Times New Roman" w:cs="Times New Roman" w:eastAsia="Times New Roman" w:hAnsi="Times New Roman"/>
          <w:sz w:val="16"/>
          <w:szCs w:val="16"/>
          <w:color w:val="auto"/>
        </w:rPr>
        <w:t>Galleri-Medicare Study in</w:t>
      </w:r>
      <w:r>
        <w:rPr>
          <w:sz w:val="20"/>
          <w:szCs w:val="20"/>
          <w:color w:val="auto"/>
        </w:rPr>
        <w:tab/>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 xml:space="preserve">We have presented data and published results from our clinical studies in leading forums, including multiple major medical conferences, such as AACR, ASCO, and ESMO, and leading journals, such as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Data from our studies is expected to support regulatory filings as we pursue PMA approval.</w:t>
      </w:r>
    </w:p>
    <w:p>
      <w:pPr>
        <w:spacing w:after="0" w:line="157"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Importantly, our clinical program was designed to enable test development for a diverse population, and enrollment was managed to enable diversity across multiple characteristics including diversity in behaviors (such as smoking), non-cancer diseases, environmental exposures, age, gender, race, ethnicity, socio-economic status, and other confounding indications and differences. Understanding and cataloging this diversity has enabled us to develop tests with high-specificity, cancer signal detection across many cancer types, and accurate cancer signal origin prediction. Long-term follow-up in the studies we have launched in years past will continue to yield critical data that we believe can help define the standard of care in early cancer detection.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NHS-Galleri</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2020, NHS England selected us to assist with the United Kingdom’s ambitions for early cancer detection and to assess Galleri for potential population screening on a national scale. In 2021, we initiated the NHS-Galleri Trial, a fully enrolled prospective randomized controlled clinical utility trial of approximately 140,000 participants between the ages of 50 and 77 at the time of enrollment, to evaluate the implementation of Galleri alongside the existing NHS standard of care screenings. The NHS-Galleri Trial is being conducted pursuant to an FDA-approved investigational device exemption (“IDE”) application. The primary objective of the trial is to assess whether implementation of Galleri can reduce the incidence of late-stage cancers through early cancer detection. Secondary objectives include collecting outcomes reported by participants with a cancer signal detected test over several timepoints. These outcomes include an assessment of participants’ anxiety, satisfaction</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440"/>
          </w:cols>
          <w:pgMar w:left="320" w:top="419" w:right="11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6" w:lineRule="auto"/>
        <w:rPr>
          <w:sz w:val="20"/>
          <w:szCs w:val="20"/>
          <w:color w:val="auto"/>
        </w:rPr>
      </w:pPr>
      <w:r>
        <w:rPr>
          <w:rFonts w:ascii="Times New Roman" w:cs="Times New Roman" w:eastAsia="Times New Roman" w:hAnsi="Times New Roman"/>
          <w:sz w:val="15"/>
          <w:szCs w:val="15"/>
          <w:color w:val="auto"/>
        </w:rPr>
        <w:t>with Galleri, and attitudes regarding standard of care screening. The trial aimed to enroll a representative population sample to promote health equity and was fully enrolled in just over 10 months. Results of an early analysis from the first screening test (the prevalent screening round) representing one</w:t>
      </w:r>
    </w:p>
    <w:p>
      <w:pPr>
        <w:spacing w:after="0" w:line="1"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year of results out of the three-year trial period are expected to be reviewed by the NHS in , and final results from the trial are expected to be available in . We seek to use data from the NHS-Galleri Trial, together with data from our PATHFINDER 2 study, as well as supplemental data from other clinical studies, to support our planned PMA submission for Galleri in the United States.</w:t>
      </w:r>
    </w:p>
    <w:p>
      <w:pPr>
        <w:spacing w:after="0" w:line="165"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The trial is designed for participants to provide three blood draws over a two-year period, with the first draw taken at enrollment. As a randomized controlled trial, half of the trial participants will receive the Galleri test, and half will have their blood sample stored for future analysis. Any participant in the interventional arm with a cancer signal detected result will be sent for further diagnostic workup with the NHS. All other participants and their physicians remain blinded as to which arm of the study they are in. The second round of blood draws was completed in July 2023, with over 91% retention of participants from the first round. The final round of blood draws commenced in September 2023 and is expected to conclude in July 2024.</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NHS-Galleri Trial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8340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488815" cy="283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 2</w:t>
      </w:r>
    </w:p>
    <w:p>
      <w:pPr>
        <w:spacing w:after="0" w:line="106"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PATHFINDER 2 is a prospective, multi-center, interventional study evaluating the safety and performance of Galleri in a population of individuals aged 50 years and older who are eligible for guideline-recommended cancer screening in the United States. We began enrolling PATHFINDER 2 in December 2021, and the study is expected to enroll approximately 35,000 participants at up to 40 clinical institutions in North America. PATHFINDER 2 is being conducted pursuant to an FDA-approved IDE application. The primary objectives of the study are to evaluate the safety of Galleri based on the number and type of diagnostic procedures performed in participants who receive a cancer signal detected but do not receive a cancer diagnosis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false positive) and to evaluate the performance of Galleri across various measures, including PPV, NPV, sensitivity, specificity, and</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460"/>
          </w:cols>
          <w:pgMar w:left="320" w:top="419" w:right="111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70" w:lineRule="auto"/>
        <w:rPr>
          <w:sz w:val="20"/>
          <w:szCs w:val="20"/>
          <w:color w:val="auto"/>
        </w:rPr>
      </w:pPr>
      <w:r>
        <w:rPr>
          <w:rFonts w:ascii="Times New Roman" w:cs="Times New Roman" w:eastAsia="Times New Roman" w:hAnsi="Times New Roman"/>
          <w:sz w:val="15"/>
          <w:szCs w:val="15"/>
          <w:color w:val="auto"/>
        </w:rPr>
        <w:t>cancer signal origin prediction accuracy, among others. Participants who receive a cancer signal detected result undergo additional diagnostic testing based on the predicted cancer signal origin to confirm if the participant does in fact have cancer. Secondary objectives include, among others, collecting outcomes reported by participants over several timepoints, including an assessment of participants’ anxiety, satisfaction with Galleri, and attitudes regarding standard of care screening. Timepoints for collection will include baseline measurement prior to testing, post-results, and post-diagnostic</w:t>
      </w:r>
    </w:p>
    <w:p>
      <w:pPr>
        <w:spacing w:after="0" w:line="2" w:lineRule="exact"/>
        <w:rPr>
          <w:sz w:val="20"/>
          <w:szCs w:val="20"/>
          <w:color w:val="auto"/>
        </w:rPr>
      </w:pPr>
    </w:p>
    <w:p>
      <w:pPr>
        <w:ind w:left="760" w:right="140"/>
        <w:spacing w:after="0" w:line="252" w:lineRule="auto"/>
        <w:rPr>
          <w:sz w:val="20"/>
          <w:szCs w:val="20"/>
          <w:color w:val="auto"/>
        </w:rPr>
      </w:pPr>
      <w:r>
        <w:rPr>
          <w:rFonts w:ascii="Times New Roman" w:cs="Times New Roman" w:eastAsia="Times New Roman" w:hAnsi="Times New Roman"/>
          <w:sz w:val="16"/>
          <w:szCs w:val="16"/>
          <w:color w:val="auto"/>
        </w:rPr>
        <w:t>resolution for positive test results. Interim results from the study are expected to be announced in . We seek to use data from the PATHFINDER 2 study, together with data from the NHS-Galleri Trial, as well as supplemental data from other clinical studies, to support our planned PMA submission for Galleri in the United States.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2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7127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488815" cy="271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w:t>
      </w:r>
    </w:p>
    <w:p>
      <w:pPr>
        <w:spacing w:after="0" w:line="106"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 xml:space="preserve">In December 2019, we initiated PATHFINDER, a prospective, multi-center, interventional study evaluating an earlier version of Galleri in clinical practice. The study enrolled 6,662 participants across several health systems in the United States, and evaluated the safety and performance of this earlier version of Galleri in a population of individuals aged 50 years and older divided into two cohorts: participants with elevated cancer risk and participants with non-elevated cancer risk. PATHFINDER was our first study that returned test results to physicians and participants, and evaluated how these test results affected diagnostic and care pathways in a screening population. PATHFINDER was conducted pursuant to an FDA-approved IDE application involving an earlier version of Galleri. Over the course of the study, we made refinements to the test to reduce the detection of pre-malignant hematologic conditions, which are relatively common. Results for the study are reported for both the earlier and refined versions of the test. Initial results from the PATHFINDER study were presented at ESMO in 2022, and full results were published in </w:t>
      </w:r>
      <w:r>
        <w:rPr>
          <w:rFonts w:ascii="Times New Roman" w:cs="Times New Roman" w:eastAsia="Times New Roman" w:hAnsi="Times New Roman"/>
          <w:sz w:val="15"/>
          <w:szCs w:val="15"/>
          <w:i w:val="1"/>
          <w:iCs w:val="1"/>
          <w:color w:val="auto"/>
        </w:rPr>
        <w:t>The Lancet</w:t>
      </w:r>
      <w:r>
        <w:rPr>
          <w:rFonts w:ascii="Times New Roman" w:cs="Times New Roman" w:eastAsia="Times New Roman" w:hAnsi="Times New Roman"/>
          <w:sz w:val="15"/>
          <w:szCs w:val="15"/>
          <w:color w:val="auto"/>
        </w:rPr>
        <w:t xml:space="preserve"> in October 2023. These data, in conjunction with the results from our CCGA study, supported our launch of Galleri as a laboratory developed test (“LDT”) in the United States.</w:t>
      </w:r>
    </w:p>
    <w:p>
      <w:pPr>
        <w:spacing w:after="0" w:line="158"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In the study, when added to current standard of care screening, Galleri more than doubled the number of cancers detected from screening. Study results showed that 71% (25/35) of participants that received a cancer</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440"/>
          </w:cols>
          <w:pgMar w:left="320" w:top="419" w:right="11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63" w:lineRule="auto"/>
        <w:rPr>
          <w:sz w:val="20"/>
          <w:szCs w:val="20"/>
          <w:color w:val="auto"/>
        </w:rPr>
      </w:pPr>
      <w:r>
        <w:rPr>
          <w:rFonts w:ascii="Times New Roman" w:cs="Times New Roman" w:eastAsia="Times New Roman" w:hAnsi="Times New Roman"/>
          <w:sz w:val="16"/>
          <w:szCs w:val="16"/>
          <w:color w:val="auto"/>
        </w:rPr>
        <w:t>signal detected from our MCED test result had types of cancer detected that have no routine cancer screening available. Among participants who received a cancer signal detected result and had a confirmed new cancer diagnosis (true positive), nearly half (48%) of the non-recurrent cancers were detected at an early stage (Stage I or II).</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For patients with a cancer signal detected result, the predicted cancer signal origin directed diagnostic workups and helped to resolve cancer diagnosis in less than three months (median 79 days) for most participants (73%), and in less than two months (57 days) for patients with true positive results. As expected, the median time to diagnostic resolution was longer for false positive results (162 days), with 44% of these participants scheduling follow-up imaging or procedures three or more months later, contributing to the longer time to resolution. Notably, approximately 80% of participants with a cancer signal detected result achieved a diagnostic resolution based on the first cancer signal origin-directed workup. This group of 32 participants consisted of only those who received a cancer signal detected result from both Galleri and an earlier version of our MCED test also being studied in PATHFINDER.</w:t>
      </w:r>
    </w:p>
    <w:p>
      <w:pPr>
        <w:spacing w:after="0" w:line="166"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Study results with the earlier version of the test showed a high PPV of approximately 38%, high cancer signal origin prediction accuracy of approximately 97%, and the test detected 36 cancer cases in 35 patients out of 6,621 participants with analyzable results. A pre-specified retrospective re-analysis of samples with the refined version of the test showed a higher PPV of approximately 43%, which is consistent with our CCGA study, and high cancer signal origin prediction accuracy of approximately 88%. Specificity was 99.1% with the earlier version of the test and 99.5% with the refined version of the test, resulting in a false positive rate of less than 1% for both versions of the test.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4860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48881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Circulating Cell-free Genome Atlas Study</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CCGA is our foundational observational, case-controlled study with planned five years of longitudinal follow-up. The study was used to discover, train, and validate Galleri, and was used alongside the SYMPLIFY study to analyze performance in the symptomatic patient population to support our DAC offering. The CCGA</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420"/>
          </w:cols>
          <w:pgMar w:left="320" w:top="419" w:right="115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study enrolled 15,254 participants, 56% of which had newly diagnosed cancer, inclusive of both early- and late-stage disease, and 44% of which did not have a known cancer diagnosis at the time of enrollment. We completed enrollment of our CCGA study in February 2019, and follow-up with participants is ongoing and expected to continue until 2024. The results of CCGA, in conjunction with the results from our PATHFINDER study, supported our launch of Galleri as an LDT in the United States.</w:t>
      </w:r>
    </w:p>
    <w:p>
      <w:pPr>
        <w:spacing w:after="0" w:line="161"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 goals of CCGA included the development and evaluation of classifiers to distinguish cancer cfDNA from non-cancer cfDNA and the identification of classifiers for the cfDNA prediction of cancer signal origin. By enrolling people with and without cancer, we are able to characterize cfDNA profiles by tumor type and tumor stage in participants with cancer, and can compare these signals to participants without cancer. In addition, understanding the signals associated with population diversity is important to our ability to account for biological noise and develop high-specificity tests. For example, our machine learning algorithms are trained to distinguish patterns of cancer from technical and biological noise, which is necessary to distinguish cancer cfDNA from other cfDNA signals that are indicative of non-cancerous conditions but that may be confused with a cancer signal. As a result, we enrolled participants with confounding indications across broad populations, and individuals with varied age, sex, cancer risk factors such as smoking status, body mass index and comorbid conditions, to increase the generalizability of this population.</w:t>
      </w:r>
    </w:p>
    <w:p>
      <w:pPr>
        <w:spacing w:after="0" w:line="168"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evaluated data from the CCGA study in three pre-specified sub-studies, each as described in more detail below. The design of our CCGA study, including the three pre-specified sub-studies,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117475</wp:posOffset>
            </wp:positionV>
            <wp:extent cx="4488815" cy="276542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488815" cy="276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CCGA-1</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In CCGA-1, our first CCGA sub-study of approximately 2,800 participants, we investigated various comprehensive cfDNA-based approaches for the detection of cancer signals and the prediction of the cancer signal origin, including through targeted sequencing to analyze single nucleotide variants and small insertions and deletions; WGS to analyze copy number variations, fragment lengths, fragment endpoints, and allelic</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0420"/>
          </w:cols>
          <w:pgMar w:left="320" w:top="419" w:right="11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73" w:lineRule="auto"/>
        <w:rPr>
          <w:sz w:val="20"/>
          <w:szCs w:val="20"/>
          <w:color w:val="auto"/>
        </w:rPr>
      </w:pPr>
      <w:r>
        <w:rPr>
          <w:rFonts w:ascii="Times New Roman" w:cs="Times New Roman" w:eastAsia="Times New Roman" w:hAnsi="Times New Roman"/>
          <w:sz w:val="15"/>
          <w:szCs w:val="15"/>
          <w:color w:val="auto"/>
        </w:rPr>
        <w:t xml:space="preserve">imbalance; and WGBS to analyze methylation patterns. The data demonstrated that WGBS (the methylation-based assay studied) performed as well or better than the other prototype assays we tested, either alone or in combination, at both cancer signal detection and cancer signal origin prediction. After comprehensive analysis of these whole-genome methylation patterns, we discovered highly informative and low-noise methylation regions for cancer signal detection and cancer signal origin prediction, suggesting that the methylation-based assay also had the most room for efficiency improvements. Based on these results, our methylation technology was advanced into further development, ultimately resulting in a targeted methylation approach that had superior performance and lower costs compared to whole-genome methylation. Data from this sub-study were shared in several oral and poster presentations at multiple major medical conferences, including at AACR, ASCO, and ESMO, and were published in </w:t>
      </w:r>
      <w:r>
        <w:rPr>
          <w:rFonts w:ascii="Times New Roman" w:cs="Times New Roman" w:eastAsia="Times New Roman" w:hAnsi="Times New Roman"/>
          <w:sz w:val="15"/>
          <w:szCs w:val="15"/>
          <w:i w:val="1"/>
          <w:iCs w:val="1"/>
          <w:color w:val="auto"/>
        </w:rPr>
        <w:t>Cancer Cell</w:t>
      </w:r>
      <w:r>
        <w:rPr>
          <w:rFonts w:ascii="Times New Roman" w:cs="Times New Roman" w:eastAsia="Times New Roman" w:hAnsi="Times New Roman"/>
          <w:sz w:val="15"/>
          <w:szCs w:val="15"/>
          <w:color w:val="auto"/>
        </w:rPr>
        <w:t>.</w:t>
      </w: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CCGA-2</w:t>
      </w:r>
    </w:p>
    <w:p>
      <w:pPr>
        <w:spacing w:after="0" w:line="106"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primary objective of the CCGA-2 sub-study was to train and validate a classifier for cancer detection versus non-cancer detection, and cancer signal origin prediction, utilizing our targeted methylation assay. This pre-specified sub-study included approximately 6,700 total participants across training and validation sets, with 4,487 participants from CCGA and 2,202 from STRIVE. Of the total participants, 2,482 participants had previously untreated cancers and 4,207 participants did not have cancer. More than 50 types of cancer across all clinical stages were represented.</w:t>
      </w:r>
    </w:p>
    <w:p>
      <w:pPr>
        <w:spacing w:after="0" w:line="159"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from the CCGA-2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March 2020 (and reflected on the cover) and demonstrated that Galleri could detect a shared cancer signal across more than 50 different types of cancer, including many types of cancer that do not have recommended screenings, from a simple blood draw with very high specificity. Data was evaluated in both training and test sets, and performance was comparable across the two analyses. At greater than 99% specificity, Stage I-III sensitivity for a pre-specified set of 12 deadly types of cancer, which together account for approximately 63% of cancer deaths in the United States annually, was approximately 67% and for all cancers was approximately 55%. The cancer signal origin prediction was correct in more than 90%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CCGA-3</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CCGA-3, our third CCGA sub-study, was designed to further validate a version of the MCED test refined for use as a screening tool (Galleri) in a large cohort of participants with and without cancer. This pre-specified sub-study included 4,077 participants in an independent validation set (2,823 had cancer and 1,254 did not have cancer). Specificity, sensitivity, and cancer signal origin prediction accuracy were measured.</w:t>
      </w:r>
    </w:p>
    <w:p>
      <w:pPr>
        <w:spacing w:after="0" w:line="15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of the CCGA-3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June of 2021, and confirmed that Galleri detects a shared cancer signal across more than 50 different types of cancer. Specificity for cancer signal detection was 99.5%. Stage I-III sensitivity for a pre-specified set of 12 deadly types of cancer, which together account for approximately 63% of cancer deaths in the United States annually, was approximately 68% and for all cancers was approximately 41%. The overall sensitivity for cancer signal detection was 52%. As expected, and as previously observed, sensitivity increased with stage (stage I: 16.8%, stage II: 40.4%, stage III: 77.0%, stage IV: 90.1%). The cancer signal origin prediction was correct in approximately 89%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STRIVE</w:t>
      </w:r>
    </w:p>
    <w:p>
      <w:pPr>
        <w:spacing w:after="0" w:line="106"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STRIVE is a prospective, observational, longitudinal cohort study in the United States that enrolled 99,481 women without a known cancer at the time of enrollment. Samples from a subset of women will be used to help further validate Galleri in an asymptomatic and intended use population. This study was initiated in February 2017 and completed enrollment in November 2018. Each participant had a blood draw at the time of their regular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460"/>
          </w:cols>
          <w:pgMar w:left="320" w:top="419" w:right="111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6"/>
          <w:szCs w:val="16"/>
          <w:color w:val="auto"/>
        </w:rPr>
        <w:t>screening mammogram. Participants diagnosed with any type of cancer had additional blood draws. Participants were followed for 30 months and thereafter, if they developed cancer, through state and national cancer registries. We collected demographic information, such as age, race, and ethnicity, in addition to clinical information, such as cancer diagnoses, treatment, cancer-specific mortality, and overall survival. We utilized 2,202 samples for validation of an earlier version of Galleri and used 4,891 samples in a training set to support the version of Galleri we launched as an LDT. We have not used other samples to analyze or validate performance in an asymptomatic and intended use population to date, and thus we have not reported any interim findings or results from STRIVE.</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SUMMIT</w:t>
      </w:r>
    </w:p>
    <w:p>
      <w:pPr>
        <w:spacing w:after="0" w:line="106"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SUMMIT is a prospective, observational, longitudinal cohort study that is being conducted in and around London, United Kingdom. The study is designed to further validate Galleri as an MCED test, including for lung and other smoking-related cancers, and to assess the feasibility of low-dose computed tomography (“LDCT”) lung cancer screening in the United Kingdom. The study enrolled 13,035 men and women between the ages of 50 and 77 who did not have a cancer diagnosis at the time of enrollment. Participants in the study are individuals at high risk for lung cancer due to significant smoking history based on validated risk scores. Participants provided three serial (annual) blood draws and are being followed annually for three years and then for a further five years through national health registries as well as medical records. The primary objective is to measure cancer incidence, which will be used to assess the test performance for sensitivity, specificity, PPV, and NPV.</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Our SUMMIT study may also demonstrate the utility of MCED testing in a high-risk population by comparing performance of Galleri in detecting</w:t>
      </w:r>
    </w:p>
    <w:p>
      <w:pPr>
        <w:spacing w:after="0" w:line="35" w:lineRule="exact"/>
        <w:rPr>
          <w:sz w:val="20"/>
          <w:szCs w:val="20"/>
          <w:color w:val="auto"/>
        </w:rPr>
      </w:pPr>
    </w:p>
    <w:p>
      <w:pPr>
        <w:ind w:left="760"/>
        <w:spacing w:after="0"/>
        <w:tabs>
          <w:tab w:leader="none" w:pos="9020" w:val="left"/>
        </w:tabs>
        <w:rPr>
          <w:sz w:val="20"/>
          <w:szCs w:val="20"/>
          <w:color w:val="auto"/>
        </w:rPr>
      </w:pPr>
      <w:r>
        <w:rPr>
          <w:rFonts w:ascii="Times New Roman" w:cs="Times New Roman" w:eastAsia="Times New Roman" w:hAnsi="Times New Roman"/>
          <w:sz w:val="16"/>
          <w:szCs w:val="16"/>
          <w:color w:val="auto"/>
        </w:rPr>
        <w:t>lung and other smoking-related cancers to that of LDCT. We expect to report interim results from the SUMMIT study in</w:t>
      </w:r>
      <w:r>
        <w:rPr>
          <w:sz w:val="20"/>
          <w:szCs w:val="20"/>
          <w:color w:val="auto"/>
        </w:rPr>
        <w:tab/>
      </w:r>
      <w:r>
        <w:rPr>
          <w:rFonts w:ascii="Times New Roman" w:cs="Times New Roman" w:eastAsia="Times New Roman" w:hAnsi="Times New Roman"/>
          <w:sz w:val="16"/>
          <w:szCs w:val="16"/>
          <w:color w:val="auto"/>
        </w:rPr>
        <w:t>.</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REFLECTION</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REFLECTION is a multi-center, prospective, observational cohort study of patients administered Galleri as part of their medical care in a real-world setting in the United States that will enroll approximately 17,000 individuals. The purpose of the study is to evaluate and understand the real-world experience with Galleri in clinical settings. The objectives of the study are to describe cancer signal detection and cancer signal origin prediction within and across sites among participants who opt to receive Galleri in a real-world setting, to assess the feasibility and acceptability of Galleri from the perspective of participants and patient-reported outcomes, and to assess healthcare resource utilization associated with diagnostic workups for participants that receive a cancer signal detected result.</w:t>
      </w:r>
    </w:p>
    <w:p>
      <w:pPr>
        <w:spacing w:after="0" w:line="165"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We began enrolling the REFLECTION study August 2021 and enrollment is ongoing at all sites. We expect that data will be generated over time as enrollment increases across sites.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480"/>
          </w:cols>
          <w:pgMar w:left="320" w:top="418" w:right="109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REFLECTION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0326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4888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SYMPLIFY</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SYMPLIFY evaluated the performance of MCED in symptomatic patients in the United Kingdom that were referred from the primary care setting due to clinical suspicion of cancer. This patient population represents a distinct patient population from Galleri’s targeted asymptomatic screening population. The SYMPLIFY study enrolled 6,238 participants aged 18 years and older in England and Wales. Participants were referred for urgent imaging, endoscopy or other diagnostic modalities to investigate symptoms suspicious for possible gynecological, lung, lower GI or upper GI cancer, or who presented with non-specific symptoms. The most commonly reported symptoms leading to referral were unexpected weight loss (24.1%), change in bowel habit (22.0%), post-menopausal bleeding (16.0%), rectal bleeding (15.7%), abdominal pain (14.5%), pain (10.6%), difficulty swallowing (8.8%), and anemia (7.1%). In the study, the MCED test’s cancer signal detected and cancer signal origin prediction results were compared with diagnoses results obtained through standard of care pathways. Data from the study demonstrated strong performance in this symptomatic population, and supported the feasibility of using an MCED test to assist clinicians with decisions regarding referrals from primary care. Data from the SYMPLIFY study were presented at ASCO in 2023 (in a podium presentation) and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and we are using the results to support the development and launch of DAC.</w:t>
      </w:r>
    </w:p>
    <w:p>
      <w:pPr>
        <w:spacing w:after="0" w:line="168"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study, 368 (6.7%) of the 5,461 evaluable patients were diagnosed with cancer through standard of care pathways. The most common cancer diagnoses were colorectal (37.2%), lung (22.0%), uterine (8.2%), oesophago-gastric (6.0%) and ovarian (3.8%). Our test detected a cancer signal in 323 participants, and cancer was diagnosed in 244 of these participants. The test demonstrated a high PPV of approximately 75%, NPV of approximately 98%, sensitivity of approximately 66%, specificity of approximately 98%, and cancer signal origin prediction accuracy of approximately 91%. Among participants in the study, 6.7% of enrolled participants were eventually diagnosed with cancer, having already been referred by their primary care physician for investigation.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460"/>
          </w:cols>
          <w:pgMar w:left="320" w:top="419" w:right="111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SYMPLIFY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18891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488815"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Commercialization</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Established Commercial Leadership in a Pre-Reimbursement Setting</w:t>
      </w:r>
    </w:p>
    <w:p>
      <w:pPr>
        <w:spacing w:after="0" w:line="106" w:lineRule="exact"/>
        <w:rPr>
          <w:sz w:val="20"/>
          <w:szCs w:val="20"/>
          <w:color w:val="auto"/>
        </w:rPr>
      </w:pPr>
    </w:p>
    <w:p>
      <w:pPr>
        <w:ind w:left="760" w:right="280" w:firstLine="388"/>
        <w:spacing w:after="0" w:line="254" w:lineRule="auto"/>
        <w:rPr>
          <w:sz w:val="20"/>
          <w:szCs w:val="20"/>
          <w:color w:val="auto"/>
        </w:rPr>
      </w:pPr>
      <w:r>
        <w:rPr>
          <w:rFonts w:ascii="Times New Roman" w:cs="Times New Roman" w:eastAsia="Times New Roman" w:hAnsi="Times New Roman"/>
          <w:sz w:val="16"/>
          <w:szCs w:val="16"/>
          <w:color w:val="auto"/>
        </w:rPr>
        <w:t>We launched Galleri in the United States in mid-2021. As of September 30, 2023, we have sold more than 125,000 commercial tests and established over 100 commercial partnerships, including leading healthcare systems, employers, payors, and life insurance providers. We have also established a network of over 8,000 prescribers in the pre-reimbursement setting, with prescribers in private practices across the United States. As of September 30, 2023, our commercial organization included 385 personnel supporting our multi-channel strategy. We continue to build the key components of our commercial infrastructure and capabilities that are required to support rapid, population-scale testing in a post-reimbursement environment.</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Strategy in the United States is Focused on Innovative Value-oriented Partnerships</w:t>
      </w:r>
    </w:p>
    <w:p>
      <w:pPr>
        <w:spacing w:after="0" w:line="106"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Our strong commercial adoption is underpinned by our ability to demonstrate clinical utility and economic value even before obtaining broad reimbursement coverage. We are driving adoption in the following key channels:</w:t>
      </w:r>
    </w:p>
    <w:p>
      <w:pPr>
        <w:spacing w:after="0" w:line="60" w:lineRule="exact"/>
        <w:rPr>
          <w:sz w:val="20"/>
          <w:szCs w:val="20"/>
          <w:color w:val="auto"/>
        </w:rPr>
      </w:pPr>
    </w:p>
    <w:p>
      <w:pPr>
        <w:ind w:left="1620" w:right="40" w:hanging="375"/>
        <w:spacing w:after="0" w:line="253" w:lineRule="auto"/>
        <w:tabs>
          <w:tab w:leader="none" w:pos="1620" w:val="left"/>
        </w:tabs>
        <w:numPr>
          <w:ilvl w:val="0"/>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Health systems</w:t>
      </w:r>
      <w:r>
        <w:rPr>
          <w:rFonts w:ascii="Times New Roman" w:cs="Times New Roman" w:eastAsia="Times New Roman" w:hAnsi="Times New Roman"/>
          <w:sz w:val="16"/>
          <w:szCs w:val="16"/>
          <w:color w:val="auto"/>
        </w:rPr>
        <w:t>. We have partnered with over 40 health systems as of September 30, 2023 that offer Galleri, typically as part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comprehensive screening program with patient and physician support services. We believe many of these health systems view Galleri as a key differentiating offering to patients. We have streamlined the implementation of Galleri for these partners, often connecting the health system’s electronic medical record system with our software systems. This bolsters our position as the partner of choice for establishing early cancer detection programs. Many health systems are investing in robust programs in population health management and precision medicine, of which Galleri is a key feature, and have developed novel care navigation pathways. With these novel pathways, a positive test result can result in patients being referred within the health system. We believe our experience with these partners will allow us to rapidly scale upon broad reimbursement for Galleri.</w:t>
      </w:r>
    </w:p>
    <w:p>
      <w:pPr>
        <w:spacing w:after="0" w:line="78" w:lineRule="exact"/>
        <w:rPr>
          <w:rFonts w:ascii="Times New Roman" w:cs="Times New Roman" w:eastAsia="Times New Roman" w:hAnsi="Times New Roman"/>
          <w:sz w:val="16"/>
          <w:szCs w:val="16"/>
          <w:color w:val="auto"/>
        </w:rPr>
      </w:pPr>
    </w:p>
    <w:p>
      <w:pPr>
        <w:ind w:left="1620" w:hanging="375"/>
        <w:spacing w:after="0" w:line="259" w:lineRule="auto"/>
        <w:tabs>
          <w:tab w:leader="none" w:pos="1620" w:val="left"/>
        </w:tabs>
        <w:numPr>
          <w:ilvl w:val="0"/>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Employers</w:t>
      </w:r>
      <w:r>
        <w:rPr>
          <w:rFonts w:ascii="Times New Roman" w:cs="Times New Roman" w:eastAsia="Times New Roman" w:hAnsi="Times New Roman"/>
          <w:sz w:val="16"/>
          <w:szCs w:val="16"/>
          <w:color w:val="auto"/>
        </w:rPr>
        <w:t>. As of September 30, 2023, we have engaged over 70 employers who offer Galleri as a benefit to eligible employees. We target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medium and large self-insured employers with compelling and innovative healthcare offerings that are designed to attract and retain employees and to deepen health equity among employees. Cancer treatment costs now represent the highest spend category for self-insured employers according to the most recent Business Group on Health’s 2023 Large Employers’</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480"/>
          </w:cols>
          <w:pgMar w:left="320" w:top="419" w:right="109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240"/>
        <w:spacing w:after="0" w:line="263" w:lineRule="auto"/>
        <w:rPr>
          <w:sz w:val="20"/>
          <w:szCs w:val="20"/>
          <w:color w:val="auto"/>
        </w:rPr>
      </w:pPr>
      <w:r>
        <w:rPr>
          <w:rFonts w:ascii="Times New Roman" w:cs="Times New Roman" w:eastAsia="Times New Roman" w:hAnsi="Times New Roman"/>
          <w:sz w:val="16"/>
          <w:szCs w:val="16"/>
          <w:color w:val="auto"/>
        </w:rPr>
        <w:t>Health Care Strategy and Plan Design Survey. Galleri offers earlier cancer detection to help reduce these costs. Our employer customer base includes large tech companies, large life insurance companies, professional services companies, major health systems, and educational institutions, among others.</w:t>
      </w:r>
    </w:p>
    <w:p>
      <w:pPr>
        <w:spacing w:after="0" w:line="71" w:lineRule="exact"/>
        <w:rPr>
          <w:sz w:val="20"/>
          <w:szCs w:val="20"/>
          <w:color w:val="auto"/>
        </w:rPr>
      </w:pPr>
    </w:p>
    <w:p>
      <w:pPr>
        <w:ind w:left="1620" w:hanging="375"/>
        <w:spacing w:after="0" w:line="259" w:lineRule="auto"/>
        <w:tabs>
          <w:tab w:leader="none" w:pos="162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Life insurance providers</w:t>
      </w:r>
      <w:r>
        <w:rPr>
          <w:rFonts w:ascii="Times New Roman" w:cs="Times New Roman" w:eastAsia="Times New Roman" w:hAnsi="Times New Roman"/>
          <w:sz w:val="16"/>
          <w:szCs w:val="16"/>
          <w:color w:val="auto"/>
        </w:rPr>
        <w:t>. We have partnered with several leading life insurance providers to provide Galleri to their policyholders. Life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insurers are committed to helping customers live longer, healthier, better lives and understand that preventative care and early detection are key to that mission. Galleri is offered by these providers as a preventative health benefit and is not used for underwriting, risk assessment or risk pooling.</w:t>
      </w:r>
    </w:p>
    <w:p>
      <w:pPr>
        <w:spacing w:after="0" w:line="74" w:lineRule="exact"/>
        <w:rPr>
          <w:rFonts w:ascii="Times New Roman" w:cs="Times New Roman" w:eastAsia="Times New Roman" w:hAnsi="Times New Roman"/>
          <w:sz w:val="16"/>
          <w:szCs w:val="16"/>
          <w:color w:val="auto"/>
        </w:rPr>
      </w:pPr>
    </w:p>
    <w:p>
      <w:pPr>
        <w:ind w:left="1620" w:right="100" w:hanging="375"/>
        <w:spacing w:after="0" w:line="254" w:lineRule="auto"/>
        <w:tabs>
          <w:tab w:leader="none" w:pos="162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Physician-directed channels</w:t>
      </w:r>
      <w:r>
        <w:rPr>
          <w:rFonts w:ascii="Times New Roman" w:cs="Times New Roman" w:eastAsia="Times New Roman" w:hAnsi="Times New Roman"/>
          <w:sz w:val="16"/>
          <w:szCs w:val="16"/>
          <w:color w:val="auto"/>
        </w:rPr>
        <w:t>. We believe Galleri is compelling to physicians whose patients are focused on preventive health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wellness as well as to concierge and executive health practices. The physician practices we are targeting are known to offer innovative, cutting-edge health offerings, and market research suggests the members are willing to invest in differentiated healthcare services. We are targeting physicians serving this market segment in all major metropolitan population centers in the United States with our field-based sales team. Concierge medicine has been a key early adopter of Galleri. As our strategy evolves in the physician-directed channel, we are working to educate physicians and patients on the benefits of annual screening.</w:t>
      </w:r>
    </w:p>
    <w:p>
      <w:pPr>
        <w:spacing w:after="0" w:line="81" w:lineRule="exact"/>
        <w:rPr>
          <w:rFonts w:ascii="Times New Roman" w:cs="Times New Roman" w:eastAsia="Times New Roman" w:hAnsi="Times New Roman"/>
          <w:sz w:val="16"/>
          <w:szCs w:val="16"/>
          <w:color w:val="auto"/>
        </w:rPr>
      </w:pPr>
    </w:p>
    <w:p>
      <w:pPr>
        <w:ind w:left="1620" w:right="220" w:hanging="375"/>
        <w:spacing w:after="0" w:line="259" w:lineRule="auto"/>
        <w:tabs>
          <w:tab w:leader="none" w:pos="162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Payors</w:t>
      </w:r>
      <w:r>
        <w:rPr>
          <w:rFonts w:ascii="Times New Roman" w:cs="Times New Roman" w:eastAsia="Times New Roman" w:hAnsi="Times New Roman"/>
          <w:sz w:val="16"/>
          <w:szCs w:val="16"/>
          <w:color w:val="auto"/>
        </w:rPr>
        <w:t>. We have announced pilot or benefit programs with leading payors and continue to engage with other progressive payors. These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programs allow for measurement of the clinical utility and economic value of Galleri. These payors include Medicare Advantage plans, which generally must cover all of the services that traditional Medicare covers, but they have the discretion to offer their enrollees additional or supplemental benefits. This also includes early-adopting commercial payors.</w:t>
      </w:r>
    </w:p>
    <w:p>
      <w:pPr>
        <w:spacing w:after="0" w:line="74" w:lineRule="exact"/>
        <w:rPr>
          <w:rFonts w:ascii="Times New Roman" w:cs="Times New Roman" w:eastAsia="Times New Roman" w:hAnsi="Times New Roman"/>
          <w:sz w:val="16"/>
          <w:szCs w:val="16"/>
          <w:color w:val="auto"/>
        </w:rPr>
      </w:pPr>
    </w:p>
    <w:p>
      <w:pPr>
        <w:ind w:left="1620" w:right="20" w:hanging="375"/>
        <w:spacing w:after="0" w:line="264" w:lineRule="auto"/>
        <w:tabs>
          <w:tab w:leader="none" w:pos="162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Firefighters</w:t>
      </w:r>
      <w:r>
        <w:rPr>
          <w:rFonts w:ascii="Times New Roman" w:cs="Times New Roman" w:eastAsia="Times New Roman" w:hAnsi="Times New Roman"/>
          <w:sz w:val="16"/>
          <w:szCs w:val="16"/>
          <w:color w:val="auto"/>
        </w:rPr>
        <w:t>. We have worked with clinics, fire departments, municipalities, and unions to make Galleri available to firefighters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have exposure-related increased risk of cancer and are actively screening their populations and seeking new approaches. To date, thousands of firefighters have been tested with Galleri across more than 40 fire departments nationally.</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Reimbursement Landscape for Screening Tests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100" w:firstLine="388"/>
        <w:spacing w:after="0" w:line="252" w:lineRule="auto"/>
        <w:rPr>
          <w:sz w:val="20"/>
          <w:szCs w:val="20"/>
          <w:color w:val="auto"/>
        </w:rPr>
      </w:pPr>
      <w:r>
        <w:rPr>
          <w:rFonts w:ascii="Times New Roman" w:cs="Times New Roman" w:eastAsia="Times New Roman" w:hAnsi="Times New Roman"/>
          <w:sz w:val="16"/>
          <w:szCs w:val="16"/>
          <w:color w:val="auto"/>
        </w:rPr>
        <w:t>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Centers for Medicare and Medicaid Services (“CMS”) to cover additional preventive services that are not expressly covered by the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 national coverage determination (“NCD”) process. In its discretion, the USPSTF generally waits for FDA authorization before it considers undertaking reviews of novel technology.</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Because MCED is not expressly authorized for coverage by the Medicare statute, one possible pathway for Medicare reimbursement is to first obtain FDA approval and then obtain a grade of A or B recommendation from USPSTF, to enable CMS to issue an NCD. The last cancer screening test to receive a recommendation from USPSTF with a grade A/B and obtain Medicare coverage was LDCT to screen high-risk smokers for lung cancer in 2015.</w:t>
      </w:r>
    </w:p>
    <w:p>
      <w:pPr>
        <w:spacing w:after="0" w:line="161"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Medicare coverage can also be changed by statute, thus a second possible pathway for Medicare reimbursement would be to amend the Medicare statute to cover MCED. This process would generally require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460"/>
          </w:cols>
          <w:pgMar w:left="320" w:top="419" w:right="111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40"/>
        <w:spacing w:after="0" w:line="270" w:lineRule="auto"/>
        <w:rPr>
          <w:sz w:val="20"/>
          <w:szCs w:val="20"/>
          <w:color w:val="auto"/>
        </w:rPr>
      </w:pPr>
      <w:r>
        <w:rPr>
          <w:rFonts w:ascii="Times New Roman" w:cs="Times New Roman" w:eastAsia="Times New Roman" w:hAnsi="Times New Roman"/>
          <w:sz w:val="15"/>
          <w:szCs w:val="15"/>
          <w:color w:val="auto"/>
        </w:rPr>
        <w:t>new legislation to expressly authorize CMS to cover FDA-approved early cancer screening and detection tests. We are working with stakeholders to advance and shape the public reimbursement landscape to reflect that additional scope of coverage. Galleri is currently offered as an LDT in our CAP-accredited and CLIA-certified laboratories. We have a Breakthrough Device designation with the FDA and have begun the modular PMA submission process, which we expect to conclude with data from our ongoing pivotal studies. Under our Breakthrough Designation, interactions with</w:t>
      </w:r>
    </w:p>
    <w:p>
      <w:pPr>
        <w:spacing w:after="0" w:line="2" w:lineRule="exact"/>
        <w:rPr>
          <w:sz w:val="20"/>
          <w:szCs w:val="20"/>
          <w:color w:val="auto"/>
        </w:rPr>
      </w:pPr>
    </w:p>
    <w:p>
      <w:pPr>
        <w:ind w:left="760" w:right="180"/>
        <w:spacing w:after="0" w:line="252" w:lineRule="auto"/>
        <w:rPr>
          <w:sz w:val="20"/>
          <w:szCs w:val="20"/>
          <w:color w:val="auto"/>
        </w:rPr>
      </w:pPr>
      <w:r>
        <w:rPr>
          <w:rFonts w:ascii="Times New Roman" w:cs="Times New Roman" w:eastAsia="Times New Roman" w:hAnsi="Times New Roman"/>
          <w:sz w:val="16"/>
          <w:szCs w:val="16"/>
          <w:color w:val="auto"/>
        </w:rPr>
        <w:t>the FDA have resulted in a clear timeline to submission, which we anticipate making in . Following FDA approval and assuming a statutory change in the reimbursement landscape, we plan to pursue broad reimbursement, for example, through Medicare reimbursement, and subsequently pursue inclusion of Galleri in the USPSTF guideline recommendation.</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United Kingdom—Commercial agreement with NHS</w:t>
      </w:r>
    </w:p>
    <w:p>
      <w:pPr>
        <w:spacing w:after="0" w:line="10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In November 2020, we established a partnership with NHS England. The NHS-Galleri Trial, which was undertaken as part of the partnership established by our commercial agreement with NHS England, is a large randomized controlled trial taking place across eight regions in England. The trial aims to assist with the United Kingdom’s ambitions for early cancer detection and to assess Galleri for potential population screening on a national scale. The primary objective of the trial is to assess whether implementation of Galleri can reduce the incidence of late-stage cancers through early cancer detection.</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In the event that we proceed with phased commercial implementation following such results, our partnership with the NHS would be our first national system implementation. Given that the NHS has a reputation for high evidence standards for new technologies, we expect NHS approval and implementation would expand adoption in the United Kingdom and could also facilitate adoption in other single payor systems around the world. The Galleri test is UKCA marked.</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Other International</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explore the launch of Galleri in select other geographies, including through distributors.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Significant Investments for Scale</w:t>
      </w:r>
    </w:p>
    <w:p>
      <w:pPr>
        <w:spacing w:after="0" w:line="106" w:lineRule="exact"/>
        <w:rPr>
          <w:sz w:val="20"/>
          <w:szCs w:val="20"/>
          <w:color w:val="auto"/>
        </w:rPr>
      </w:pPr>
    </w:p>
    <w:p>
      <w:pPr>
        <w:ind w:left="760" w:right="360" w:firstLine="388"/>
        <w:spacing w:after="0" w:line="258" w:lineRule="auto"/>
        <w:rPr>
          <w:sz w:val="20"/>
          <w:szCs w:val="20"/>
          <w:color w:val="auto"/>
        </w:rPr>
      </w:pPr>
      <w:r>
        <w:rPr>
          <w:rFonts w:ascii="Times New Roman" w:cs="Times New Roman" w:eastAsia="Times New Roman" w:hAnsi="Times New Roman"/>
          <w:sz w:val="16"/>
          <w:szCs w:val="16"/>
          <w:color w:val="auto"/>
        </w:rPr>
        <w:t>We have made significant investments for scale in our CAP-accredited and CLIA-certified laboratory facilities in Menlo Park, California and Durham, North Carolina and demonstrated execution with more than 350,000 clinical and commercial individual samples processed through September 30, 2023. We have an established footprint in the United States and United Kingdom, with operations in Durham, North Carolina, Washington, D.C., and London, United Kingdom.</w:t>
      </w:r>
    </w:p>
    <w:p>
      <w:pPr>
        <w:spacing w:after="0" w:line="161"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total we have approximately 65,000 square feet of CAP-accredited, CLIA-certified laboratory space and laboratory support with sufficient capacity to support multiple years of growth. We have made significant investments to our Durham laboratory to improve the automation, including development of a fully automated laboratory testing platform consisting of robotic work cells connected by a central track system to increase efficiencies and reduce costs. Our lab operates 16 hours a day, seven days a week, and uses automation and other technology to reduce staff exposure to complicated, dangerous, repetitive, or injury-prone work. We believe that our current facilities are sufficient to meet our current and anticipated near-term needs.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Supply Chain and Agreements</w:t>
      </w:r>
    </w:p>
    <w:p>
      <w:pPr>
        <w:spacing w:after="0" w:line="106"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Our supply chain includes industry leading vendors and we maintain significant supplies on hand of both laboratory consumables and other materials to avoid work stoppages and material delays. We rely on a limited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480"/>
          </w:cols>
          <w:pgMar w:left="320" w:top="419" w:right="109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6"/>
          <w:szCs w:val="16"/>
          <w:color w:val="auto"/>
        </w:rPr>
        <w:t>number of suppliers, or in some cases, sole suppliers, to provide certain materials for our products and services. For example, Illumina, Inc. is our primary supplier of sequencers and certain laboratory reagents, Madison (who acquired our blood collection tube manufacturer Streck, Inc. in 2023) is our sole supplier of tubes used for sample collection and Twist is the sole supplier of our DNA probes. We rely on standard commercial carriers for the delivery of samples to our laboratories.</w:t>
      </w:r>
    </w:p>
    <w:p>
      <w:pPr>
        <w:spacing w:after="0" w:line="161"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supply strategy is to maintain raw material and released reagent supplies at levels that ensure our clinical laboratories can maintain continuous operations 365 days a year. We utilize a risk-based approach such that higher risk materials (e.g, sole-sourced or more vulnerable supply chains) have a higher safety stock and lower risk materials (e.g, multi-sourced) may have lower safety stock levels.</w:t>
      </w:r>
    </w:p>
    <w:p>
      <w:pPr>
        <w:spacing w:after="0" w:line="157"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We have entered into supply agreements with various parties, including Illumina, Madison, and Twist. In January 2016, we entered into a supply and commercialization arrangement with Illumina, which agreement was amended and restated in February 2017 and subsequently further amended (“Supply Agreement”). Pursuant to the Supply Agreement, Illumina granted us non-exclusive rights to use certain Illumina know-how and technology with Illumina products purchased under the agreement. Under the terms of the Supply Agreement, regardless of whether our products incorporate any Illumina technology, we were obligated to pay Illumina a high single-digit royalty, subject to certain reductions, in perpetuity on net sales generated by our products or revenues otherwise generated or received by us, subject to certain exceptions, in the field of oncology. In August 2021, following Illumina’s acquisition of us, the Supply Agreement was amended to suspend the perpetual royalty obligation to Illumina as long as we are an affiliate of Illumina or as long as any successor to us or any substantial part of our business is held by Illumina or an affiliate of Illumina. In connection with our separation from Illumina via the Spin-Off, we will no longer be an affiliate of Illumina and the perpetual royalty obligation to Illumina will restart, without retroactive effect. In addition, at the time of the separation we may elect to have either Illumina’s universal pricing terms applicable to all of its for-profit oncology customers in the United States since March 2021, as updated (the “Open Offer”) or the pricing terms we had prior to Illumina’s acquisition of us (the “Grandfathered Pricing”).</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Industry Participants</w:t>
      </w:r>
    </w:p>
    <w:p>
      <w:pPr>
        <w:spacing w:after="0" w:line="104" w:lineRule="exact"/>
        <w:rPr>
          <w:sz w:val="20"/>
          <w:szCs w:val="20"/>
          <w:color w:val="auto"/>
        </w:rPr>
      </w:pPr>
    </w:p>
    <w:p>
      <w:pPr>
        <w:ind w:left="760" w:right="120" w:firstLine="388"/>
        <w:spacing w:after="0" w:line="251" w:lineRule="auto"/>
        <w:rPr>
          <w:sz w:val="20"/>
          <w:szCs w:val="20"/>
          <w:color w:val="auto"/>
        </w:rPr>
      </w:pPr>
      <w:r>
        <w:rPr>
          <w:rFonts w:ascii="Times New Roman" w:cs="Times New Roman" w:eastAsia="Times New Roman" w:hAnsi="Times New Roman"/>
          <w:sz w:val="16"/>
          <w:szCs w:val="16"/>
          <w:color w:val="auto"/>
        </w:rPr>
        <w:t>There are other companies, such as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are attempting to develop tests to detect certain types of cancer early, including some that will use cfDNA analyses. Some of these companies may have substantially greater financial and other resources than we have, such as larger research and development staff and well-established marketing and sales forces, or may operate in jurisdictions where lower standards of evidence are required to bring products to market. For example, we are aware that some companies have conducted large-scale clinical studies for single-cancer early detection tests, including Guardant Health, Inc., Exact Sciences Corporation and Freenome Inc. in colon cancer, as well as AnchorDX in lung cancer (pulmonary nodules). In addition, other established diagnostic, medical technology, biotechnology, or pharmaceutical companies may decide in the future to invest to accelerate discovery and development of similar tests. If any tests are developed by these companies and do not perform to expectations or cause harm or injury to patients, it may result in lower confidence in early cancer detection tests in general, which could potentially adversely affect confidence in our products and services.</w:t>
      </w:r>
    </w:p>
    <w:p>
      <w:pPr>
        <w:spacing w:after="0" w:line="168"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Given the numerous and rigorous requirements for a successful cancer detection test, we do not believe many companies would have the financial resources to invest in population-scale clinical studies and rigorous analytics to compete with our products. Further, among companies pursuing an early-detection product, we believe we are substantially differentiated by our robust intellectual property portfolio, extensive research, rigorous and objective approach, and multidisciplinary capabilities, which leverage the power of NGS, population-scale clinical studies, and advanced and trained machine learning algorithms and data science. We believe we are further differentiated by the extent of our investment in our facilities and operational workflows, including our high-capacity laboratories, which we built for rapid, automatic processing of samples and to scale as we grow and process more tests.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480"/>
          </w:cols>
          <w:pgMar w:left="320" w:top="419" w:right="109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Additionally, certain of our other products in development, such as DAC, and our precision oncology offerings, could compete against a number of companies that are working to leverage blood-based technologies to improve cancer care. Many companies such as Roche / Foundation Medicine, Inc., Natera, Inc., Guardant, Inc., Tempus Labs, Inc., Invitae Corp., NeoGenomics Laboratories, Personalis, Inc., Twist Bioscience Corp. and Adaptive Biotechnologies Corp., among others, currently provide or are developing technologies focused on improving cancer care after a diagnosis of cancer is made, including enabling selection of therapy, monitoring of therapy, or detection of relapsed disease. Unlike with respect to MCED testing, precision oncology is a very competitive space with many industry participants. However, as DAC and our precision oncology portfolio leverage our methylation platform, we believe we are differentiated by the extent of the quality of our methylation platform and our investments to develop such platform through our population-scale clinical studies, rigorous analytics and machine learning expertise.</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4"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Our success depends in part on our ability to obtain and maintain intellectual property protection for our products and technology, including by seeking and maintaining patent protection, protecting our trade secrets and other proprietary information, obtaining and maintaining our licenses to use intellectual property owned by third parties, and continually evaluating third-party technologies for further licensing opportunities. We also seek trademark protection where appropriate to protect the names that identify us as the source of our products and services.</w:t>
      </w:r>
    </w:p>
    <w:p>
      <w:pPr>
        <w:spacing w:after="0" w:line="161"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We own certain patents, patent applications, and other intellectual property, and also exclusively license certain patents, patent applications, and other intellectual property from third parties, including the Chinese University of Hong Kong. Our patent portfolio broadly relates to methods, techniques, systems, and chemistry used to generate and analyze data using our proprietary bioinformatics and classifiers, including, for example, cfNA sequencing, marker panels, methylation signatures, bioinformatics techniques and biologically directed machine learning classifiers, which are incorporated into or used for Galleri, our precision oncology portfolio, and DAC. We have also entered into certain supply and commercial agreements with various vendors and suppliers, including Illumina, under which we receive rights to their intellectual property for use in our products. Our material licenses and other agreements are described in more detail below.</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4700" w:type="dxa"/>
            <w:vAlign w:val="bottom"/>
            <w:gridSpan w:val="7"/>
          </w:tcPr>
          <w:p>
            <w:pPr>
              <w:ind w:left="400"/>
              <w:spacing w:after="0"/>
              <w:rPr>
                <w:sz w:val="20"/>
                <w:szCs w:val="20"/>
                <w:color w:val="auto"/>
              </w:rPr>
            </w:pPr>
            <w:r>
              <w:rPr>
                <w:rFonts w:ascii="Times New Roman" w:cs="Times New Roman" w:eastAsia="Times New Roman" w:hAnsi="Times New Roman"/>
                <w:sz w:val="16"/>
                <w:szCs w:val="16"/>
                <w:color w:val="auto"/>
                <w:w w:val="99"/>
              </w:rPr>
              <w:t>As of December 31, 2023, we have exclusive licenses to more than</w:t>
            </w:r>
          </w:p>
        </w:tc>
        <w:tc>
          <w:tcPr>
            <w:tcW w:w="3060" w:type="dxa"/>
            <w:vAlign w:val="bottom"/>
            <w:gridSpan w:val="4"/>
          </w:tcPr>
          <w:p>
            <w:pPr>
              <w:jc w:val="right"/>
              <w:ind w:right="101"/>
              <w:spacing w:after="0"/>
              <w:rPr>
                <w:sz w:val="20"/>
                <w:szCs w:val="20"/>
                <w:color w:val="auto"/>
              </w:rPr>
            </w:pPr>
            <w:r>
              <w:rPr>
                <w:rFonts w:ascii="Times New Roman" w:cs="Times New Roman" w:eastAsia="Times New Roman" w:hAnsi="Times New Roman"/>
                <w:sz w:val="16"/>
                <w:szCs w:val="16"/>
                <w:color w:val="auto"/>
              </w:rPr>
              <w:t>issued or granted patents and more than</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8"/>
              </w:rPr>
              <w:t>pending patent applications</w:t>
            </w:r>
          </w:p>
        </w:tc>
      </w:tr>
      <w:tr>
        <w:trPr>
          <w:trHeight w:val="190"/>
        </w:trPr>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globally, including</w:t>
            </w:r>
          </w:p>
        </w:tc>
        <w:tc>
          <w:tcPr>
            <w:tcW w:w="168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color w:val="auto"/>
              </w:rPr>
              <w:t>issued U.S. patents and</w:t>
            </w:r>
          </w:p>
        </w:tc>
        <w:tc>
          <w:tcPr>
            <w:tcW w:w="14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patents granted in</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and more than</w:t>
            </w:r>
          </w:p>
        </w:tc>
        <w:tc>
          <w:tcPr>
            <w:tcW w:w="35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pending U.S. non-provisional and provisional patent</w:t>
            </w:r>
          </w:p>
        </w:tc>
      </w:tr>
      <w:tr>
        <w:trPr>
          <w:trHeight w:val="190"/>
        </w:trPr>
        <w:tc>
          <w:tcPr>
            <w:tcW w:w="32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applications. We also own or co-own more than</w:t>
            </w:r>
          </w:p>
        </w:tc>
        <w:tc>
          <w:tcPr>
            <w:tcW w:w="29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issued or granted patents and more than</w:t>
            </w:r>
          </w:p>
        </w:tc>
        <w:tc>
          <w:tcPr>
            <w:tcW w:w="35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pending patent applications globally, including</w:t>
            </w:r>
          </w:p>
        </w:tc>
      </w:tr>
      <w:tr>
        <w:trPr>
          <w:trHeight w:val="190"/>
        </w:trPr>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issued U.S. patents and</w:t>
            </w:r>
          </w:p>
        </w:tc>
        <w:tc>
          <w:tcPr>
            <w:tcW w:w="80" w:type="dxa"/>
            <w:vAlign w:val="bottom"/>
          </w:tcPr>
          <w:p>
            <w:pPr>
              <w:spacing w:after="0"/>
              <w:rPr>
                <w:sz w:val="16"/>
                <w:szCs w:val="16"/>
                <w:color w:val="auto"/>
              </w:rPr>
            </w:pPr>
          </w:p>
        </w:tc>
        <w:tc>
          <w:tcPr>
            <w:tcW w:w="16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patents granted in</w:t>
            </w:r>
          </w:p>
        </w:tc>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and more than</w:t>
            </w:r>
          </w:p>
        </w:tc>
        <w:tc>
          <w:tcPr>
            <w:tcW w:w="300" w:type="dxa"/>
            <w:vAlign w:val="bottom"/>
          </w:tcPr>
          <w:p>
            <w:pPr>
              <w:spacing w:after="0"/>
              <w:rPr>
                <w:sz w:val="16"/>
                <w:szCs w:val="16"/>
                <w:color w:val="auto"/>
              </w:rPr>
            </w:pPr>
          </w:p>
        </w:tc>
        <w:tc>
          <w:tcPr>
            <w:tcW w:w="502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w w:val="99"/>
              </w:rPr>
              <w:t>pending U.S. non-provisional and provisional patent applications. Our patent</w:t>
            </w:r>
          </w:p>
        </w:tc>
      </w:tr>
      <w:tr>
        <w:trPr>
          <w:trHeight w:val="190"/>
        </w:trPr>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portfolio includes at least</w:t>
            </w:r>
          </w:p>
        </w:tc>
        <w:tc>
          <w:tcPr>
            <w:tcW w:w="5280" w:type="dxa"/>
            <w:vAlign w:val="bottom"/>
            <w:gridSpan w:val="7"/>
          </w:tcPr>
          <w:p>
            <w:pPr>
              <w:ind w:left="400"/>
              <w:spacing w:after="0"/>
              <w:rPr>
                <w:sz w:val="20"/>
                <w:szCs w:val="20"/>
                <w:color w:val="auto"/>
              </w:rPr>
            </w:pPr>
            <w:r>
              <w:rPr>
                <w:rFonts w:ascii="Times New Roman" w:cs="Times New Roman" w:eastAsia="Times New Roman" w:hAnsi="Times New Roman"/>
                <w:sz w:val="16"/>
                <w:szCs w:val="16"/>
                <w:color w:val="auto"/>
              </w:rPr>
              <w:t>patent families related to sequencing, library preparation and enrichment (</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patent families with</w:t>
            </w:r>
          </w:p>
        </w:tc>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issued or</w:t>
            </w:r>
          </w:p>
        </w:tc>
      </w:tr>
      <w:tr>
        <w:trPr>
          <w:trHeight w:val="190"/>
        </w:trPr>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patents and</w:t>
            </w:r>
          </w:p>
        </w:tc>
        <w:tc>
          <w:tcPr>
            <w:tcW w:w="80" w:type="dxa"/>
            <w:vAlign w:val="bottom"/>
          </w:tcPr>
          <w:p>
            <w:pPr>
              <w:spacing w:after="0"/>
              <w:rPr>
                <w:sz w:val="16"/>
                <w:szCs w:val="16"/>
                <w:color w:val="auto"/>
              </w:rPr>
            </w:pPr>
          </w:p>
        </w:tc>
        <w:tc>
          <w:tcPr>
            <w:tcW w:w="2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pending applications), marker panels (</w:t>
            </w:r>
          </w:p>
        </w:tc>
        <w:tc>
          <w:tcPr>
            <w:tcW w:w="3360" w:type="dxa"/>
            <w:vAlign w:val="bottom"/>
            <w:gridSpan w:val="5"/>
          </w:tcPr>
          <w:p>
            <w:pPr>
              <w:jc w:val="right"/>
              <w:ind w:right="101"/>
              <w:spacing w:after="0"/>
              <w:rPr>
                <w:sz w:val="20"/>
                <w:szCs w:val="20"/>
                <w:color w:val="auto"/>
              </w:rPr>
            </w:pPr>
            <w:r>
              <w:rPr>
                <w:rFonts w:ascii="Times New Roman" w:cs="Times New Roman" w:eastAsia="Times New Roman" w:hAnsi="Times New Roman"/>
                <w:sz w:val="16"/>
                <w:szCs w:val="16"/>
                <w:color w:val="auto"/>
                <w:w w:val="99"/>
              </w:rPr>
              <w:t>patent families with issued or granted patents and</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pending applications),</w:t>
            </w:r>
          </w:p>
        </w:tc>
      </w:tr>
      <w:tr>
        <w:trPr>
          <w:trHeight w:val="190"/>
        </w:trPr>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methylation profiling (</w:t>
            </w:r>
          </w:p>
        </w:tc>
        <w:tc>
          <w:tcPr>
            <w:tcW w:w="80" w:type="dxa"/>
            <w:vAlign w:val="bottom"/>
          </w:tcPr>
          <w:p>
            <w:pPr>
              <w:spacing w:after="0"/>
              <w:rPr>
                <w:sz w:val="16"/>
                <w:szCs w:val="16"/>
                <w:color w:val="auto"/>
              </w:rPr>
            </w:pPr>
          </w:p>
        </w:tc>
        <w:tc>
          <w:tcPr>
            <w:tcW w:w="16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patent families with</w:t>
            </w:r>
          </w:p>
        </w:tc>
        <w:tc>
          <w:tcPr>
            <w:tcW w:w="22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issued or granted patents and</w:t>
            </w:r>
          </w:p>
        </w:tc>
        <w:tc>
          <w:tcPr>
            <w:tcW w:w="422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pending applications), and bioinformatic techniques and</w:t>
            </w:r>
          </w:p>
        </w:tc>
      </w:t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classifiers (</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patent families with</w:t>
            </w:r>
          </w:p>
        </w:tc>
        <w:tc>
          <w:tcPr>
            <w:tcW w:w="214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issued or granted patents and</w:t>
            </w:r>
          </w:p>
        </w:tc>
        <w:tc>
          <w:tcPr>
            <w:tcW w:w="502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w w:val="99"/>
              </w:rPr>
              <w:t>pending applications), many of which we believe cover, or will cover,</w:t>
            </w:r>
          </w:p>
        </w:tc>
      </w:tr>
    </w:tbl>
    <w:p>
      <w:pPr>
        <w:ind w:left="760" w:right="40"/>
        <w:spacing w:after="0" w:line="251" w:lineRule="auto"/>
        <w:rPr>
          <w:sz w:val="20"/>
          <w:szCs w:val="20"/>
          <w:color w:val="auto"/>
        </w:rPr>
      </w:pPr>
      <w:r>
        <w:rPr>
          <w:rFonts w:ascii="Times New Roman" w:cs="Times New Roman" w:eastAsia="Times New Roman" w:hAnsi="Times New Roman"/>
          <w:sz w:val="16"/>
          <w:szCs w:val="16"/>
          <w:color w:val="auto"/>
        </w:rPr>
        <w:t>various aspects of Galleri, DAC and our precision oncology portfolio. Our patent portfolio also includes granted patents and pending patent applications directed to other technologies, including, for example, error correction for identifying somatic variants and variant based assessment of cancer, sequencing based assessment of copy number aberrations in cancer, fragment length assessment in cancer detection, fragmentation based assessment of cancer, viral based assessment of cancer, multiomics for diagnostics, and lab platforms and automation.</w:t>
      </w:r>
    </w:p>
    <w:p>
      <w:pPr>
        <w:spacing w:after="0" w:line="165" w:lineRule="exact"/>
        <w:rPr>
          <w:sz w:val="20"/>
          <w:szCs w:val="20"/>
          <w:color w:val="auto"/>
        </w:rPr>
      </w:pPr>
    </w:p>
    <w:p>
      <w:pPr>
        <w:jc w:val="both"/>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We are currently facing oppositions from anonymous challengers against two of our in-licensed European patents and one of our owned patents. None of these patents relate to aspects of Galleri, DAC or our precision oncology portfolio. The challengers are asserting that these granted patents are invalid over prior art, among</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0480"/>
          </w:cols>
          <w:pgMar w:left="320" w:top="419" w:right="109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313" w:lineRule="auto"/>
        <w:rPr>
          <w:sz w:val="20"/>
          <w:szCs w:val="20"/>
          <w:color w:val="auto"/>
        </w:rPr>
      </w:pPr>
      <w:r>
        <w:rPr>
          <w:rFonts w:ascii="Times New Roman" w:cs="Times New Roman" w:eastAsia="Times New Roman" w:hAnsi="Times New Roman"/>
          <w:sz w:val="15"/>
          <w:szCs w:val="15"/>
          <w:color w:val="auto"/>
        </w:rPr>
        <w:t>other arguments. While we believe that these patents are valid as granted, there is a risk that one or more of these patents could be invalidated in its entirety, or certain claims of these patents could be amended and narrowed in scope. These oppositions are at various stages of the adjudication process.</w:t>
      </w:r>
    </w:p>
    <w:p>
      <w:pPr>
        <w:spacing w:after="0" w:line="121"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in-licensed patents and patent applications, if issued as patents, expire or would be expected to expire, at the earliest, in 2028, absent any potentially available patent term adjustment and assuming our timely payment of applicable issue fees, maintenance fees and annuities. The patent applications that we own, if issued as patents, would be expected to expire at the earliest in 2037, absent any potentially available patent term adjustment and assuming our timely payment of applicable issue fees, maintenance fees and annuities. The term of these patents depends upon the laws of the countries in which they are obtained, and in most countries in which we file, is 20 years from the earliest date of filing of a non-provisional patent application. A provisional patent application is not eligible to become an issued patent until, among other things, we file a non-provisional patent application within 12 months of the filing date of the provisional patent application. If we do not timely file non-provisional patent applications, we may lose our priority date with respect to our provisional patent applications and any patent protection on the inventions disclosed in our provisional patent applications. In the United States, patent term adjustments may be available depending upon the time the United States Patent and Trademark Office takes to examine and eventually issue a patent, and the patent term may be shorter than 20 years if we disclaim a portion of the patent term to overcome double patenting rejections. The protection of patents may vary on a country-by-country and claim-by-claim basis, which can vary the scope of protection afforded by such patents. In addition, we must generally pay fees to maintain our patents annually or at other specified intervals, or risk the patent lapsing. We cannot provide any assurance that any of our current or future owned or licensed patent applications will result in the issuance of patents in any jurisdiction, or that any of our current or future owned or licensed issued patents will effectively protect any of our products or technology or prevent others from commercializing competitive products or technology. Even if any of our current or future owned or licensed patent applications are granted as issued patents, those patents may be challenged, circumvented or invalidated by third parties.</w:t>
      </w:r>
    </w:p>
    <w:p>
      <w:pPr>
        <w:spacing w:after="0" w:line="2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License Agreements with the Chinese University of Hong Kong</w:t>
      </w:r>
    </w:p>
    <w:p>
      <w:pPr>
        <w:spacing w:after="0" w:line="104"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We have entered into five license agreements with the Chinese University of Hong Kong, each on substantially similar terms and with two dated April 7, 2016 and three dated May 29, 2017. Pursuant to these agreements, the Chinese University of Hong Kong has granted exclusive, worldwide intellectual property licenses to us for the use of certain nucleic acid sequencing and analysis technologies in all fields under one license and in all fields except prenatal diagnostics, prognostications, or analysis under four licenses. The Chinese University of Hong Kong reserves the right to use its technology for internal research and education purposes and for fulfilling governmental contractual obligations (to the extent they exist). Three of the licenses are subject to certain non-exclusive license rights granted by the Chinese University of Hong Kong to a certain third party, solely for such third party’s internal research purposes in the field of cancer detection, cancer prognostication and other analysis for the screening and management of cancer.</w:t>
      </w:r>
    </w:p>
    <w:p>
      <w:pPr>
        <w:spacing w:after="0" w:line="150"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To the extent our products use the licensed technology, we are required to pay the Chinese University of Hong Kong low single-digit percentage royalties on net sales of such products, subject to minimum annual guarantees, which began in 2018. In addition, for any sublicense of the licensed technology, we are obligated to pay the Chinese University of Hong Kong a specified portion of the revenue we receive from sublicensing. Our royalty and sublicense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We are additionally obligated to reimburse the Chinese University of Hong Kong for costs and expenses related to the filing, prosecution, maintenance, and defense of the licensed patents and patent applications.</w:t>
      </w:r>
    </w:p>
    <w:p>
      <w:pPr>
        <w:spacing w:after="0" w:line="166"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Under these license agreements, we are obligated to use specified efforts to reach milestones relating to the development and sale of products that use the Chinese University of Hong Kong’s technology, and our failure to</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480"/>
          </w:cols>
          <w:pgMar w:left="320" w:top="419" w:right="109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6"/>
          <w:szCs w:val="16"/>
          <w:color w:val="auto"/>
        </w:rPr>
        <w:t>do so could result in termination of the license agreements. The Chinese University of Hong Kong may also terminate the agreements under certain other circumstances, such as our uncured material breach of the agreements or cessation of our business. We may terminate the agreements at any time at our convenience, provided we give the Chinese University of Hong Kong a certain period of notice. We can also terminate the agreements for the Chinese University of Hong Kong’s uncured material breach.</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Trade Secrets</w:t>
      </w:r>
    </w:p>
    <w:p>
      <w:pPr>
        <w:spacing w:after="0" w:line="104"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We also rely on trade secret protection for our confidential and proprietary information. Included in our trade secrets are the data from our genomics studies, various aspects of the operation of our laboratories, and various aspects of the algorithms used to process our data. 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United States are generally willing to protect trade secrets, some courts inside and outside the United States are less willing or unwilling to protect trade secrets.</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For further discussion of the risks relating to our intellectual property, see “Risk Factors—Risks Related to Intellectual Property.”</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104"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Our principal office and laboratory is approximately 74,300 square feet and located at 1525 O’Brien Drive, Menlo Park, California. We amended the related lease in June 2017 to add approximately 57,400 square feet at 1605 Adams Drive, Menlo Park, California. Our lease expires in 2026 and we have an option to extend the lease for an additional five years.</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In June 2020, we entered into an agreement to lease approximately 200,000 square feet of a building in Durham, North Carolina. Our lease expires in 2033 and we have three separate options to extend the lease, each for an additional five years.</w:t>
      </w:r>
    </w:p>
    <w:p>
      <w:pPr>
        <w:spacing w:after="0" w:line="145" w:lineRule="exact"/>
        <w:rPr>
          <w:sz w:val="20"/>
          <w:szCs w:val="20"/>
          <w:color w:val="auto"/>
        </w:rPr>
      </w:pPr>
    </w:p>
    <w:p>
      <w:pPr>
        <w:ind w:left="760" w:right="320" w:firstLine="388"/>
        <w:spacing w:after="0" w:line="258" w:lineRule="auto"/>
        <w:rPr>
          <w:sz w:val="20"/>
          <w:szCs w:val="20"/>
          <w:color w:val="auto"/>
        </w:rPr>
      </w:pPr>
      <w:r>
        <w:rPr>
          <w:rFonts w:ascii="Times New Roman" w:cs="Times New Roman" w:eastAsia="Times New Roman" w:hAnsi="Times New Roman"/>
          <w:sz w:val="16"/>
          <w:szCs w:val="16"/>
          <w:color w:val="auto"/>
        </w:rPr>
        <w:t>We hold CLIA Certificates of Accreditation Registration from the CMS and accreditations from CAP for our laboratories in Menlo Park, California, and Durham, North Carolina, and a Clinical Laboratory Certificate of Deemed Status from the State of California Department of Public Health. Our Menlo Park, California laboratory also holds a Clinical and Public Health Laboratory License from the California Department of Public Health.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facilities are sufficient to meet our current and anticipated near-term needs.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Employees and Human Capital</w:t>
      </w:r>
    </w:p>
    <w:p>
      <w:pPr>
        <w:spacing w:after="0" w:line="104" w:lineRule="exact"/>
        <w:rPr>
          <w:sz w:val="20"/>
          <w:szCs w:val="20"/>
          <w:color w:val="auto"/>
        </w:rPr>
      </w:pPr>
    </w:p>
    <w:p>
      <w:pPr>
        <w:ind w:left="1160"/>
        <w:spacing w:after="0"/>
        <w:tabs>
          <w:tab w:leader="none" w:pos="3980" w:val="left"/>
        </w:tabs>
        <w:rPr>
          <w:sz w:val="20"/>
          <w:szCs w:val="20"/>
          <w:color w:val="auto"/>
        </w:rPr>
      </w:pPr>
      <w:r>
        <w:rPr>
          <w:rFonts w:ascii="Times New Roman" w:cs="Times New Roman" w:eastAsia="Times New Roman" w:hAnsi="Times New Roman"/>
          <w:sz w:val="16"/>
          <w:szCs w:val="16"/>
          <w:color w:val="auto"/>
        </w:rPr>
        <w:t>As of December 31, 2023, we had</w:t>
      </w:r>
      <w:r>
        <w:rPr>
          <w:sz w:val="20"/>
          <w:szCs w:val="20"/>
          <w:color w:val="auto"/>
        </w:rPr>
        <w:tab/>
      </w:r>
      <w:r>
        <w:rPr>
          <w:rFonts w:ascii="Times New Roman" w:cs="Times New Roman" w:eastAsia="Times New Roman" w:hAnsi="Times New Roman"/>
          <w:sz w:val="15"/>
          <w:szCs w:val="15"/>
          <w:color w:val="auto"/>
        </w:rPr>
        <w:t>full-time employees in the United States. We also engage with contractors, vendors, and consultants.</w:t>
      </w:r>
    </w:p>
    <w:p>
      <w:pPr>
        <w:spacing w:after="0" w:line="23" w:lineRule="exact"/>
        <w:rPr>
          <w:sz w:val="20"/>
          <w:szCs w:val="20"/>
          <w:color w:val="auto"/>
        </w:rPr>
      </w:pPr>
    </w:p>
    <w:p>
      <w:pPr>
        <w:ind w:left="760" w:right="120"/>
        <w:spacing w:after="0" w:line="250" w:lineRule="auto"/>
        <w:rPr>
          <w:sz w:val="20"/>
          <w:szCs w:val="20"/>
          <w:color w:val="auto"/>
        </w:rPr>
      </w:pPr>
      <w:r>
        <w:rPr>
          <w:rFonts w:ascii="Times New Roman" w:cs="Times New Roman" w:eastAsia="Times New Roman" w:hAnsi="Times New Roman"/>
          <w:sz w:val="16"/>
          <w:szCs w:val="16"/>
          <w:color w:val="auto"/>
        </w:rPr>
        <w:t>We have invested substantial time and resources into building our team. Our success depends in large part on our collective effort across our areas of expertise and across sites in Menlo Park, California, Durham, North Carolina, Washington, D.C., and London, United Kingdom. Therefore, it is crucial that we continue to attract and retain high-performing employees from all demographics by providing competitive compensation and benefits, and fostering a diverse, inclusive, and safe workplace, while making opportunities for all employees to grow and develop in their careers. None of our employees are represented by a labor union or covered by a collective bargaining agreement. We consider our relationship with our employees to be good.</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480"/>
          </w:cols>
          <w:pgMar w:left="320" w:top="419" w:right="109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We are guided by our mission to detect cancer early, when it can be cured. Since our founding, we have built an entrepreneurial culture, driven to improve 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Fostering a Culture of Inclusivity and Belonging</w:t>
      </w:r>
    </w:p>
    <w:p>
      <w:pPr>
        <w:spacing w:after="0" w:line="106"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We are an innovation-driven company where diversity, inclusion, and equity are critical drivers to our success. We embrace talent from all backgrounds, seek out diverse perspectives, and facilitate and invite open and authentic conversations. Our diverse employee pool includes expertise across the specialties that drive our business. As of December 31, 2023, our workforce was % racially/ethnically diverse and % female.</w:t>
      </w:r>
    </w:p>
    <w:p>
      <w:pPr>
        <w:spacing w:after="0" w:line="157" w:lineRule="exact"/>
        <w:rPr>
          <w:sz w:val="20"/>
          <w:szCs w:val="20"/>
          <w:color w:val="auto"/>
        </w:rPr>
      </w:pPr>
    </w:p>
    <w:p>
      <w:pPr>
        <w:ind w:left="760" w:right="200" w:firstLine="388"/>
        <w:spacing w:after="0" w:line="277" w:lineRule="auto"/>
        <w:rPr>
          <w:sz w:val="20"/>
          <w:szCs w:val="20"/>
          <w:color w:val="auto"/>
        </w:rPr>
      </w:pPr>
      <w:r>
        <w:rPr>
          <w:rFonts w:ascii="Times New Roman" w:cs="Times New Roman" w:eastAsia="Times New Roman" w:hAnsi="Times New Roman"/>
          <w:sz w:val="15"/>
          <w:szCs w:val="15"/>
          <w:color w:val="auto"/>
        </w:rPr>
        <w:t>We are investing in culture and creating opportunities to build community for our employees. We currently have six employee resource groups (“ERGs”), which are sponsored by members of our executive and senior leadership teams. ERGs are employee-led groups that can help create a more inclusive culture and amplify the voices of employees with shared identities and experiences across the company. We have invested in resources to educate our employees on building an inclusive culture and on recognizing and managing bias. We also regularly survey employees on how effective our leadership has been in creating an equitable and inclusive workplace to discover new opportunities to build an inclusive community.</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company culture helps us to achieve our mission and is a core driver of our success.</w:t>
      </w:r>
    </w:p>
    <w:p>
      <w:pPr>
        <w:spacing w:after="0" w:line="112" w:lineRule="exact"/>
        <w:rPr>
          <w:sz w:val="20"/>
          <w:szCs w:val="20"/>
          <w:color w:val="auto"/>
        </w:rPr>
      </w:pPr>
    </w:p>
    <w:p>
      <w:pPr>
        <w:ind w:left="1620" w:right="140" w:hanging="375"/>
        <w:spacing w:after="0" w:line="281" w:lineRule="auto"/>
        <w:tabs>
          <w:tab w:leader="none" w:pos="162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Embrace Change</w:t>
      </w:r>
      <w:r>
        <w:rPr>
          <w:rFonts w:ascii="Times New Roman" w:cs="Times New Roman" w:eastAsia="Times New Roman" w:hAnsi="Times New Roman"/>
          <w:sz w:val="16"/>
          <w:szCs w:val="16"/>
          <w:color w:val="auto"/>
        </w:rPr>
        <w:t>—We operate in a dynamic environment. We need to mirror the external world and be agile, adaptive, and able to adjust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course to move in the direction required.</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Solve Problems Together</w:t>
      </w:r>
      <w:r>
        <w:rPr>
          <w:rFonts w:ascii="Times New Roman" w:cs="Times New Roman" w:eastAsia="Times New Roman" w:hAnsi="Times New Roman"/>
          <w:sz w:val="16"/>
          <w:szCs w:val="16"/>
          <w:color w:val="auto"/>
        </w:rPr>
        <w:t>—Working together allows us to take on increasingly complex problems.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81" w:lineRule="auto"/>
        <w:tabs>
          <w:tab w:leader="none" w:pos="162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Think BIG</w:t>
      </w:r>
      <w:r>
        <w:rPr>
          <w:rFonts w:ascii="Times New Roman" w:cs="Times New Roman" w:eastAsia="Times New Roman" w:hAnsi="Times New Roman"/>
          <w:sz w:val="16"/>
          <w:szCs w:val="16"/>
          <w:color w:val="auto"/>
        </w:rPr>
        <w:t>—We are leading BIG changes that require a long runway, and we’ll succeed by keeping our mission in sight as we work toward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goals.</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Be Courageous</w:t>
      </w:r>
      <w:r>
        <w:rPr>
          <w:rFonts w:ascii="Times New Roman" w:cs="Times New Roman" w:eastAsia="Times New Roman" w:hAnsi="Times New Roman"/>
          <w:sz w:val="16"/>
          <w:szCs w:val="16"/>
          <w:color w:val="auto"/>
        </w:rPr>
        <w:t>—We are going up against entrenched ways of thinking, which requires boldness, determination, and courage.</w:t>
      </w:r>
    </w:p>
    <w:p>
      <w:pPr>
        <w:spacing w:after="0" w:line="113" w:lineRule="exact"/>
        <w:rPr>
          <w:rFonts w:ascii="Times New Roman" w:cs="Times New Roman" w:eastAsia="Times New Roman" w:hAnsi="Times New Roman"/>
          <w:sz w:val="16"/>
          <w:szCs w:val="16"/>
          <w:color w:val="auto"/>
        </w:rPr>
      </w:pPr>
    </w:p>
    <w:p>
      <w:pPr>
        <w:ind w:left="1620" w:right="60" w:hanging="375"/>
        <w:spacing w:after="0" w:line="316" w:lineRule="auto"/>
        <w:tabs>
          <w:tab w:leader="none" w:pos="1620" w:val="left"/>
        </w:tabs>
        <w:numPr>
          <w:ilvl w:val="0"/>
          <w:numId w:val="4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Bring an Open Mind</w:t>
      </w:r>
      <w:r>
        <w:rPr>
          <w:rFonts w:ascii="Times New Roman" w:cs="Times New Roman" w:eastAsia="Times New Roman" w:hAnsi="Times New Roman"/>
          <w:sz w:val="15"/>
          <w:szCs w:val="15"/>
          <w:color w:val="auto"/>
        </w:rPr>
        <w:t>—We seek to improve cancer care, which requires engaging everyone in a conversation around what’s needed, what’s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possible, and how to approach problems in different ways with creative thinking. We’re open-minded, curious, and always learning.</w:t>
      </w:r>
    </w:p>
    <w:p>
      <w:pPr>
        <w:spacing w:after="0" w:line="119"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Each value has defined behaviors that link to our leadership attributes and our programming to keep our values as the cornerstone for how we show up with one another and support our customers. These values are embedded in our recruiting and hiring practices and performance management. We believe that our focus on our values helps support a culture of inclusivity and belonging. We operate from a place of openness, taking initiative to drive our shared success, while seeking input in order to grow ourselves and our customers.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Compensating and Supporting Our Colleagues</w:t>
      </w:r>
    </w:p>
    <w:p>
      <w:pPr>
        <w:spacing w:after="0" w:line="106" w:lineRule="exact"/>
        <w:rPr>
          <w:sz w:val="20"/>
          <w:szCs w:val="20"/>
          <w:color w:val="auto"/>
        </w:rPr>
      </w:pPr>
    </w:p>
    <w:p>
      <w:pPr>
        <w:jc w:val="both"/>
        <w:ind w:left="760" w:firstLine="388"/>
        <w:spacing w:after="0" w:line="258" w:lineRule="auto"/>
        <w:rPr>
          <w:sz w:val="20"/>
          <w:szCs w:val="20"/>
          <w:color w:val="auto"/>
        </w:rPr>
      </w:pPr>
      <w:r>
        <w:rPr>
          <w:rFonts w:ascii="Times New Roman" w:cs="Times New Roman" w:eastAsia="Times New Roman" w:hAnsi="Times New Roman"/>
          <w:sz w:val="16"/>
          <w:szCs w:val="16"/>
          <w:color w:val="auto"/>
        </w:rPr>
        <w:t>We are committed to providing equitable compensation opportunities to attract and retain accountable, team-oriented, high-performing colleagues with the purpose of driving our mission. We consider external market data as well as internal parity considerations when making compensation decisions using data-informed actions to build desirable programs. To incentivize top performance, we aim to differentiate pay increases and incentive programs in recognition of colleague contributions aligned to the success of the business.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0480"/>
          </w:cols>
          <w:pgMar w:left="320" w:top="419" w:right="109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take a holistic approach to supporting employee well-being through providing eligible colleagues and their eligible dependents with competitive health and wellness benefits, retirement savings plans, and work-life options designed to provide flexibility to thrive. We also provide flexible time off and other opportunities to enable balance. We are also devoted to investing in the development of our colleagues through learning and development opportunities to help them achieve their personal and professional goals.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Government Regulations</w:t>
      </w:r>
    </w:p>
    <w:p>
      <w:pPr>
        <w:spacing w:after="0" w:line="104"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We are subject to complex and frequently changing national, state, and local laws and regulations that govern various aspects of our business. In many jurisdictions, including the United States, the clinical laboratory and medical device industries must operate in accordance with extensive and complex legal standards, including laws and regulations related to certification, licensing, development, research, testing, manufacturing, laboratory operations, distribution, ordering and billing practices, advertising, promotion, marketing, sales and pricing practices, anti-markup practices, health information privacy and security, and consumer protection and unfair trade practices.</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the United States, the laws and regulations governing the marketing of diagnostic products are evolving, extremely complex, and in some instances, there are no significant regulatory or judicial interpretations of these laws and regulations. Clinical laboratory tests are regulated under CLIA, as well as by applicable state laws. In addition, the Federal Food, Drug and Cosmetic Act (“FDC Act”) defines a medical device to include any instrument, apparatus, implement, machine, contrivance, implant,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reagent, or other similar or related article, including a component part or accessory intended for use in the diagnosis of disease or other conditions, or in the cure, mitigation, treatment, or prevention of disease in man or other animals. The tests we are developing and marketing are considered by the FDA to be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The FDA has statutory authority to assure that medical devices are safe and effective for their intended uses, but the FDA has historically exercised its enforcement discretion and not enforced certain applicable provisions of the FDC Act and regulations with respect to LDTs. However, the FDA recently issued a proposed rule to phase out its enforcement discretion with respect to LDTs, which, if finalized, would make LDTs subject to the FDA’s medical device authority.</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U.S. Regulation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Clinical Laboratory Improvement Amendments of 1988 (CLIA)</w:t>
      </w:r>
    </w:p>
    <w:p>
      <w:pPr>
        <w:spacing w:after="0" w:line="104"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We are required to obtain and hold certain federal and state licenses, certificates, permits and accreditations to offer our products in the United States through our laboratory facilities in Menlo Park, California, and Durham, North Carolina. In 1988, Congress passed CLIA, establishing rigorous quality standards for laboratories in the United States that perform testing on human specimens for the purpose of providing information for the diagnosis, prevention, or treatment of disease or impairment of, or the assessment of the health of, human beings. Such testing may also include procedures to determine, measure, or otherwise describe the presence or absence of various substances or organisms in the body.</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CLIA requires such laboratories to be certified by the federal government and mandates compliance with ongoing requirements intended to ensure the accuracy, reliability, and timeliness of medical test results. CLIA certification is also a prerequisite to be eligible to bill federal and state healthcare programs, as well as many commercial third-party payors, for laboratory testing services. We hold CLIA Certificates of Accreditation from the CMS and accreditations from CAP for our Menlo Park, California and Durham, North Carolina laboratories, and a Clinical Laboratory Certificate of Deemed Status from the State of California Department of Public Health. Our Menlo Park, California laboratory also holds a Clinical and Public Health Laboratory License from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0460"/>
          </w:cols>
          <w:pgMar w:left="320" w:top="418" w:right="111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0"/>
        <w:spacing w:after="0" w:line="255" w:lineRule="auto"/>
        <w:rPr>
          <w:sz w:val="20"/>
          <w:szCs w:val="20"/>
          <w:color w:val="auto"/>
        </w:rPr>
      </w:pPr>
      <w:r>
        <w:rPr>
          <w:rFonts w:ascii="Times New Roman" w:cs="Times New Roman" w:eastAsia="Times New Roman" w:hAnsi="Times New Roman"/>
          <w:sz w:val="16"/>
          <w:szCs w:val="16"/>
          <w:color w:val="auto"/>
        </w:rPr>
        <w:t>California Department of Public Health. In order to obtain a CLIA certification, a laboratory must validate the test (ensure and document that the test provides accurate and reliable test results) and add the applicable specialty or subspecialty to the test menu. Before introducing and reporting patient results from an LDT, a laboratory is required to establish the specifications for a variety of performance characteristics, including accuracy, precision, analytical sensitivity, analytical specificity, reportable range, and reference interval. Such analytical validation is based on, among other things, the specific conditions, staff, and equipment of the particular laboratory.</w:t>
      </w:r>
    </w:p>
    <w:p>
      <w:pPr>
        <w:spacing w:after="0" w:line="165" w:lineRule="exact"/>
        <w:rPr>
          <w:sz w:val="20"/>
          <w:szCs w:val="20"/>
          <w:color w:val="auto"/>
        </w:rPr>
      </w:pPr>
    </w:p>
    <w:p>
      <w:pPr>
        <w:ind w:left="760" w:right="220" w:firstLine="388"/>
        <w:spacing w:after="0" w:line="253" w:lineRule="auto"/>
        <w:rPr>
          <w:sz w:val="20"/>
          <w:szCs w:val="20"/>
          <w:color w:val="auto"/>
        </w:rPr>
      </w:pPr>
      <w:r>
        <w:rPr>
          <w:rFonts w:ascii="Times New Roman" w:cs="Times New Roman" w:eastAsia="Times New Roman" w:hAnsi="Times New Roman"/>
          <w:sz w:val="16"/>
          <w:szCs w:val="16"/>
          <w:color w:val="auto"/>
        </w:rPr>
        <w:t>Prior to offering a new test at our laboratories, we must also satisfy certain notification requirements to change our testing menu, such as notifications to regulatory and accrediting bodies, CMS, the California Department of Public Health Laboratory Field Services, and CAP. At their discretion, any of these entities may inspect our clinical laboratory at any time. In connection with a CLIA certification, laboratories are subject to routine survey and inspection every other year, as well as additional random or “for cause” inspections. Under CLIA, a survey is generally conducted every two years by CMS, a CMS agent (typically a state agency), or, if the laboratory holds a CLIA Certificate of Accreditation, a CMS-approved accreditation organization (for example, CAP). The routine biennial survey includes review of the laboratory’s analytical validation of any LDTs performed by the laboratory.</w:t>
      </w:r>
    </w:p>
    <w:p>
      <w:pPr>
        <w:spacing w:after="0" w:line="166"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w:t>
      </w:r>
    </w:p>
    <w:p>
      <w:pPr>
        <w:spacing w:after="0" w:line="157"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laboratory personnel meet certain qualifications and obtain licenses, specify certain quality control procedures and facility requirements, or prescribe record maintenance requirements. For more information on state licensing and other requirements, see “—State Licensing Laws.”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State Licensing Laws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to the federal certification requirement for laboratories under CLIA, many states require licensure for laboratories under state law. For example, both California and North Carolina require laboratories to maintain in-state licenses to conduct testing in the state. In addition to in-state licensing requirements, certain states require licensing of out-of-state laboratories when specimens are collected or received from patients in such states. The state laboratory licensure requirements establish standards for the day-to-day operation of a clinical laboratory, including the training and qualifications required of personnel, quality control, and proficiency testing. Moreover, certain states, such as New York, require state approval of certain tests, including certain tests that have not been cleared or approved by the FDA (such as LDTs), through a premarket submission containing, among other information, documentation relating to device analytical and clinical performance data. The New York Department of Health also mandates proficiency testing for laboratories granted a permit under New York State law, regardless of whether or not such laboratories are located in New York. Clinical laboratory licensing laws in certain states, however, do not apply to laboratories operated for research purposes that do not return patient-specific results for the purpose of diagnosis or treatment.</w:t>
      </w:r>
    </w:p>
    <w:p>
      <w:pPr>
        <w:spacing w:after="0" w:line="170"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Non-compliance with state laboratory licensure requirements may cause the state agency to suspend, restrict, or revoke a license to operate the clinical laboratory, disapprove a licensure application, assess substantial civil money penalties, require onsite monitoring or impose specific corrective action plans. Certain statutory or regulatory noncompliance may also result in misdemeanor charges under state law. CLIA does not preempt state laws that have established laboratory quality standards that are at least as stringent as the federal law requirements under CLIA.</w:t>
      </w:r>
    </w:p>
    <w:p>
      <w:pPr>
        <w:spacing w:after="0" w:line="161" w:lineRule="exact"/>
        <w:rPr>
          <w:sz w:val="20"/>
          <w:szCs w:val="20"/>
          <w:color w:val="auto"/>
        </w:rPr>
      </w:pPr>
    </w:p>
    <w:p>
      <w:pPr>
        <w:ind w:left="760" w:right="460" w:firstLine="388"/>
        <w:spacing w:after="0" w:line="278" w:lineRule="auto"/>
        <w:rPr>
          <w:sz w:val="20"/>
          <w:szCs w:val="20"/>
          <w:color w:val="auto"/>
        </w:rPr>
      </w:pPr>
      <w:r>
        <w:rPr>
          <w:rFonts w:ascii="Times New Roman" w:cs="Times New Roman" w:eastAsia="Times New Roman" w:hAnsi="Times New Roman"/>
          <w:sz w:val="16"/>
          <w:szCs w:val="16"/>
          <w:color w:val="auto"/>
        </w:rPr>
        <w:t>In addition to laboratory licensing, certain states, including California, impose registration and/or licensing requirements on companies that manufacture medical devices. These laws can apply to a manufacturer before its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10460"/>
          </w:cols>
          <w:pgMar w:left="320" w:top="419" w:right="111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8" w:lineRule="auto"/>
        <w:rPr>
          <w:sz w:val="20"/>
          <w:szCs w:val="20"/>
          <w:color w:val="auto"/>
        </w:rPr>
      </w:pPr>
      <w:r>
        <w:rPr>
          <w:rFonts w:ascii="Times New Roman" w:cs="Times New Roman" w:eastAsia="Times New Roman" w:hAnsi="Times New Roman"/>
          <w:sz w:val="16"/>
          <w:szCs w:val="16"/>
          <w:color w:val="auto"/>
        </w:rPr>
        <w:t>products are commercialized, including when a company is evaluating its product candidates in clinical trials. Violations of these laws may result in the denial, suspension, or revocation of the registration or license, as well as other fines and penalties, including imprisonment.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 Food and Drug Administration</w:t>
      </w:r>
    </w:p>
    <w:p>
      <w:pPr>
        <w:spacing w:after="0" w:line="104" w:lineRule="exact"/>
        <w:rPr>
          <w:sz w:val="20"/>
          <w:szCs w:val="20"/>
          <w:color w:val="auto"/>
        </w:rPr>
      </w:pPr>
    </w:p>
    <w:p>
      <w:pPr>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In the United States, laboratory tests, such as Galleri and DAC, are subject to regulation by the FDA under the FDC Act and its implementing regulations, and other federal and state statutes and regulations. The laws and regulations govern, among other things, medical device development, testing, manufacture, labeling, storage, premarket clearance or approval, advertising and promotion, export, import, and product sales and distribution.</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Laboratory Developed Tests</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Under the FDA’s regulatory framework,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devices (“IVDs”), such as Galleri and DAC,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Although the FDA has statutory authority to assure that medical devices, including IVDs, are safe and effective for their intended uses, the FDA has historically exercised its enforcement discretion and not enforced certain applicable provisions of the FDC Act and regulations with respect to LDTs, with certain exceptions such as in the case of tests for public health emergencies or where the tests are offered directly to the consumer. Even under its current enforcement discretion policy, the FDA has issued warning letters to and safety communications about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 manufacturers for commercializing laboratory tests that were purported to be LDTs but that the FDA alleged failed to meet the definition of an LDT or otherwise were not subject to the FDA’s enforcement discretion policy.</w:t>
      </w:r>
    </w:p>
    <w:p>
      <w:pPr>
        <w:spacing w:after="0" w:line="16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 xml:space="preserve">The FDA has for a number of years stated its intention to modify its enforcement discretion policy with respect to LDTs and impose applicable medical device requirements to LDTs more broadly. Most recently, the FDA proposed an amendment to its regulations in October 2023 that, if finalized, would clarify the FDA’s historical view that LDTs are medical devices subject to the requirements applicable to other IVDs, and to phase out its enforcement discretion policy over a period of four years from issuance of the final rule. 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establish a risk-based approach to imposing requirements related to premarket review, quality systems, and labeling requirements on all IVCTs, including LDTs, but would grandfather certain LDTs marketed before the effective date of the bill and exempt them from certain requirements. Depending on the approach adopted under any potential legislation, certain LDTs (likely those of higher risk) may be required to undergo some form of premarket review, potentially with a transition period for compliance and a grandfathering provision. Pending the FDA’s issuance of the final rule or Congress’s enactment of legislation governing LDTs, LDTs remain subject to the FDA’s existing policy of enforcement discretion.</w:t>
      </w:r>
    </w:p>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PMA Pathway</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The FDA categorizes medical devices into one of three classes—class I, II, or III—based on the risks presented by the device and the regulatory controls necessary to provide a reasonable assurance of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0480"/>
          </w:cols>
          <w:pgMar w:left="320" w:top="419" w:right="109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3" w:lineRule="auto"/>
        <w:rPr>
          <w:sz w:val="20"/>
          <w:szCs w:val="20"/>
          <w:color w:val="auto"/>
        </w:rPr>
      </w:pPr>
      <w:r>
        <w:rPr>
          <w:rFonts w:ascii="Times New Roman" w:cs="Times New Roman" w:eastAsia="Times New Roman" w:hAnsi="Times New Roman"/>
          <w:sz w:val="15"/>
          <w:szCs w:val="15"/>
          <w:color w:val="auto"/>
        </w:rPr>
        <w:t>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Special controls are established by the FDA for a specific device type and often include specific labeling provisions, performance metrics, and other types of controls that mitigate risks of the device (usually incorrect results for an IVD).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50"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 xml:space="preserve">Class III devices generally require PMA approval before they can be marketed. Obtaining PMA approval requires the submission of “valid scientific evidence” to the FDA to support a finding of a reasonable assurance of the safety and effectiveness of the device. A PMA must provide complete analytical and clinical performance data and also information about the device and its components regarding, among other things, device design, manufacturing, and labeling. Following receipt of a PMA, the FDA determines whether the application is sufficiently complete to permit a substantive review. If the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As part of the FDA’s review of a PMA, the FDA will typically inspect the manufacturer’s facilities for compliance with QSR requirements, which impose requirements related to design controls, manufacturing controls, documentation, and other quality assurance procedures. The user fee costs and the length of the FDA review time for obtaining PMA approval are significantly higher than for a 510(k) notification or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w:t>
      </w:r>
    </w:p>
    <w:p>
      <w:pPr>
        <w:spacing w:after="0" w:line="16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65"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48" w:lineRule="exact"/>
        <w:rPr>
          <w:sz w:val="20"/>
          <w:szCs w:val="20"/>
          <w:color w:val="auto"/>
        </w:rPr>
      </w:pPr>
    </w:p>
    <w:p>
      <w:pPr>
        <w:ind w:left="760" w:right="48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510(k) Notification Pathway. </w:t>
      </w:r>
      <w:r>
        <w:rPr>
          <w:rFonts w:ascii="Times New Roman" w:cs="Times New Roman" w:eastAsia="Times New Roman" w:hAnsi="Times New Roman"/>
          <w:sz w:val="16"/>
          <w:szCs w:val="16"/>
          <w:color w:val="auto"/>
        </w:rPr>
        <w:t>To obtain 510(k) clearance, a manufacturer must submit a premarket notification demonstrating to the FDA’s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satisfaction that the proposed device is “substantially equivalent” to</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10420"/>
          </w:cols>
          <w:pgMar w:left="320" w:top="419" w:right="11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54" w:lineRule="auto"/>
        <w:rPr>
          <w:sz w:val="20"/>
          <w:szCs w:val="20"/>
          <w:color w:val="auto"/>
        </w:rPr>
      </w:pPr>
      <w:r>
        <w:rPr>
          <w:rFonts w:ascii="Times New Roman" w:cs="Times New Roman" w:eastAsia="Times New Roman" w:hAnsi="Times New Roman"/>
          <w:sz w:val="16"/>
          <w:szCs w:val="16"/>
          <w:color w:val="auto"/>
        </w:rPr>
        <w:t>another legally marketed device that itself does not require PMA approval (a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12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If the FDA agrees that the device is substantially equivalent to a lawfully marketed predicate device, it will grant 510(k) clearance to authorize the device for commercialization.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process, which is a route to market for novel medical devices that are low to moderate risk and are not substantially equivalent to a predicate device. Once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petition is reviewed and approved, it results in the device having a Class II status, and future devices from the company or a third party may use the company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-classified device as a 510(k) predicate.</w:t>
      </w:r>
    </w:p>
    <w:p>
      <w:pPr>
        <w:spacing w:after="0" w:line="16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After a device receives 510(k) clearance or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any modification that could significantly affect its safety or effectiveness, or that would constitute a major change or modification in its intended use, will require a new 510(k) clearance or, depending on the modification, PMA approval or new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The FDA requires each manufacturer to determine whether the proposed change requires submission of a 510(k) or a PMA in the first instance, but the FDA can review any such decision and disagree with a manufacturer’s determination. Modifications that do not rise to the level of requiring a new 510(k) are accomplished through a “letter to file” in which the company documents the rationale for the change and why a new 510(k) is not required. However, if the FDA disagrees with a manufacturer’s determination, the FDA can require the manufacturer to cease marketing and/or request the recall of the modified device until new marketing authorization for the change is obtained. Also, in these circumstances, the manufacturer may be subject to significant regulatory fines or penalties.</w:t>
      </w:r>
    </w:p>
    <w:p>
      <w:pPr>
        <w:spacing w:after="0" w:line="164"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September 2023, the FDA issued three draft guidance documents to strengthen and modernize the 510(k) program, and the FDA noted that in light of increasing technical complexity, clinical data are increasingly being required to support substantial equivalence determinations.</w:t>
      </w:r>
    </w:p>
    <w:p>
      <w:pPr>
        <w:spacing w:after="0" w:line="163"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De Novo Classification Pathway. </w:t>
      </w:r>
      <w:r>
        <w:rPr>
          <w:rFonts w:ascii="Times New Roman" w:cs="Times New Roman" w:eastAsia="Times New Roman" w:hAnsi="Times New Roman"/>
          <w:sz w:val="16"/>
          <w:szCs w:val="16"/>
          <w:color w:val="auto"/>
        </w:rPr>
        <w:t>If no legally marketed predicate can be identified for a new device to enable use of the 510(k) pathway,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device is automatically classified under the FDC Act into class III, which generally requires PMA approval. However, the FDA can reclassify or use “</w:t>
      </w:r>
      <w:r>
        <w:rPr>
          <w:rFonts w:ascii="Times New Roman" w:cs="Times New Roman" w:eastAsia="Times New Roman" w:hAnsi="Times New Roman"/>
          <w:sz w:val="16"/>
          <w:szCs w:val="16"/>
          <w:i w:val="1"/>
          <w:iCs w:val="1"/>
          <w:color w:val="auto"/>
        </w:rPr>
        <w:t>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novo </w:t>
      </w:r>
      <w:r>
        <w:rPr>
          <w:rFonts w:ascii="Times New Roman" w:cs="Times New Roman" w:eastAsia="Times New Roman" w:hAnsi="Times New Roman"/>
          <w:sz w:val="16"/>
          <w:szCs w:val="16"/>
          <w:color w:val="auto"/>
        </w:rPr>
        <w:t>classification” for a device that meets the FDC Act standards for a class I or class II device, permitting the device to be marketed without PMA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approval. To grant such a reclassification, the FDA must determine that the FDC Act’s general controls alone, or general controls and special controls together, are sufficient to provide a reasonable assurance of the device’s safety and effectiveness.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route is generally less burdensome than the PMA approval process.</w:t>
      </w:r>
    </w:p>
    <w:p>
      <w:pPr>
        <w:spacing w:after="0" w:line="165" w:lineRule="exact"/>
        <w:rPr>
          <w:sz w:val="20"/>
          <w:szCs w:val="20"/>
          <w:color w:val="auto"/>
        </w:rPr>
      </w:pPr>
    </w:p>
    <w:p>
      <w:pPr>
        <w:ind w:left="760" w:firstLine="388"/>
        <w:spacing w:after="0" w:line="256" w:lineRule="auto"/>
        <w:rPr>
          <w:sz w:val="20"/>
          <w:szCs w:val="20"/>
          <w:color w:val="auto"/>
        </w:rPr>
      </w:pPr>
      <w:r>
        <w:rPr>
          <w:rFonts w:ascii="Times New Roman" w:cs="Times New Roman" w:eastAsia="Times New Roman" w:hAnsi="Times New Roman"/>
          <w:sz w:val="16"/>
          <w:szCs w:val="16"/>
          <w:i w:val="1"/>
          <w:iCs w:val="1"/>
          <w:color w:val="auto"/>
        </w:rPr>
        <w:t>Investigational Device Exemption Process</w:t>
      </w:r>
      <w:r>
        <w:rPr>
          <w:rFonts w:ascii="Times New Roman" w:cs="Times New Roman" w:eastAsia="Times New Roman" w:hAnsi="Times New Roman"/>
          <w:sz w:val="16"/>
          <w:szCs w:val="16"/>
          <w:color w:val="auto"/>
        </w:rPr>
        <w:t>. Clinical trials are almost always required to support a PMA and are sometimes required to support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510(k)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155</w:t>
      </w:r>
    </w:p>
    <w:p>
      <w:pPr>
        <w:sectPr>
          <w:pgSz w:w="11900" w:h="16838" w:orient="portrait"/>
          <w:cols w:equalWidth="0" w:num="1">
            <w:col w:w="10460"/>
          </w:cols>
          <w:pgMar w:left="320" w:top="419" w:right="111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70"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6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Expedited Development and Review Programs. </w:t>
      </w:r>
      <w:r>
        <w:rPr>
          <w:rFonts w:ascii="Times New Roman" w:cs="Times New Roman" w:eastAsia="Times New Roman" w:hAnsi="Times New Roman"/>
          <w:sz w:val="16"/>
          <w:szCs w:val="16"/>
          <w:color w:val="auto"/>
        </w:rPr>
        <w:t>The FDA has established programs to support and expedite the development of devices that meet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criteria for Breakthrough Device designation, which can be voluntarily requested by sponsors. The program offers manufacturers of certain devices an opportunity to interact with the FDA more frequently and efficiently as they develop their products with the goal of expediting commercialization of such products to help patients have more timely access, as well as use of post-market data collection, when scientifically appropriate, to facilitate expedited and efficient development and review of the device, opportunities for efficient and flexible clinical study design, and priority review of premarket submissions. The program is available to medical devices that meet certain eligibility criteria, including that the device provides more effective treatment or diagnosis of life-threatening or irreversibly debilitating diseases or conditions, and constitutes a device (i) that represents a breakthrough technology, (ii) for which no approved or cleared alternatives exist, (iii) that offer significant advantages over existing approved or cleared alternatives, or (iv) the availability of which is in the best interest of patients.</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156</w:t>
      </w:r>
    </w:p>
    <w:p>
      <w:pPr>
        <w:sectPr>
          <w:pgSz w:w="11900" w:h="16838" w:orient="portrait"/>
          <w:cols w:equalWidth="0" w:num="1">
            <w:col w:w="10460"/>
          </w:cols>
          <w:pgMar w:left="320" w:top="419" w:right="111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right="54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Postmarket Regulation</w:t>
      </w:r>
      <w:r>
        <w:rPr>
          <w:rFonts w:ascii="Times New Roman" w:cs="Times New Roman" w:eastAsia="Times New Roman" w:hAnsi="Times New Roman"/>
          <w:sz w:val="16"/>
          <w:szCs w:val="16"/>
          <w:color w:val="auto"/>
        </w:rPr>
        <w:t>. After a device is cleared or approved by the FDA for marketing, numerous and pervasive regulatory requirements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 to apply. These include:</w:t>
      </w:r>
    </w:p>
    <w:p>
      <w:pPr>
        <w:spacing w:after="0" w:line="59" w:lineRule="exact"/>
        <w:rPr>
          <w:sz w:val="20"/>
          <w:szCs w:val="20"/>
          <w:color w:val="auto"/>
        </w:rPr>
      </w:pPr>
    </w:p>
    <w:p>
      <w:pPr>
        <w:ind w:left="1620" w:hanging="375"/>
        <w:spacing w:after="0"/>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registration and device listing with the FDA;</w:t>
      </w:r>
    </w:p>
    <w:p>
      <w:pPr>
        <w:spacing w:after="0" w:line="113"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“off-label” uses of cleared or approved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related to promotional activities;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63" w:lineRule="auto"/>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73"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FDA’s recall authority, whereby the agency can order device manufacturers to recall from the market a product that is in violation of governing laws and regulations; and</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post-market surveillance activities and regulations, which apply when deemed by the FDA to be necessary to protect the public health or to provide additional safety and effectiveness data for the device.</w:t>
      </w:r>
    </w:p>
    <w:p>
      <w:pPr>
        <w:spacing w:after="0" w:line="145" w:lineRule="exact"/>
        <w:rPr>
          <w:sz w:val="20"/>
          <w:szCs w:val="20"/>
          <w:color w:val="auto"/>
        </w:rPr>
      </w:pPr>
    </w:p>
    <w:p>
      <w:pPr>
        <w:ind w:left="760" w:right="20" w:firstLine="388"/>
        <w:spacing w:after="0" w:line="271" w:lineRule="auto"/>
        <w:rPr>
          <w:sz w:val="20"/>
          <w:szCs w:val="20"/>
          <w:color w:val="auto"/>
        </w:rPr>
      </w:pPr>
      <w:r>
        <w:rPr>
          <w:rFonts w:ascii="Times New Roman" w:cs="Times New Roman" w:eastAsia="Times New Roman" w:hAnsi="Times New Roman"/>
          <w:sz w:val="15"/>
          <w:szCs w:val="15"/>
          <w:color w:val="auto"/>
        </w:rPr>
        <w:t>Device manufacturing processes subject to FDA oversight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Manufacturers are subject to periodic scheduled or unscheduled inspections by the FDA. A failure to maintain compliance with the QSR requirements could result in the shut-down of, or restrictions on, manufacturing operations and the recall or seizure of products. The discovery of previously unknown problems with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53" w:lineRule="exact"/>
        <w:rPr>
          <w:sz w:val="20"/>
          <w:szCs w:val="20"/>
          <w:color w:val="auto"/>
        </w:rPr>
      </w:pPr>
    </w:p>
    <w:p>
      <w:pPr>
        <w:ind w:left="760" w:right="20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FDA Enforcement Powers. </w:t>
      </w:r>
      <w:r>
        <w:rPr>
          <w:rFonts w:ascii="Times New Roman" w:cs="Times New Roman" w:eastAsia="Times New Roman" w:hAnsi="Times New Roman"/>
          <w:sz w:val="16"/>
          <w:szCs w:val="16"/>
          <w:color w:val="auto"/>
        </w:rPr>
        <w:t>The FDA has broad regulatory compliance and enforcement powers. If the FDA determines that a manufacturer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failed to comply with applicable regulatory requirements, it can take a variety of compliance or enforcement actions, including the following:</w:t>
      </w:r>
    </w:p>
    <w:p>
      <w:pPr>
        <w:spacing w:after="0" w:line="59" w:lineRule="exact"/>
        <w:rPr>
          <w:sz w:val="20"/>
          <w:szCs w:val="20"/>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warning letters, untitled letters, fines, injunctions, consent decrees and civil penalties;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requesting or requiring recalls, withdrawals, or administrative detention or seizure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operating restrictions or partial suspension or total shutdown of production;</w:t>
      </w:r>
    </w:p>
    <w:p>
      <w:pPr>
        <w:spacing w:after="0" w:line="113" w:lineRule="exact"/>
        <w:rPr>
          <w:rFonts w:ascii="Times New Roman" w:cs="Times New Roman" w:eastAsia="Times New Roman" w:hAnsi="Times New Roman"/>
          <w:sz w:val="16"/>
          <w:szCs w:val="16"/>
          <w:color w:val="auto"/>
        </w:rPr>
      </w:pPr>
    </w:p>
    <w:p>
      <w:pPr>
        <w:ind w:left="5500" w:right="1300" w:hanging="4255"/>
        <w:spacing w:after="0" w:line="449" w:lineRule="auto"/>
        <w:tabs>
          <w:tab w:leader="none" w:pos="1621"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refusing or delaying requests for 510(k) marketing clearance or PMA approvals of new products or modified products; 157</w:t>
      </w:r>
    </w:p>
    <w:p>
      <w:pPr>
        <w:sectPr>
          <w:pgSz w:w="11900" w:h="16838" w:orient="portrait"/>
          <w:cols w:equalWidth="0" w:num="1">
            <w:col w:w="10460"/>
          </w:cols>
          <w:pgMar w:left="320" w:top="419" w:right="111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withdrawing 510(k) clearances or PMA approvals that have already been granted;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grant export approvals for our products;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criminal prosecution.</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Federal and State Physician Self-Referral Prohibitions</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are subject to the federal physician self-referral prohibitions, commonly known as the Stark Law. The Stark Law generally prohibits us from billing, presenting, or causing to be presented a claim for any clinical laboratory services or other designated health services payable by the Medicare or Medicaid programs when the physician ordering the service, or any member of such physician’s immediate family, has an ownership interest in, or compensation arrangement with, us, unless the arrangement meets an exception to the prohibition. The Stark Law contains several exceptions, including an exception for compensation paid to a physician for personal services rendered by the physician provided that several conditions are met, including that the payment is set at fair market value for the services furnished and the terms of the arrangement be set out in writing and signed by the parties. These prohibitions apply regardless of the reasons for the financial relationship and the referral. The Stark Law is a strict liability statute, and thus no finding of intent is required for a violation.</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Sanctions for a violation of the Stark Law include the following:</w:t>
      </w:r>
    </w:p>
    <w:p>
      <w:pPr>
        <w:spacing w:after="0" w:line="114" w:lineRule="exact"/>
        <w:rPr>
          <w:sz w:val="20"/>
          <w:szCs w:val="20"/>
          <w:color w:val="auto"/>
        </w:rPr>
      </w:pPr>
    </w:p>
    <w:p>
      <w:pPr>
        <w:ind w:left="1620" w:hanging="375"/>
        <w:spacing w:after="0"/>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denial of payment for the services provided in violation of the prohibition;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refunds of amounts collected by an entity in violation of the Stark Law;</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penalties;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federal healthcare programs, including Medicare and Medicaid.</w:t>
      </w:r>
    </w:p>
    <w:p>
      <w:pPr>
        <w:spacing w:after="0" w:line="197"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In addition, violations of the Stark Law may also serve as the basis for liability under the Federal False Claims Act, which prohibits knowingly presenting, or causing to be presented, a false or fraudulent claim for payment to the federal government.</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Many states, including California, also have laws restricting physicians from referring persons for certain services to entities in which the referring physician has a financial interest, which may apply regardless of whether the payor for such claims is Medicare or Medicaid. For example, we are subject to the California Physician Ownership and Referral Act of 1993 (“PORA”). PORA, which applies regardless of payor type, generally prohibits physicians from referring individuals for certain services, including laboratory or diagnostic services, if the physician or his or her immediate family has a financial interest in the entity receiving the referral. PORA would generally prohibit us from billing an individual or any governmental or private payor for any laboratory or diagnostic services when the physician ordering the service, or any member of such physician’s immediate family, has an investment interest in, or compensation arrangement with, us, unless the arrangement falls under one of the statutory exceptions. Further, certain violations of PORA are a misdemeanor, and violations generally could result in civil penalties, criminal fines, and disciplinary action by the applicable governmental agency. Finally, other states have self-referral restrictions with which we have to comply, which may differ from those imposed by federal and California law.</w:t>
      </w:r>
    </w:p>
    <w:p>
      <w:pPr>
        <w:spacing w:after="0" w:line="2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Healthcare Fraud and Abuse</w:t>
      </w:r>
    </w:p>
    <w:p>
      <w:pPr>
        <w:spacing w:after="0" w:line="104" w:lineRule="exact"/>
        <w:rPr>
          <w:sz w:val="20"/>
          <w:szCs w:val="20"/>
          <w:color w:val="auto"/>
        </w:rPr>
      </w:pPr>
    </w:p>
    <w:p>
      <w:pPr>
        <w:ind w:left="760" w:right="280" w:firstLine="388"/>
        <w:spacing w:after="0" w:line="313" w:lineRule="auto"/>
        <w:rPr>
          <w:sz w:val="20"/>
          <w:szCs w:val="20"/>
          <w:color w:val="auto"/>
        </w:rPr>
      </w:pPr>
      <w:r>
        <w:rPr>
          <w:rFonts w:ascii="Times New Roman" w:cs="Times New Roman" w:eastAsia="Times New Roman" w:hAnsi="Times New Roman"/>
          <w:sz w:val="15"/>
          <w:szCs w:val="15"/>
          <w:color w:val="auto"/>
        </w:rPr>
        <w:t>If and when we commercially launch a product in the United States, our business operations, including any relationship we may form with physicians, healthcare providers or other potential customers or business partners, will need to comply with various healthcare fraud and abuse laws.</w:t>
      </w:r>
    </w:p>
    <w:p>
      <w:pPr>
        <w:spacing w:after="0" w:line="12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federal healthcare program Anti-Kickback Statute makes it a felony for a person or entity, including a laboratory, to knowingly and willfully offer, pay, solicit, or receive remuneration, directly or indirectly, in order</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158</w:t>
      </w:r>
    </w:p>
    <w:p>
      <w:pPr>
        <w:sectPr>
          <w:pgSz w:w="11900" w:h="16838" w:orient="portrait"/>
          <w:cols w:equalWidth="0" w:num="1">
            <w:col w:w="10480"/>
          </w:cols>
          <w:pgMar w:left="320" w:top="419" w:right="109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to induce business that is reimbursable under any federal healthcare program, including the Medicare and Medicaid programs. A person or entity does not need to have actual knowledge of the statute or specific intent to violate it in order to have committed a violation. The Anti-Kickback Statute contains certain statutory exceptions and regulatory safe harbors that protect certain interactions if specific requirements are met. If an arrangement meets the provisions of a safe harbor, it is deemed not to violate the Anti-Kickback Statute. An arrangement must fully comply with each element of an applicable safe harbor in order to qualify for protection. The failure of a transaction or arrangement to fit within a specific safe harbor, however, does not necessarily mean that the transaction or arrangement is illegal or that prosecution under the federal Anti-Kickback Statute will be pursued if the arrangement is determined by the government not to be abusive. A violation of the Anti-Kickback Statute may result in imprisonment, fines and possible exclusion from Medicare, Medicaid, and other federal healthcare programs. Actions that violate the Anti-Kickback Statute or any similar laws may also incur liability under the Federal False Claims Act.</w:t>
      </w:r>
    </w:p>
    <w:p>
      <w:pPr>
        <w:spacing w:after="0" w:line="16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Although the Anti-Kickback Statute applies only to federal healthcare programs, a number of states have passed statutes substantially similar to the Anti-Kickback Statute. For example, California has enacted the PORA (see “—Federal and State Physician Self-Referral Prohibitions” above) and a Medi-Cal Anti-Kickback Statute, Welfare and Institutions Code Section 14107.2, that prohibit conduct similar to that prohibited by the Anti-Kickback Statute. Violations of PORA and Section 14107.2 are both punishable by imprisonment and fines. Many other states have all-payor statutes that extend the provisions of the state anti-kickback statute to not only governmental payors, but also private payors and self-pay patients.</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Federal and state law enforcement authorities scrutinize arrangements between healthcare providers and potential referral sources to ensure that the arrangements are not designed as a mechanism to induce healthcare referrals or induce the purchase, prescribing or ordering of particular products or services. Law enforcement authorities and the courts have also demonstrated a willingness to look behind the formalities of a transaction to determine the underlying purpose of any remuneration exchanged between healthcare providers and actual or potential referral sources. Generally, courts have taken a broad interpretation of the scope of the Anti-Kickback Statute, holding that the statute may be violated if merely one purpose of a payment arrangement is to induce referrals or purchases. Investigation or challenge under the federal Anti-Kickback Statute and analogous state laws of any relationship we may form with physicians, healthcare providers or other potential customers or business partners could lead to sanctions that could have a negative effect on our business.</w:t>
      </w:r>
    </w:p>
    <w:p>
      <w:pPr>
        <w:spacing w:after="0" w:line="168"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addition, other healthcare fraud and abuse laws could have an effect on our business. For example,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w:t>
      </w:r>
    </w:p>
    <w:p>
      <w:pPr>
        <w:spacing w:after="0" w:line="161"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The federal Civil Monetary Penalties law prohibits, among other things, offering or transferring remuneration to a federal healthcare program beneficiary that a person knows or should know is likely to influence the beneficiary’s decision to order or receive items or services reimbursable by a federal healthcare program from a particular provider or supplier. Penalties for violating the Civil Monetary Penalties law may include exclusion from federal healthcare programs and substantial fines.</w:t>
      </w:r>
    </w:p>
    <w:p>
      <w:pPr>
        <w:spacing w:after="0" w:line="161" w:lineRule="exact"/>
        <w:rPr>
          <w:sz w:val="20"/>
          <w:szCs w:val="20"/>
          <w:color w:val="auto"/>
        </w:rPr>
      </w:pPr>
    </w:p>
    <w:p>
      <w:pPr>
        <w:ind w:left="760" w:right="160" w:firstLine="388"/>
        <w:spacing w:after="0" w:line="274" w:lineRule="auto"/>
        <w:rPr>
          <w:sz w:val="20"/>
          <w:szCs w:val="20"/>
          <w:color w:val="auto"/>
        </w:rPr>
      </w:pPr>
      <w:r>
        <w:rPr>
          <w:rFonts w:ascii="Times New Roman" w:cs="Times New Roman" w:eastAsia="Times New Roman" w:hAnsi="Times New Roman"/>
          <w:sz w:val="15"/>
          <w:szCs w:val="15"/>
          <w:color w:val="auto"/>
        </w:rPr>
        <w:t>The Federal False Claims Act prohibits a person from knowingly submitting (or causing to be submitted) a claim, making a false record or statement in order to secure payment, or retaining an overpayment by the federal government. Moreover, the government may assert that a claim including items and services resulting from a violation of the U.S. federal Anti-Kickback Statute constitutes a false or fraudulent claim for purposes of the civil False Claims Act. In addition to actions initiated by the government itself, the statute authorizes actions to be brought on behalf of the federal government by a private party known as the “relator” who has knowledge of the alleged fraud. These types of actions are also known as qui tam or “whistleblower” lawsuits. Because the complaint is initially filed under seal, the action may be pending for some time before the defendant is even</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159</w:t>
      </w:r>
    </w:p>
    <w:p>
      <w:pPr>
        <w:sectPr>
          <w:pgSz w:w="11900" w:h="16838" w:orient="portrait"/>
          <w:cols w:equalWidth="0" w:num="1">
            <w:col w:w="10480"/>
          </w:cols>
          <w:pgMar w:left="320" w:top="419" w:right="109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89" w:lineRule="auto"/>
        <w:rPr>
          <w:sz w:val="20"/>
          <w:szCs w:val="20"/>
          <w:color w:val="auto"/>
        </w:rPr>
      </w:pPr>
      <w:r>
        <w:rPr>
          <w:rFonts w:ascii="Times New Roman" w:cs="Times New Roman" w:eastAsia="Times New Roman" w:hAnsi="Times New Roman"/>
          <w:sz w:val="15"/>
          <w:szCs w:val="15"/>
          <w:color w:val="auto"/>
        </w:rPr>
        <w:t>aware of the action. If the government is ultimately successful in obtaining redress in the matter or if the plaintiff succeeds in obtaining redress without the government’s involvement, then the plaintiff will receive a percentage of the recovery. It is not uncommon for qui tam lawsuits to be filed by employees, third parties or consultants of healthcare providers, including clinical laboratories. Several states have also enacted similar false claims laws.</w:t>
      </w:r>
    </w:p>
    <w:p>
      <w:pPr>
        <w:spacing w:after="0" w:line="138"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Further, the Health Insurance Portability and Accountability Act of 1996 (“HIPAA”) created two federal crimes: healthcare fraud and false statements relating to healthcare matters, in addition to the privacy and security regulations described below under “—Privacy Regulation.”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A violation of this statute is a felony and may result in fines or imprisonment.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Similar foreign laws and regulations may apply to us if we offer our products in foreign jurisdictions in the future.</w:t>
      </w:r>
    </w:p>
    <w:p>
      <w:pPr>
        <w:spacing w:after="0" w:line="197"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While we intend fully to comply with applicable federal and state fraud and abuse laws, and similar laws of other states and countries as we commercialize products, it is possible that some of our arrangements or arrangements we may enter into in the future could become subject to regulatory scrutiny, and we cannot provide assurance that we will be found to be in compliance with these laws following any such regulatory review.</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Transparency Laws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Sunshine Act was enacted by Congress in 2010 as part of the Affordable Care Act (“ACA”) and was amended in 2018 by the Substance Use-Disorder Prevention that Promotes Opioid Recovery and Treatment for Patients and Communities Act. The Sunshine Act requires certain manufacturers of drugs, devices, biologics and medical supplies for which payment is available under Medicare, Medicaid or the Children’s Health Insurance Program, with specific exceptions, to report annually to CMS certain data on payments and other transfers of value made to U.S.-licensed physicians (as defined by statute), teaching hospitals, and certain non-physician practitioners, including physician assistants, nurse practitioners, clinical nurse specialists, certified nurse anesthetists, anesthesiologist assistants and certified nurse-midwives. The data are sent to CMS for public disclosure on the Open Payments.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Additional International Regulation and Product Approval</w:t>
      </w:r>
    </w:p>
    <w:p>
      <w:pPr>
        <w:spacing w:after="0" w:line="104" w:lineRule="exact"/>
        <w:rPr>
          <w:sz w:val="20"/>
          <w:szCs w:val="20"/>
          <w:color w:val="auto"/>
        </w:rPr>
      </w:pPr>
    </w:p>
    <w:p>
      <w:pPr>
        <w:ind w:left="760" w:right="280" w:firstLine="388"/>
        <w:spacing w:after="0" w:line="255" w:lineRule="auto"/>
        <w:rPr>
          <w:sz w:val="20"/>
          <w:szCs w:val="20"/>
          <w:color w:val="auto"/>
        </w:rPr>
      </w:pPr>
      <w:r>
        <w:rPr>
          <w:rFonts w:ascii="Times New Roman" w:cs="Times New Roman" w:eastAsia="Times New Roman" w:hAnsi="Times New Roman"/>
          <w:sz w:val="16"/>
          <w:szCs w:val="16"/>
          <w:color w:val="auto"/>
        </w:rPr>
        <w:t>We may have to obtain or submit approvals, markings, notifications, certifications or satisfy other premarket requirements from regulatory authorities in non-U.S. jurisdictions prior to marketing our products in those countries and territories. The laws and regulations in other jurisdictions vary from those in the United States and may be easier or more difficult to satisfy, and they are subject to change, in some cases frequently. Certain regulatory authorities regulate LDTs and IVDs differently than the United States, and our products may need to satisfy additional requirements to be offered commercially within the jurisdictions.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Regulation</w:t>
      </w:r>
    </w:p>
    <w:p>
      <w:pPr>
        <w:spacing w:after="0" w:line="106"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Medical devices (including IVDs) are subject to extensive regulation, such as premarket review, marketing authorization or certification, by similar agencies or notified bodies in other countries. Regulatory requirements and approval or certification processes are not harmonized and vary from one country to another. International regulators and notified bodies are independent and not bound by the findings of the FDA.</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160</w:t>
      </w:r>
    </w:p>
    <w:p>
      <w:pPr>
        <w:sectPr>
          <w:pgSz w:w="11900" w:h="16838" w:orient="portrait"/>
          <w:cols w:equalWidth="0" w:num="1">
            <w:col w:w="10460"/>
          </w:cols>
          <w:pgMar w:left="320" w:top="418" w:right="111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European Union</w:t>
      </w:r>
    </w:p>
    <w:p>
      <w:pPr>
        <w:spacing w:after="0" w:line="104"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are or may become subject to new laws, regulations, and industry standards concerning medical devices proposed and enacted in various foreign jurisdictions, including the European Union (“EU”). The EU has adopted specific directives and regulations regulating the design, manufacture, clinical investigation, conformity assessment, labeling, and adverse event reporting for IVDs. Until May 25, 2022, IVDs were regulated by Directive 98/79/EC (“EU IVDD”), which has been repealed and replaced by Regulation (EU) No 2017/746 (“EU IVDR”). The EU IVDR became effective on May 26, 2022. However, to prevent disruption in the supply of IVDs on the EU market, a regulation adopted by the European Parliament and the Council on December 15, 2021 enacted a “progressive” roll-out of the EU IVDR and provided for a tiered grace period for most devices depending on the risk classification of the device. Galleri currently benefits from the grace period applicable to Class C IVDs, and therefore must only be fully compliant with the EU IVDR requirements by May 26, 2026. Galleri has been assessed in accordance with the EU IVDD whose regime is described below. However, as of May 26, 2022 and regardless of the tiered grace period, some of the EU IVDR requirements apply in place of the corresponding requirements of the EU IVDD with regard to registration of economic operators and of devices, post-market surveillance and vigilance requirements. Pursuing marketing of IVDs in the EU will notably require that our devices be certified under the new regime set forth in the EU IVDR when our current certificates expire.</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Directive</w:t>
      </w:r>
    </w:p>
    <w:p>
      <w:pPr>
        <w:spacing w:after="0" w:line="102"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Under the EU IVDD, an IVD may be placed on the market only if it conforms the essential requirements set out in the EU IVDD including the requirement that an IVD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As a general rule, demonstration of conformity of IVDs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Regulation</w:t>
      </w:r>
    </w:p>
    <w:p>
      <w:pPr>
        <w:spacing w:after="0" w:line="102" w:lineRule="exact"/>
        <w:rPr>
          <w:sz w:val="20"/>
          <w:szCs w:val="20"/>
          <w:color w:val="auto"/>
        </w:rPr>
      </w:pPr>
    </w:p>
    <w:p>
      <w:pPr>
        <w:jc w:val="both"/>
        <w:ind w:left="760" w:firstLine="388"/>
        <w:spacing w:after="0" w:line="281" w:lineRule="auto"/>
        <w:rPr>
          <w:sz w:val="20"/>
          <w:szCs w:val="20"/>
          <w:color w:val="auto"/>
        </w:rPr>
      </w:pPr>
      <w:r>
        <w:rPr>
          <w:rFonts w:ascii="Times New Roman" w:cs="Times New Roman" w:eastAsia="Times New Roman" w:hAnsi="Times New Roman"/>
          <w:sz w:val="15"/>
          <w:szCs w:val="15"/>
          <w:color w:val="auto"/>
        </w:rPr>
        <w:t>The regulatory landscape related to IVDs in the EU recently evolved. On April 5, 2017, the EU IVDR was adopted with the aim of ensuring better protection of public health and patient safety. The EU IVDR establishes a uniform, transparent, predictable and sustainable regulatory framework across the EU for IVDs and ensures a high level of safety and health while supporting innovation. Unlike the EU IVDD, the EU IVDR is directly applicable in EU member states without the need for member states to implement it into national law. This aims at increasing harmonization across the EU.</w:t>
      </w:r>
    </w:p>
    <w:p>
      <w:pPr>
        <w:spacing w:after="0" w:line="144"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The EU IVDR became effective on May 26, 2022. IVDs lawfully placed on the market pursuant to the EU IVDD prior to May 26, 2022 may generally continue to be made available on the market or put into service, provided that the requirements of the transitional provisions are fulfilled. However, even in this case, manufacturers must comply with a number of new or reinforced requirements set forth in the EU IVDR, in particular the obligations described below.</w:t>
      </w:r>
    </w:p>
    <w:p>
      <w:pPr>
        <w:spacing w:after="0" w:line="161"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All manufacturers placing medical devices into the market in the EU must comply with the EU medical device vigilance system. Under this system, serious incidents and Field Safety Corrective Actions (“FSCAs”)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161</w:t>
      </w:r>
    </w:p>
    <w:p>
      <w:pPr>
        <w:sectPr>
          <w:pgSz w:w="11900" w:h="16838" w:orient="portrait"/>
          <w:cols w:equalWidth="0" w:num="1">
            <w:col w:w="10460"/>
          </w:cols>
          <w:pgMar w:left="320" w:top="419" w:right="111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260"/>
        <w:spacing w:after="0" w:line="263" w:lineRule="auto"/>
        <w:rPr>
          <w:sz w:val="20"/>
          <w:szCs w:val="20"/>
          <w:color w:val="auto"/>
        </w:rPr>
      </w:pPr>
      <w:r>
        <w:rPr>
          <w:rFonts w:ascii="Times New Roman" w:cs="Times New Roman" w:eastAsia="Times New Roman" w:hAnsi="Times New Roman"/>
          <w:sz w:val="16"/>
          <w:szCs w:val="16"/>
          <w:color w:val="auto"/>
        </w:rPr>
        <w:t>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spacing w:after="0" w:line="157"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The aforementioned EU rules are generally applicable in the European Economic Area (“EEA”), which consists of the 27 EU member states plus Norway, Liechtenstein, and Iceland.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Regulations Related to Clinical Laboratories in the European Union</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EU does not have an overarching law or regulation that governs the legal framework surrounding the operations of clinical laboratories in a way that would be analogous to CLIA in the United States. However, EU member states’ laws may affect how our business as a diagnostic testing service provider is carried out.</w:t>
      </w:r>
    </w:p>
    <w:p>
      <w:pPr>
        <w:spacing w:after="0" w:line="15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Other laws and guidelines that impact clinical laboratories’ work include the Convention for the Protection of Human Rights and Dignity of the Human Being with regard to the Application of Biology and Medicine, the Declaration of Helsinki adopted by the World Medical Association and related codes of conduct and guidelines issued by the relevant research ethics committees.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aforementioned EU rules are generally applicable in the EEA.</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United Kingdom</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Following Brexit, EU laws no longer apply directly in Great Britain. The regulations on IVDs in Great Britain continue to be based largely on the EU IVDD, which preceded the EU IVDR, as implemented into national law by the Medical Devices Regulation 2002 (“UK MDR”). However, under the terms of the Protocol on Ireland/Northern Ireland, the EU IVDR does apply to Northern Ireland. Consequently, there are currently different regulations in place in Great Britain as compared to both Northern Ireland and the EU, respectively. The United Kingdom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68"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Under the powers granted by the Medicines and Medical Devices Act 2021, the United Kingdom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United Kingdom-approved body in order to be lawfully placed on the market. The United Kingdom has stated that the core elements of the future regime are expected to apply from July 1, 2025, but that IVDs in compliance with either the EU IVDD or IVDR can continue to be placed on the Great Britain market until the sooner of certificate expiration or June 30, 2030. Following these transitional periods, it is expected that all IVDs will require a United Kingdom Conformity Assessment (“UKCA”) mark. Manufacturers may choose to use the UKCA mark on a voluntary basis prior to the regulations coming into force. However, from July 2025, it is expected that products which do not have existing and valid CE certification will be required to carry the UKCA mark if they are to be sold into the market in Great Britain. UKCA marking will not be recognized in the EU.</w:t>
      </w:r>
    </w:p>
    <w:p>
      <w:pPr>
        <w:spacing w:after="0" w:line="165"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Since January 1, 2021, the Medicines and Healthcare Products Regulatory Agency (“MHRA”) has become the sovereign regulatory authority responsible for Great Britain. All IVDs are required to be registered with the MHRA, and since January 1, 2022, manufacturers based outside the UK have been required to appoint a UK responsible person that has a registered place of business in the UK to register devices with the MHRA.</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10480"/>
          </w:cols>
          <w:pgMar w:left="320" w:top="419" w:right="109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6"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We are pursuing payment for our products through a diverse and broad range of channels, including sales to self-insured employers, integrated health systems, healthcare providers, life insurance companies, and patients, as well as, where available, through coverage and reimbursement by government health insurance programs and commercial third-party payors.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In the United States, there is no uniform coverage for clinical laboratory tests. The extent of coverage and rate of payment for covered services varies from payor to payor. Obtaining coverage for tests like ours that involve genomic sequencing can be particularly challenging.</w:t>
      </w:r>
    </w:p>
    <w:p>
      <w:pPr>
        <w:spacing w:after="0" w:line="145"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Medicare is the single largest healthcare payor in the United States, and a particularly significant payor for many cancer-related laboratory services given the demographics of the Medicare population, a large portion of which includes elderly individuals. Many other U.S. payors look to the Medicare policies as a benchmark and model for their own. Medicare provides two main forms of insurance coverage: traditional Medicare fee-for-service, administered by the federal government and its contractors, and Medicare Advantage, where coverage is provided by private insurers approved by CMS that must follow federal rules and guidelines.</w:t>
      </w:r>
    </w:p>
    <w:p>
      <w:pPr>
        <w:spacing w:after="0" w:line="165" w:lineRule="exact"/>
        <w:rPr>
          <w:sz w:val="20"/>
          <w:szCs w:val="20"/>
          <w:color w:val="auto"/>
        </w:rPr>
      </w:pPr>
    </w:p>
    <w:p>
      <w:pPr>
        <w:ind w:left="760" w:right="20" w:firstLine="388"/>
        <w:spacing w:after="0" w:line="271" w:lineRule="auto"/>
        <w:rPr>
          <w:sz w:val="20"/>
          <w:szCs w:val="20"/>
          <w:color w:val="auto"/>
        </w:rPr>
      </w:pPr>
      <w:r>
        <w:rPr>
          <w:rFonts w:ascii="Times New Roman" w:cs="Times New Roman" w:eastAsia="Times New Roman" w:hAnsi="Times New Roman"/>
          <w:sz w:val="15"/>
          <w:szCs w:val="15"/>
          <w:color w:val="auto"/>
        </w:rPr>
        <w:t>Generally, Medicare will not cover screening tests, which are considered preventive services, that are performed in the absence of signs or symptoms of illness or injury, except if explicitly authorized by statute. CMS, the agency responsible for administering the Medicare program, authorizes certain additional preventive services including certain screening tests that are not expressly covered by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an NCD process. In making the NCD determination, CMS may also consider, among other things, the relationship between predicted outcomes and expenditures for such services, and take into account the results of such an assessment in making such determination. In its discretion, the USPSTF generally waits for FDA authorization before it considers undertaking review of novel technology.</w:t>
      </w:r>
    </w:p>
    <w:p>
      <w:pPr>
        <w:spacing w:after="0" w:line="155"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Galleri could be considered a screening test under Medicare and, accordingly, is unlikely to be covered by Medicare without pursuing the CMS NCD-related measures described above. These processes may take multiple years to complete as currently, coverage decisions for preventive services are not made prior to FDA authorization. Even if we pursue these processes, it is possible that Galleri will never become eligible for Medicare coverage and reimbursement. We are evaluating opportunities for nearer-term reimbursement through Medicare Advantage plans, while generating evidence to meet the requirements of the traditional Medicare path. Medicare Advantage plans generally must cover all of the services that traditional Medicare covers (except hospice care), but they have the discretion to offer their enrollees additional, or supplemental, benefits not otherwise covered under traditional Medicare, including those benefits referred to as optional supplemental benefits, for which enrollees may elect to pay extra to receive coverage. Obtaining such coverage may, however, involve lengthy negotiations with individual Medicare Advantage plans, and there is no guarantee that we will receive such coverage. We also intend to pursue coverage and reimbursement from private payors for our products. Many of these private payors must cover certain services required by federal and state laws, such as preventive health services that have received a rating of A or B by the USPSTF. Like Medicare Advantage plans, private payors have discretion to extend greater coverage than recognized under traditional Medicare, but obtaining coverage from such payors may involve lengthy negotiations, and there is no guarantee that we will receive such coverage. State Medicaid programs make individual coverage decisions for diagnostic tests and have taken steps to control the cost, utilization and delivery of healthcare services, meaning that, even if Galleri receives coverage through private payors, there is no guarantee that it will be covered by individual state Medicaid programs.</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163</w:t>
      </w:r>
    </w:p>
    <w:p>
      <w:pPr>
        <w:sectPr>
          <w:pgSz w:w="11900" w:h="16838" w:orient="portrait"/>
          <w:cols w:equalWidth="0" w:num="1">
            <w:col w:w="10440"/>
          </w:cols>
          <w:pgMar w:left="320" w:top="419" w:right="113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DAC is intended to be a diagnostic product, and we believe we could obtain Medicare coverage and reimbursement of DAC as a medical benefit in the next several years, although there are no assurances that we will be successful in doing so. We may explore Medicare local coverage of DAC by Medicare Administrative Contractors (“MACs”) by demonstrating utility of our product in a clinical study. MACs administer the Medicare program in their respective designated regions and have some discretion in determining coverage. We may seek FDA clearance or approval, which, if obtained, would help us obtain coverage and reimbursement for DAC.</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eligible for reimbursement, laboratory tests such as ours generally are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an HCPCS or CPT code applicable to our tests, the submission and payment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w:t>
      </w:r>
    </w:p>
    <w:p>
      <w:pPr>
        <w:spacing w:after="0" w:line="168"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the Protecting Access to Medicare Act of 2014 (“PAMA”), which included substantial changes to the way in which clinical laboratory services are paid under Medicare. Under PAMA (as amended by the Further Consolidated Appropriations Act, 2020), laboratories that receive the majority of their Medicare revenue from payments made under the CLFS and Physician Fee Schedule and receive at least $12,500 in Medicare revenues for CLFS services during a data collection period are subject to certain reporting requirements. CMS uses the data reported, which includes certain private payor payment rates for each test the laboratory performs, the volume of tests paid at each rate, and the HCPCS code associated with the test, to calculate a weighted median payment rate for each test, which is used to establish revised Medicare CLFS reimbursement rates for clinical diagnostic laboratory tests (“CDLTs”). If the test is an advanced diagnostic laboratory test (“ADLT”),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our tests receive Medicare coverage in the future, the reimbursement rate we receive for such tests may be affected by payment rates made by private payors for such tests.</w:t>
      </w:r>
    </w:p>
    <w:p>
      <w:pPr>
        <w:spacing w:after="0" w:line="168"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revised reimbursement methodology described above generally results in relatively lower reimbursement amounts under Medicare for clinical laboratory services than has been historically reimbursed. Any reductions to reimbursement rates resulting from the new methodology are limited to 0% in 2023 and 15% per test per year in each of 2024 through 2026.</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In addition, 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MACs. These same contractors may also be designated to process claims if CMS determines that such a model is appropriate. It is unclear whether CMS will proceed with contractor consolidation under this authorization.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Coverage and Reimbursement Considerations</w:t>
      </w:r>
    </w:p>
    <w:p>
      <w:pPr>
        <w:spacing w:after="0" w:line="104"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Across jurisdictions, a decision to provide coverage for a product from a government payor, such as Medicare, or other third-party payor does not imply that an adequate reimbursement rate will be approved. Further, coverage and reimbursement for products, and services that utilize such products, can differ significantly from payor to payor. As a result, the coverage determination process is often a time-consuming and costly</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164</w:t>
      </w:r>
    </w:p>
    <w:p>
      <w:pPr>
        <w:sectPr>
          <w:pgSz w:w="11900" w:h="16838" w:orient="portrait"/>
          <w:cols w:equalWidth="0" w:num="1">
            <w:col w:w="10480"/>
          </w:cols>
          <w:pgMar w:left="320" w:top="419" w:right="109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process that will require us to provide scientific and clinical support for the use of our products to each payor separately, with no assurance that coverage and adequate reimbursement will be applied consistently or obtained in the first instance or at all.</w:t>
      </w:r>
    </w:p>
    <w:p>
      <w:pPr>
        <w:spacing w:after="0" w:line="14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Third-party payors are increasingly challenging the price and examining the medical necessity and cost-effectiveness of medical products and services, including clinical laboratory tests, in addition to their safety and efficacy. In certain foreign markets, the government controls the coverage and pricing of many healthcare products, including IVDs and clinical laboratory tests. In order to obtain coverage and reimbursement for any product that might be cleared or approved by regulators for sale (or certified by a notified body), or for any procedure that utilizes such product, it may be necessary to conduct health economic studies in order to demonstrate the medical necessity and cost-effectiveness of the products. The cost of such studies would be in addition to the costs required to obtain regulatory approvals or certifications. If third-party payors do not consider a product to be cost-effective compared to other available products, they may not cover the product after approval (or certification) as a benefit under their plans or, if they do, the level of payment may not be sufficient to allow a company to sell its products at a profit. Tests such as ours that will cover a large population and could potentially generate a significant number of false-positive results on an absolute basis may face incremental scrutiny in obtaining reimbursement from third-party payors given the additional costs of further diagnostic workup.</w:t>
      </w:r>
    </w:p>
    <w:p>
      <w:pPr>
        <w:spacing w:after="0" w:line="170"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marketability of Galleri and DAC may suffer if government and third-party payors fail to provide adequate coverage and reimbursement. In addition, emphasis on managed care in the United States has increased, and we expect will continue to increase the pressure on medical products and services pricing. Coverage policies and third-party reimbursement rates may change at any time. Even if favorable coverage and reimbursement status is attained for our tests, less favorable coverage policies and reimbursement rates may be implemented in the future.</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United States and certain foreign jurisdictions, there have been a number of legislative and regulatory changes to the healthcare system. Changes in healthcare policy could increase our costs and subject us to additional regulatory requirements that may interrupt commercialization of our products, decrease our revenue and adversely impact sales of, and pricing of and reimbursement for, our products. For example, in March 2010,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implementation of the ACA in the United States, for example, has changed healthcare financing and delivery by both governmental and private insurers substantially, and affected medical device manufacturers significantly. The ACA included, among other things, provisions governing enrollment in federal and state healthcare programs, reimbursement matters, and fraud and abuse. 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165</w:t>
      </w:r>
    </w:p>
    <w:p>
      <w:pPr>
        <w:sectPr>
          <w:pgSz w:w="11900" w:h="16838" w:orient="portrait"/>
          <w:cols w:equalWidth="0" w:num="1">
            <w:col w:w="10460"/>
          </w:cols>
          <w:pgMar w:left="320" w:top="419" w:right="111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the EU,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70"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We believe that there will continue to be proposals by legislators at both the federal and state levels and in foreign jurisdictions, regulators and third-party payors to reduce costs while expanding individual healthcare benefits. Certain of these proposals to further reform healthcare or reduce healthcare costs may limit coverage of or lower reimbursement for the procedures associated with the use of our products. Changes in healthcare policy could increase our costs, decrease our revenue and impact sales of and reimbursement for our products.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Regulation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Laws</w:t>
      </w:r>
    </w:p>
    <w:p>
      <w:pPr>
        <w:spacing w:after="0" w:line="106"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additional information, see the section entitled “Risk Factors” beginning on page 28 of this Information Statement.</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04" w:lineRule="exact"/>
        <w:rPr>
          <w:sz w:val="20"/>
          <w:szCs w:val="20"/>
          <w:color w:val="auto"/>
        </w:rPr>
      </w:pPr>
    </w:p>
    <w:p>
      <w:pPr>
        <w:jc w:val="both"/>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We are not currently a party to any material legal proceedings. From time to time, we are and may become involved in legal proceedings or investigations. For example, we are currently involved in various lawsuits and claims with respect to employment matters. Lawsuits or other legal proceedings could have an adverse impact on our reputation, business, financial condition, results of operations, or cash flows, and could divert the attention of our management from the operation of our business.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166</w:t>
      </w:r>
    </w:p>
    <w:p>
      <w:pPr>
        <w:sectPr>
          <w:pgSz w:w="11900" w:h="16838" w:orient="portrait"/>
          <w:cols w:equalWidth="0" w:num="1">
            <w:col w:w="10400"/>
          </w:cols>
          <w:pgMar w:left="320" w:top="419" w:right="117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which refer to as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167</w:t>
      </w:r>
    </w:p>
    <w:p>
      <w:pPr>
        <w:sectPr>
          <w:pgSz w:w="11900" w:h="16838" w:orient="portrait"/>
          <w:cols w:equalWidth="0" w:num="1">
            <w:col w:w="10360"/>
          </w:cols>
          <w:pgMar w:left="320" w:top="419" w:right="121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OF FINANCIAL CONDITION AND RESULTS OF OPERATIONS</w:t>
      </w:r>
    </w:p>
    <w:p>
      <w:pPr>
        <w:spacing w:after="0" w:line="178"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of our results of operations and financial condition together with our accompanying consolidated financial statements, which we refer to as the “Consolidated Financial Statements,” and the notes thereto included under the section entitled “Index to Consolidated Financial Statements” beginning on page F-1 of this Information Statement, as well as the discussion in the sections entitled “Unaudited Pro Forma Condensed Consolidated Financial Statements” and “Business” beginning on pages 112 and 113, respectively, of this Information Statement. This discussion contains forward-looking statements that involve risks and uncertainties. The forward-looking statements are not historical facts, but rather are based on current expectations, estimates, assumptions and projections about the midstream industry and our business and financial results. Our actual results could differ materially from the results contemplated by these forward-looking statements due to a number of factors, including those discussed in the sections entitled “Risk Factors” and “Cautionary Statement Concerning Forward-Looking Statements” beginning on pages 28 and 95, respectively, of this Information Statement.</w:t>
      </w:r>
    </w:p>
    <w:p>
      <w:pPr>
        <w:spacing w:after="0" w:line="165" w:lineRule="exact"/>
        <w:rPr>
          <w:sz w:val="20"/>
          <w:szCs w:val="20"/>
          <w:color w:val="auto"/>
        </w:rPr>
      </w:pPr>
    </w:p>
    <w:p>
      <w:pPr>
        <w:ind w:left="760" w:right="20" w:firstLine="388"/>
        <w:spacing w:after="0" w:line="259" w:lineRule="auto"/>
        <w:rPr>
          <w:sz w:val="20"/>
          <w:szCs w:val="20"/>
          <w:color w:val="auto"/>
        </w:rPr>
      </w:pPr>
      <w:r>
        <w:rPr>
          <w:rFonts w:ascii="Times New Roman" w:cs="Times New Roman" w:eastAsia="Times New Roman" w:hAnsi="Times New Roman"/>
          <w:sz w:val="16"/>
          <w:szCs w:val="16"/>
          <w:i w:val="1"/>
          <w:iCs w:val="1"/>
          <w:color w:val="auto"/>
        </w:rPr>
        <w:t>GRAIL,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5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On September 20, 2020, GRAIL, Inc., Illumina and its subsidiaries, SDG Ops, LLC, and SDG Ops, Inc., entered into an agreement and plan of merger (the “Merger Agreement”). On August 18, 2021 (the “Closing Date”), Illumina completed its acquisition of GRAIL, Inc. (“predecessor”). According to the terms and conditions of the Merger Agreement, SDG Ops, Inc. and GRAIL, Inc. merged, with GRAIL, Inc. surviving and now a wholly owned subsidiary of Illumina (the “First Merger”). Immediately following the First Merger and as part of the same overall transaction, GRAIL, Inc., as the surviving corporation, merged with SDG Ops, LLC (the “Second Merger”). According to the terms and conditions of the Merger Agreement, SDG Ops, LLC became the surviving company and was renamed GRAIL, LLC (“successor”).</w:t>
      </w:r>
    </w:p>
    <w:p>
      <w:pPr>
        <w:spacing w:after="0" w:line="165" w:lineRule="exact"/>
        <w:rPr>
          <w:sz w:val="20"/>
          <w:szCs w:val="20"/>
          <w:color w:val="auto"/>
        </w:rPr>
      </w:pPr>
    </w:p>
    <w:p>
      <w:pPr>
        <w:ind w:left="76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Prior to the Closing Date, and unless the context otherwise requires, references to “GRAIL,” “we,” and “us” within this Information Statement refer to GRAIL, Inc., and its consolidated subsidiaries, while references to “GRAIL,” “we,” and “us” on or after the Closing Date refer to GRAIL, LLC and its consolidated subsidiaries unless the context otherwise requires.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clinically-validated, commercially available test for early detection of multiple types of cancer, which we termed multi-cancer early detection (“MCED”). Galleri detects a shared cancer signal across more than 50 types of cancer and can predict with high accuracy the specific organ or tissue type where the cancer signal originated from a simple blood draw. We launched Galleri in the United States in mid-2021. As of September 30, 2023, we have sold more than 125,000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8"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Since our inception, we have incurred net losses each year. Our net losses were $5.4 billion for fiscal year 2022 (which includes $4.7 billion in goodwill impairment), $911.5 million for the 2021 successor period and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168</w:t>
      </w:r>
    </w:p>
    <w:p>
      <w:pPr>
        <w:sectPr>
          <w:pgSz w:w="11900" w:h="16838" w:orient="portrait"/>
          <w:cols w:equalWidth="0" w:num="1">
            <w:col w:w="10440"/>
          </w:cols>
          <w:pgMar w:left="320" w:top="419" w:right="113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1" w:lineRule="auto"/>
        <w:rPr>
          <w:sz w:val="20"/>
          <w:szCs w:val="20"/>
          <w:color w:val="auto"/>
        </w:rPr>
      </w:pPr>
      <w:r>
        <w:rPr>
          <w:rFonts w:ascii="Times New Roman" w:cs="Times New Roman" w:eastAsia="Times New Roman" w:hAnsi="Times New Roman"/>
          <w:sz w:val="16"/>
          <w:szCs w:val="16"/>
          <w:color w:val="auto"/>
        </w:rPr>
        <w:t>$336.2 million for 2021 predecessor period (see “Basis of Presentation” below for a description of applicable fiscal periods). Adjusted EBITDA was $(500.1) million for fiscal year 2022, $(158.1) million for the 2021 successor period and $(216.5) million for the 2021 predecessor period. Adjusted EBITDA is a non-GAAP financial measure. For a reconciliation of 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 Substantially all of our net losses resulted from the application of pushdown accounting, including $4.7 billion goodwill impairment and amortization of intangible assets, as well as our research and development programs and G&amp;A costs associated with our operations and sales and marketing costs associated with commercializing our products. Additionally, due to the application of pushdown accounting, our balance sheet includes goodwill and intangible assets recognized by Illumina in connection with their acquisition of us that may be subject to additional impairment over time. We expect to continue to incur operating losses over at least the next several years as we continue to invest in research and development of new and existing products.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from Illumina</w:t>
      </w:r>
    </w:p>
    <w:p>
      <w:pPr>
        <w:spacing w:after="0" w:line="106" w:lineRule="exact"/>
        <w:rPr>
          <w:sz w:val="20"/>
          <w:szCs w:val="20"/>
          <w:color w:val="auto"/>
        </w:rPr>
      </w:pPr>
    </w:p>
    <w:p>
      <w:pPr>
        <w:ind w:left="1160"/>
        <w:spacing w:after="0"/>
        <w:tabs>
          <w:tab w:leader="none" w:pos="2000" w:val="left"/>
        </w:tabs>
        <w:rPr>
          <w:sz w:val="20"/>
          <w:szCs w:val="20"/>
          <w:color w:val="auto"/>
        </w:rPr>
      </w:pPr>
      <w:r>
        <w:rPr>
          <w:rFonts w:ascii="Times New Roman" w:cs="Times New Roman" w:eastAsia="Times New Roman" w:hAnsi="Times New Roman"/>
          <w:sz w:val="16"/>
          <w:szCs w:val="16"/>
          <w:color w:val="auto"/>
        </w:rPr>
        <w:t>On</w:t>
      </w:r>
      <w:r>
        <w:rPr>
          <w:sz w:val="20"/>
          <w:szCs w:val="20"/>
          <w:color w:val="auto"/>
        </w:rPr>
        <w:tab/>
      </w:r>
      <w:r>
        <w:rPr>
          <w:rFonts w:ascii="Times New Roman" w:cs="Times New Roman" w:eastAsia="Times New Roman" w:hAnsi="Times New Roman"/>
          <w:sz w:val="16"/>
          <w:szCs w:val="16"/>
          <w:color w:val="auto"/>
        </w:rPr>
        <w:t>, 2024, Illumina announced plans for the separation of GRAIL from Illumina via the Spin-Off.</w:t>
      </w:r>
    </w:p>
    <w:p>
      <w:pPr>
        <w:spacing w:after="0" w:line="197" w:lineRule="exact"/>
        <w:rPr>
          <w:sz w:val="20"/>
          <w:szCs w:val="20"/>
          <w:color w:val="auto"/>
        </w:rPr>
      </w:pPr>
    </w:p>
    <w:p>
      <w:pPr>
        <w:ind w:left="760" w:right="560" w:firstLine="388"/>
        <w:spacing w:after="0" w:line="263"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to Illumina’s stockholders on a pro rata basis, and GRAIL will become an independent, publicly traded company. Immediately after the Distribution becomes effective, Illumina may retain up to 14.5% of GRAIL’s common stock.</w:t>
      </w:r>
    </w:p>
    <w:p>
      <w:pPr>
        <w:spacing w:after="0" w:line="157" w:lineRule="exact"/>
        <w:rPr>
          <w:sz w:val="20"/>
          <w:szCs w:val="20"/>
          <w:color w:val="auto"/>
        </w:rPr>
      </w:pPr>
    </w:p>
    <w:p>
      <w:pPr>
        <w:ind w:left="760" w:right="60" w:firstLine="388"/>
        <w:spacing w:after="0" w:line="277" w:lineRule="auto"/>
        <w:rPr>
          <w:sz w:val="20"/>
          <w:szCs w:val="20"/>
          <w:color w:val="auto"/>
        </w:rPr>
      </w:pPr>
      <w:r>
        <w:rPr>
          <w:rFonts w:ascii="Times New Roman" w:cs="Times New Roman" w:eastAsia="Times New Roman" w:hAnsi="Times New Roman"/>
          <w:sz w:val="15"/>
          <w:szCs w:val="15"/>
          <w:color w:val="auto"/>
        </w:rPr>
        <w:t>Prior to completion of the Spin-Off, we intend to enter into a Separation and Distribution Agreement and several other agreements with Illumina related to the Spin-Off. These agreements will govern the relationship between Illumina and us up to and after completion of the Spin-Off and allocate between Illumina and us various assets, liabilities, and obligations, including tax-related assets and liabilities. See the section entitled “Certain Relationships and Related Party Transactions” beginning on page 202 of this Information Statement for more detail. No approval of Illumina’s stockholders is required in connection with the Spin-Off, and Illumina’s stockholders will not have any appraisal rights in connection with the Spin-Off.</w:t>
      </w:r>
    </w:p>
    <w:p>
      <w:pPr>
        <w:spacing w:after="0" w:line="147"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w:t>
      </w:r>
    </w:p>
    <w:p>
      <w:pPr>
        <w:spacing w:after="0" w:line="145" w:lineRule="exact"/>
        <w:rPr>
          <w:sz w:val="20"/>
          <w:szCs w:val="20"/>
          <w:color w:val="auto"/>
        </w:rPr>
      </w:pPr>
    </w:p>
    <w:p>
      <w:pPr>
        <w:jc w:val="both"/>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w:t>
      </w:r>
    </w:p>
    <w:p>
      <w:pPr>
        <w:spacing w:after="0" w:line="2" w:lineRule="exact"/>
        <w:rPr>
          <w:sz w:val="20"/>
          <w:szCs w:val="20"/>
          <w:color w:val="auto"/>
        </w:rPr>
      </w:pPr>
    </w:p>
    <w:p>
      <w:pPr>
        <w:ind w:left="760"/>
        <w:spacing w:after="0" w:line="251" w:lineRule="auto"/>
        <w:rPr>
          <w:sz w:val="20"/>
          <w:szCs w:val="20"/>
          <w:color w:val="auto"/>
        </w:rPr>
      </w:pPr>
      <w:r>
        <w:rPr>
          <w:rFonts w:ascii="Times New Roman" w:cs="Times New Roman" w:eastAsia="Times New Roman" w:hAnsi="Times New Roman"/>
          <w:sz w:val="16"/>
          <w:szCs w:val="16"/>
          <w:color w:val="auto"/>
        </w:rPr>
        <w:t>$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105 of this Information Statement for more detail.</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on a stand-alone basis using the consolidated financial statements and accounting records of Illumina. These consolidated financial statements reflect GRAIL’s consolidated historical financial position, results of operations and cash flows as historically managed, in accordance with GAAP. The Consolidated Financial Statements may not be indicative of GRAIL’s</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169</w:t>
      </w:r>
    </w:p>
    <w:p>
      <w:pPr>
        <w:sectPr>
          <w:pgSz w:w="11900" w:h="16838" w:orient="portrait"/>
          <w:cols w:equalWidth="0" w:num="1">
            <w:col w:w="10480"/>
          </w:cols>
          <w:pgMar w:left="320" w:top="419" w:right="109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6"/>
          <w:szCs w:val="16"/>
          <w:color w:val="auto"/>
        </w:rPr>
        <w:t>future performance and do not necessarily reflect what the financial position, results of operations and cash flows would have been, and may not include all expenses that would have been incurred, had GRAIL been operated as an independent, publicly traded company during the periods presented. Certain situations require management to make estimates based on judgments and assumptions, which may affect the reported amounts of assets and respective disclosures at the date of the financial statements. Management’s judgments and assumptions may also affect the reported amounts of net sales and expenses during the reporting periods. Actual results could differ from these management estimates.</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GRAIL’s fiscal year is the 52 or 53 weeks ending the Sunday closest to December 31, so the exact year-end date may change from year to year. Upon the closing of the Spin-Off, GRAIL will have a fiscal year end of December 31. References herein to (i) the “2021 predecessor period” refer to the period from January 1, 2021 through August 18, 2021 and reflect the pre-Acquisition activity of GRAIL, (ii) the “2021 successor period” refer to the period from August 19, 2021 through January 2, 2022 and reflect the post-Acquisition activity of GRAIL, and (iii) “fiscal year 2022” refer to the period from January 2, 2022 through January 1, 2023.</w:t>
      </w:r>
    </w:p>
    <w:p>
      <w:pPr>
        <w:spacing w:after="0" w:line="165"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Acquisition represented a change of control with respect to GRAIL. Given GRAIL, Inc. merged with SDG Ops, Inc., which then merged with SDG Ops LLC, authoritative guidance (ASC 805-50-30) required pushdown accounting to be applied for the Second Merger amongst entities under common control. As a result of the application of pushdown accounting, the separately issued financial statements of GRAIL reflect Illumina’s basis in the assets and liabilities of GRAIL which were remeasured to fair value as of the Closing Date. Acquired intangible assets included developed technology, in-process research and development, and tradenames, as well as goodwill. There were also various other purchase price adjustment entries made in connection with the Acquisition that impacted the GRAIL standalone financial statements. We have explained these fluctuations within the section titled “—Results of Operations” below.</w:t>
      </w:r>
    </w:p>
    <w:p>
      <w:pPr>
        <w:spacing w:after="0" w:line="166"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Subsequent to the separation from Illumina, we expect to incur additional costs as a separate public company. These additional costs are primarily related to certain supporting functions that may differ from and be higher than the costs historically incurred or allocated to us.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additional costs we expect to incur as a separate public company are summarized as follows:</w:t>
      </w:r>
    </w:p>
    <w:p>
      <w:pPr>
        <w:spacing w:after="0" w:line="114" w:lineRule="exact"/>
        <w:rPr>
          <w:sz w:val="20"/>
          <w:szCs w:val="20"/>
          <w:color w:val="auto"/>
        </w:rPr>
      </w:pPr>
    </w:p>
    <w:p>
      <w:pPr>
        <w:ind w:left="1620" w:right="4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and audit related costs, professional services, and new systems and software to support the accounting, financial reporting, and audits as a standalone public company;</w:t>
      </w:r>
    </w:p>
    <w:p>
      <w:pPr>
        <w:spacing w:after="0" w:line="61"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costs, including compensation-related expenses for additional headcount to enhance our capabilities in areas such as investor relations, accounting, financial reporting, treasury, risk management, and equity administration, among others; and</w:t>
      </w:r>
    </w:p>
    <w:p>
      <w:pPr>
        <w:spacing w:after="0" w:line="61" w:lineRule="exact"/>
        <w:rPr>
          <w:rFonts w:ascii="Times New Roman" w:cs="Times New Roman" w:eastAsia="Times New Roman" w:hAnsi="Times New Roman"/>
          <w:sz w:val="16"/>
          <w:szCs w:val="16"/>
          <w:color w:val="auto"/>
        </w:rPr>
      </w:pPr>
    </w:p>
    <w:p>
      <w:pPr>
        <w:ind w:left="1620" w:right="480" w:hanging="375"/>
        <w:spacing w:after="0" w:line="313" w:lineRule="auto"/>
        <w:tabs>
          <w:tab w:leader="none" w:pos="1620" w:val="left"/>
        </w:tabs>
        <w:numPr>
          <w:ilvl w:val="0"/>
          <w:numId w:val="4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governance costs, including but not limited to board of directors compensation and expenses, legal and other professional services fees, annual report and proxy statement costs, SEC filing fees, transfer agent fees, and stock exchange listing fees.</w:t>
      </w:r>
    </w:p>
    <w:p>
      <w:pPr>
        <w:spacing w:after="0" w:line="121"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These additional costs are expected to increase our general and administrative (“G&amp;A”) expenses. Certain factors could impact the nature and amount of these separate public company costs, including the finalization of our staffing and infrastructure needs.</w:t>
      </w:r>
    </w:p>
    <w:p>
      <w:pPr>
        <w:spacing w:after="0" w:line="145"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We also expect Illumina to continue providing us with some of the services related to certain functions on a transitional basis. Costs associated with services provided by Illumina on a transitional basis are expected to be immaterial. We also expect to provide certain services to Illumina on a transitional basis in exchange for agreed-upon fees.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170</w:t>
      </w:r>
    </w:p>
    <w:p>
      <w:pPr>
        <w:sectPr>
          <w:pgSz w:w="11900" w:h="16838" w:orient="portrait"/>
          <w:cols w:equalWidth="0" w:num="1">
            <w:col w:w="10480"/>
          </w:cols>
          <w:pgMar w:left="320" w:top="418" w:right="109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Key Factors Affecting Performance</w:t>
      </w:r>
    </w:p>
    <w:p>
      <w:pPr>
        <w:spacing w:after="0" w:line="106" w:lineRule="exact"/>
        <w:rPr>
          <w:sz w:val="20"/>
          <w:szCs w:val="20"/>
          <w:color w:val="auto"/>
        </w:rPr>
      </w:pPr>
    </w:p>
    <w:p>
      <w:pPr>
        <w:ind w:left="760" w:right="540" w:firstLine="388"/>
        <w:spacing w:after="0" w:line="278" w:lineRule="auto"/>
        <w:rPr>
          <w:sz w:val="20"/>
          <w:szCs w:val="20"/>
          <w:color w:val="auto"/>
        </w:rPr>
      </w:pPr>
      <w:r>
        <w:rPr>
          <w:rFonts w:ascii="Times New Roman" w:cs="Times New Roman" w:eastAsia="Times New Roman" w:hAnsi="Times New Roman"/>
          <w:sz w:val="16"/>
          <w:szCs w:val="16"/>
          <w:color w:val="auto"/>
        </w:rPr>
        <w:t>We believe there are several important factors that have impacted and that we expect will impact our operating performance and results of operations, including:</w:t>
      </w:r>
    </w:p>
    <w:p>
      <w:pPr>
        <w:spacing w:after="0" w:line="58" w:lineRule="exact"/>
        <w:rPr>
          <w:sz w:val="20"/>
          <w:szCs w:val="20"/>
          <w:color w:val="auto"/>
        </w:rPr>
      </w:pPr>
    </w:p>
    <w:p>
      <w:pPr>
        <w:ind w:left="1620" w:hanging="375"/>
        <w:spacing w:after="0" w:line="254" w:lineRule="auto"/>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Continued development of the market for MCED testing</w:t>
      </w:r>
      <w:r>
        <w:rPr>
          <w:rFonts w:ascii="Times New Roman" w:cs="Times New Roman" w:eastAsia="Times New Roman" w:hAnsi="Times New Roman"/>
          <w:sz w:val="16"/>
          <w:szCs w:val="16"/>
          <w:color w:val="auto"/>
        </w:rPr>
        <w:t>. Multi-cancer early detection is a relatively novel concept and the market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MCED tests is rapidly evolving. We coined the term “multi-cancer early detection” and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w:t>
      </w:r>
    </w:p>
    <w:p>
      <w:pPr>
        <w:spacing w:after="0" w:line="76" w:lineRule="exact"/>
        <w:rPr>
          <w:rFonts w:ascii="Times New Roman" w:cs="Times New Roman" w:eastAsia="Times New Roman" w:hAnsi="Times New Roman"/>
          <w:sz w:val="16"/>
          <w:szCs w:val="16"/>
          <w:color w:val="auto"/>
        </w:rPr>
      </w:pPr>
    </w:p>
    <w:p>
      <w:pPr>
        <w:ind w:left="1620" w:right="20" w:hanging="375"/>
        <w:spacing w:after="0" w:line="250" w:lineRule="auto"/>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Demand for our products and customer mix</w:t>
      </w:r>
      <w:r>
        <w:rPr>
          <w:rFonts w:ascii="Times New Roman" w:cs="Times New Roman" w:eastAsia="Times New Roman" w:hAnsi="Times New Roman"/>
          <w:sz w:val="16"/>
          <w:szCs w:val="16"/>
          <w:color w:val="auto"/>
        </w:rPr>
        <w:t>. A key factor to our future success is and will be our ability to increase demand for, and sales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Galleri and our other products from new and existing customers. Our commercial strategy is focused on innovative value-oriented partnerships and targets health systems, employers, payors, and life insurance providers, as well as other at-risk populations. As Galleri is not currently broadly reimbursed, our ability to drive demand from these customers is directly linked to our ability to demonstrate the clinical and economic value of our test through clinical validation and real-world experience. As of September 30, 2023, we have entered into over 100 commercial partnerships, including with leading healthcare systems, employers, payors, and life insurance providers, and have established a network of over 8,000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Test pricing is generally based on our list price or, for certain customers, such as larger, higher-volume customers, negotiated contractual rates. For certain customers, we also offer rebates or discounts from time to time. Revenue generated from customers with negotiated contractual rates, or with rebates or discounts, is generally lower margin as compared to revenue generated based on list pricing. In addition, we have entered into a number of biopharmaceutical research partnerships for our research-use-only (“RUO”) offering under our precision oncology portfolio. Large customers, such as healthcare systems, employers, and biopharmaceutical partners, generally begin using our products by initiating pilots involving a limited number of tests. We believe that our ability to convert these initial pilots into long-term customer relationships has the potential to drive substantial long-term revenue. We also expect to increase demand from new customers through our efforts to further develop the market for MCED testing.</w:t>
      </w:r>
    </w:p>
    <w:p>
      <w:pPr>
        <w:spacing w:after="0" w:line="85" w:lineRule="exact"/>
        <w:rPr>
          <w:rFonts w:ascii="Times New Roman" w:cs="Times New Roman" w:eastAsia="Times New Roman" w:hAnsi="Times New Roman"/>
          <w:sz w:val="16"/>
          <w:szCs w:val="16"/>
          <w:color w:val="auto"/>
        </w:rPr>
      </w:pPr>
    </w:p>
    <w:p>
      <w:pPr>
        <w:ind w:left="1620" w:right="20" w:hanging="375"/>
        <w:spacing w:after="0" w:line="270" w:lineRule="auto"/>
        <w:tabs>
          <w:tab w:leader="none" w:pos="1620" w:val="left"/>
        </w:tabs>
        <w:numPr>
          <w:ilvl w:val="0"/>
          <w:numId w:val="4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Regulatory approval and reimbursement</w:t>
      </w:r>
      <w:r>
        <w:rPr>
          <w:rFonts w:ascii="Times New Roman" w:cs="Times New Roman" w:eastAsia="Times New Roman" w:hAnsi="Times New Roman"/>
          <w:sz w:val="15"/>
          <w:szCs w:val="15"/>
          <w:color w:val="auto"/>
        </w:rPr>
        <w:t>. Our performance will be impacted by the extent to which we can secure reimbursement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coverage for our products. Prior to broad reimbursement in the United States, we will continue our work with clinics and health systems to accelerate utilization, and with self-insured employers and health insurers to offer and cover Galleri. Galleri is currently available as an LDT in the United States and we have established private reimbursement from a number of self-insured employers and health plans. While FDA approval is currently not required to market our tests in the United States, we plan to complete a PMA submission with the FDA in</w:t>
      </w:r>
    </w:p>
    <w:p>
      <w:pPr>
        <w:spacing w:after="0" w:line="2" w:lineRule="exact"/>
        <w:rPr>
          <w:rFonts w:ascii="Times New Roman" w:cs="Times New Roman" w:eastAsia="Times New Roman" w:hAnsi="Times New Roman"/>
          <w:sz w:val="15"/>
          <w:szCs w:val="15"/>
          <w:color w:val="auto"/>
        </w:rPr>
      </w:pPr>
    </w:p>
    <w:p>
      <w:pPr>
        <w:ind w:left="1620" w:right="40" w:firstLine="674"/>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to support broad access for Galleri. We believe that FDA approval, if obtained, could unlock large commercial payors in the United States and we are working with stakeholders to advance and shape the public reimbursement landscape in the United States to enable coverage of FDA-approved MCED tests by Medicare. Following FDA approval, we expect to pursue inclusion of Galleri in the USPSTF’s guideline recommendation, which we believe would further increase adoption and market acceptance of our tests.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with the potential for further expansion subject to final results from the</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171</w:t>
      </w:r>
    </w:p>
    <w:p>
      <w:pPr>
        <w:sectPr>
          <w:pgSz w:w="11900" w:h="16838" w:orient="portrait"/>
          <w:cols w:equalWidth="0" w:num="1">
            <w:col w:w="10460"/>
          </w:cols>
          <w:pgMar w:left="320" w:top="419" w:right="111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320"/>
        <w:spacing w:after="0" w:line="278" w:lineRule="auto"/>
        <w:rPr>
          <w:sz w:val="20"/>
          <w:szCs w:val="20"/>
          <w:color w:val="auto"/>
        </w:rPr>
      </w:pPr>
      <w:r>
        <w:rPr>
          <w:rFonts w:ascii="Times New Roman" w:cs="Times New Roman" w:eastAsia="Times New Roman" w:hAnsi="Times New Roman"/>
          <w:sz w:val="16"/>
          <w:szCs w:val="16"/>
          <w:color w:val="auto"/>
        </w:rPr>
        <w:t>trial. We believe our work with the NHS and data generated from our NHS-Galleri Trial could facilitate adoption in other single-payor systems around the world and support evidence of clinical utility worldwide.</w:t>
      </w:r>
    </w:p>
    <w:p>
      <w:pPr>
        <w:spacing w:after="0" w:line="58" w:lineRule="exact"/>
        <w:rPr>
          <w:sz w:val="20"/>
          <w:szCs w:val="20"/>
          <w:color w:val="auto"/>
        </w:rPr>
      </w:pPr>
    </w:p>
    <w:p>
      <w:pPr>
        <w:ind w:left="1620" w:right="100" w:hanging="375"/>
        <w:spacing w:after="0" w:line="270" w:lineRule="auto"/>
        <w:tabs>
          <w:tab w:leader="none" w:pos="1620" w:val="left"/>
        </w:tabs>
        <w:numPr>
          <w:ilvl w:val="0"/>
          <w:numId w:val="4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Investment in clinical studies and innovation to support our strategy and growth</w:t>
      </w:r>
      <w:r>
        <w:rPr>
          <w:rFonts w:ascii="Times New Roman" w:cs="Times New Roman" w:eastAsia="Times New Roman" w:hAnsi="Times New Roman"/>
          <w:sz w:val="15"/>
          <w:szCs w:val="15"/>
          <w:color w:val="auto"/>
        </w:rPr>
        <w:t>. A significant aspect of our business is our investment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research and development, including the development of new and improved products, and the ongoing evidence generation supporting the clinical utility of Galleri. In particular, we have invested heavily in clinical studies and designed and executed what we believe is the largest clinical program in genomic medicine to date. These studies include: NHS-Galleri, CCGA, SUMMIT, STRIVE, SYMPLIFY, PATHFINDER, PATHFINDER 2, and REFLECTION.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our investments to continue. In addition, we have invested heavily in the development of our methylation platform and extensive technological infrastructure. We expect to increase our research and development expenses as we continue to develop new technologies and launch innovative products across the cancer care continuum.</w:t>
      </w:r>
    </w:p>
    <w:p>
      <w:pPr>
        <w:spacing w:after="0" w:line="70" w:lineRule="exact"/>
        <w:rPr>
          <w:rFonts w:ascii="Times New Roman" w:cs="Times New Roman" w:eastAsia="Times New Roman" w:hAnsi="Times New Roman"/>
          <w:sz w:val="15"/>
          <w:szCs w:val="15"/>
          <w:color w:val="auto"/>
        </w:rPr>
      </w:pPr>
    </w:p>
    <w:p>
      <w:pPr>
        <w:ind w:left="1620" w:hanging="375"/>
        <w:spacing w:after="0" w:line="254" w:lineRule="auto"/>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Leverage our operational infrastructure</w:t>
      </w:r>
      <w:r>
        <w:rPr>
          <w:rFonts w:ascii="Times New Roman" w:cs="Times New Roman" w:eastAsia="Times New Roman" w:hAnsi="Times New Roman"/>
          <w:sz w:val="16"/>
          <w:szCs w:val="16"/>
          <w:color w:val="auto"/>
        </w:rPr>
        <w:t>. We have made significant investments to build a scalable infrastructure capable of meeting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demand while satisfying stringent certification parameters. Our facilities are able to process a substantial number of tests annually and are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In addition, we may invest significant amounts in infrastructure to support new products resulting from our research and development activities.</w:t>
      </w:r>
    </w:p>
    <w:p>
      <w:pPr>
        <w:spacing w:after="0" w:line="76" w:lineRule="exact"/>
        <w:rPr>
          <w:rFonts w:ascii="Times New Roman" w:cs="Times New Roman" w:eastAsia="Times New Roman" w:hAnsi="Times New Roman"/>
          <w:sz w:val="16"/>
          <w:szCs w:val="16"/>
          <w:color w:val="auto"/>
        </w:rPr>
      </w:pPr>
    </w:p>
    <w:p>
      <w:pPr>
        <w:ind w:left="1620" w:right="100" w:hanging="375"/>
        <w:spacing w:after="0" w:line="260" w:lineRule="auto"/>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International expansion</w:t>
      </w:r>
      <w:r>
        <w:rPr>
          <w:rFonts w:ascii="Times New Roman" w:cs="Times New Roman" w:eastAsia="Times New Roman" w:hAnsi="Times New Roman"/>
          <w:sz w:val="16"/>
          <w:szCs w:val="16"/>
          <w:color w:val="auto"/>
        </w:rPr>
        <w:t>. A component of our long-term growth strategy is to expand our commercial reach internationally.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expanded internationally into the United Kingdom, and we expect to launch Galleri in the United Kingdom through our partnership with NHS England. We continue to evaluate international expansion opportunities and expect to expand into additional select geographies over time, including through distributors.</w:t>
      </w:r>
    </w:p>
    <w:p>
      <w:pPr>
        <w:spacing w:after="0" w:line="159"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While each of these areas presents significant opportunities for us, they also pose significant risks and challenges that we must address. See “Risk Factors” for more information.</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Components of Results of Operations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4"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We currently derive revenue primarily through the sale of Galleri within the United States and primarily through health systems, employers, payors, and life insurance providers. Galleri is not currently broadly reimbursed. The test price is based on the negotiated contractual rate with our contracted customers, otherwise our standard list price applies. We identify each sale of our test to our customer as a single performance obligation; therefore, revenue is recognized at the point of time when the test result report is delivered. 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172</w:t>
      </w:r>
    </w:p>
    <w:p>
      <w:pPr>
        <w:sectPr>
          <w:pgSz w:w="11900" w:h="16838" w:orient="portrait"/>
          <w:cols w:equalWidth="0" w:num="1">
            <w:col w:w="10480"/>
          </w:cols>
          <w:pgMar w:left="320" w:top="419" w:right="109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also derive revenue through our development services, which consist of research services we provide to biopharmaceutical and clinical customers including support of ongoing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related to regulatory filing to support clinical study and companion diagnostic device development and regulatory submissions for the developed product(s) using an input method based on costs incurred to measure its progress toward the completion and satisfaction of the performance obligations.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 and Cost of Revenue—Related Parties</w:t>
      </w:r>
    </w:p>
    <w:p>
      <w:pPr>
        <w:spacing w:after="0" w:line="104"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Cost of revenue represents expenses that are incurred to produce and sell our products and services. For screening revenue, these costs consist of direct materials, direct labor including salaries and wages, bonus, benefits and stock-based compensation, shipping, royalties, and allocations of overhead and equipment depreciation. For development services, these costs consist of direct materials and patient sample acquisition, direct labor including salaries and wages, bonus, benefits and stock-based compensation, royalties, and allocations of overhead and equipment depreciation. Cost of revenue—related parties represents the costs of supplies purchased from related parties used in the generation of revenue from all customers.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DAC that is being designed to accelerate diagnostic resolution for patients for whom there is a clinical suspicion of cancer. The cost of identifiable intangible assets with finite lives, such as developed technology assets, are amortized on a straight-line basis over the assets’ respective estimated useful lives of 18 years.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development costs in the periods in which they are incurred. Research and development—related parties expenses include only those costs incurred with related parties as further discussed in Note 9 to our audited Consolidated Financial Statements included elsewhere in this Information Statement. Nonrefundable advance payments for goods and services that will be used or rendered in future research and development activities are deferred and recognized as expense in the period in which the related goods are delivered or services are performed. We expect our research and development expenses to continue to increase in the foreseeable future as we continue our research and development activities for new products, to enhance existing products, conduct our existing clinical studies and initiate and conduct additional clinical studies to provide the evidence to support our products.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173</w:t>
      </w:r>
    </w:p>
    <w:p>
      <w:pPr>
        <w:sectPr>
          <w:pgSz w:w="11900" w:h="16838" w:orient="portrait"/>
          <w:cols w:equalWidth="0" w:num="1">
            <w:col w:w="10460"/>
          </w:cols>
          <w:pgMar w:left="320" w:top="419" w:right="111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Sales and marketing expenses consist primarily of personnel costs, including salaries, benefits and stock-based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expenses in the successor periods also includes amortization of the tradename intangible asset that was recognized upon the Acquisition, which has been recorded in our financial statements as a result of the application of pushdown accounting. The cost of identifiable intangible assets with finite lives, such as trade names, are amortized on a straight-line basis over the assets’ respective estimated useful lives of 9 years. We expect our sales and marketing expenses to continue to increase in the foreseeable future as we continue to invest in building brand awareness of our current products and services, as well as additional product marketing and sales functions.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 and General and Administrative—Related Parties</w:t>
      </w:r>
    </w:p>
    <w:p>
      <w:pPr>
        <w:spacing w:after="0" w:line="104" w:lineRule="exact"/>
        <w:rPr>
          <w:sz w:val="20"/>
          <w:szCs w:val="20"/>
          <w:color w:val="auto"/>
        </w:rPr>
      </w:pPr>
    </w:p>
    <w:p>
      <w:pPr>
        <w:ind w:left="760" w:right="80" w:firstLine="388"/>
        <w:spacing w:after="0" w:line="273" w:lineRule="auto"/>
        <w:rPr>
          <w:sz w:val="20"/>
          <w:szCs w:val="20"/>
          <w:color w:val="auto"/>
        </w:rPr>
      </w:pPr>
      <w:r>
        <w:rPr>
          <w:rFonts w:ascii="Times New Roman" w:cs="Times New Roman" w:eastAsia="Times New Roman" w:hAnsi="Times New Roman"/>
          <w:sz w:val="15"/>
          <w:szCs w:val="15"/>
          <w:color w:val="auto"/>
        </w:rPr>
        <w:t>G&amp;A expenses consist of personnel expenses, including salaries, benefits and stock-based compensation expense, for executive, finance and accounting, legal, human resources, business development, corporate communications, and management information systems personnel. Also included are professional fees, legal costs, including patent and trademark-related expenses. The related party amount represents allocated audit fees and stock administration expenses from Illumina. We expect our G&amp;A expenses to continue to increase for the foreseeable future as we become a standalone public company and continue to grow our business. We will incur additional expenses as a result of operating as a public company, including expenses related to compliance with the rules and regulations of the SEC, director and officer insurance premiums, investor relations activities, and other expenses related to administrative and professional services. We also expect to increase our administrative headcount as a standalone public company.</w:t>
      </w: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Upon the Acquisition, excess consideration over the aggregate fair value of tangible and intangible assets, net of liabilities assumed, was recognized by Illumina as goodwill. As a result of the application of pushdown accounting, the separately issued financial statements of GRAIL reflect the goodwill recorded by Illumina upon the Acquisition.</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has jurisdiction under the European Union Merger Regulation to review the Acquisition. Additionally, on September 6, 2022, the European Commission issued a decision prohibiting the Acquisition. These decisions constituted substantive changes in circumstances that would more likely than not reduce the fair value of goodwill. We recognized a goodwill impairment for $4.7 billion in 2022. We evaluate goodwill impairment annually or more frequently if an event occurs or circumstances change in the interim that would more likely than not reduce the fair value of the asset below its carrying amount. See “Note 2—Summary of Significant Accounting Policies—Goodwill and Intangible Assets” to our Consolidated Financial Statements.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Other income (expense), net primarily consists of foreign currency gains and losses as a result of our intercompany agreements.</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174</w:t>
      </w:r>
    </w:p>
    <w:p>
      <w:pPr>
        <w:sectPr>
          <w:pgSz w:w="11900" w:h="16838" w:orient="portrait"/>
          <w:cols w:equalWidth="0" w:num="1">
            <w:col w:w="10440"/>
          </w:cols>
          <w:pgMar w:left="320" w:top="419" w:right="113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Benefit from Income Taxes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Upon closing of the Acquisition, as a wholly owned entity of Illumina, we were no longer subject to U.S. income tax for the successor periods ended January 1, 2023 and January 2, 2022 on a standalone basis and U.S. income tax is combined into Illumina’s consolidated income tax return as a division of Illumina. However, for financial statement purposes, we have elected to compute our income tax provision, including current and deferred taxes, as if we filed a separate income tax return and were not included in Illumina’s consolidated return. Including the provision for income taxes in our standalone financials is more representative of our financial position as a standalone company.</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Under this method, various tax attributes, such as net operating losses and tax credits, are also presented on a separate return basis. For income tax purposes, since GRAIL is not a separate taxpayer and merely a division of Illumina, these tax attributes, including net operating losses and tax credits, are the property of Illumina and have either already been utilized by Illumina in its consolidated or combined income tax returns or will be utilized by Illumina in its returns in the future. Accordingly, such tax attributes will not be available to a standalone GRAIL entity on its income tax returns in the future.</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Comparisons of Fiscal Year 2022 to the 2021 Successor Period and the 2021 Predecessor Period</w:t>
      </w:r>
    </w:p>
    <w:p>
      <w:pPr>
        <w:spacing w:after="0" w:line="106"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summarizes our results of operations for fiscal year 2022, the 2021 successor period and the 2021 predecessor period. Results between periods presented are not comparable and thus, percentage change has been omitted for presentation purposes.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Borders>
              <w:top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24"/>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140" w:type="dxa"/>
            <w:vAlign w:val="bottom"/>
          </w:tcPr>
          <w:p>
            <w:pPr>
              <w:spacing w:after="0"/>
              <w:rPr>
                <w:sz w:val="11"/>
                <w:szCs w:val="11"/>
                <w:color w:val="auto"/>
              </w:rPr>
            </w:pPr>
          </w:p>
        </w:tc>
        <w:tc>
          <w:tcPr>
            <w:tcW w:w="840" w:type="dxa"/>
            <w:vAlign w:val="bottom"/>
            <w:tcBorders>
              <w:right w:val="single" w:sz="8" w:color="auto"/>
            </w:tcBorders>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5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8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Revenue</w:t>
            </w: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54,856</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12,052</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Revenue—related parties</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Cost of revenue (exclusive of amortization of acquired intangible</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18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revenue—related parties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44,630</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309,781</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122,328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100,512</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478,071</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6"/>
              </w:rPr>
              <w:t>(5,442,890)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8"/>
              </w:rPr>
              <w:t>(928,154)</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(884)</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6"/>
              </w:rPr>
              <w:t>(5,441,388)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8"/>
              </w:rPr>
              <w:t>(929,019)</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(336,233)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(5,399,098)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(911,542)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6"/>
                <w:szCs w:val="16"/>
                <w:color w:val="auto"/>
              </w:rPr>
              <w:t>175</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5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 2022, the 2021 Successor Period, and the 2021 Predecessor Period:</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4"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increase in revenue in fiscal year 2022 as compared to all prior periods presented is a direct result of the commercial launch of Galleri in mid-2021. Revenue increased from $2.2 million in the 2021 predecessor period, to $12.4 million in the 2021 successor period. The 2021 successor period revenue consisted of $7.4 million related to sales of Galleri and $5.0 million related to development services. In fiscal year 2022, total revenue expanded to $55.5 million, consisting of $39.8 million of Galleri revenue and $15.7 million of development services. The increase in Galleri revenue as compared to prior periods was driven by an increased volume of tests sold and having a full year of commercialized sales compared to seven months of sales in calendar year 2021. The increase in development services revenue was primarily due to services performed in fiscal year 2022 for a large biopharmaceutical partner, as well as new pilots initiated with other biopharmaceutical partners.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 (Exclusive of Amortization of Acquired Intangible Assets) and Cost of Revenue—Related Parties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increase in cost of revenue (exclusive of amortization of acquired intangible assets) and cost of revenue—related parties corresponded to the increase in revenue. Cost of revenue (exclusive of amortization of acquired intangible assets) and cost of revenue—related parties was $5.5 million in the 2021 predecessor period, $6.1 million in the 2021 successor period and $38.1 million in fiscal year 2022. Cost of revenue (exclusive of amortization of acquired intangible assets) and cost of revenue—related parties as a percent of revenue decreased in fiscal year 2022 primarily due to improved efficiency of Galleri production process, primarily due to increased volume following the commercial launch of Galleri in mid-2021.</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right="300" w:firstLine="388"/>
        <w:spacing w:after="0" w:line="263" w:lineRule="auto"/>
        <w:rPr>
          <w:sz w:val="20"/>
          <w:szCs w:val="20"/>
          <w:color w:val="auto"/>
        </w:rPr>
      </w:pPr>
      <w:r>
        <w:rPr>
          <w:rFonts w:ascii="Times New Roman" w:cs="Times New Roman" w:eastAsia="Times New Roman" w:hAnsi="Times New Roman"/>
          <w:sz w:val="16"/>
          <w:szCs w:val="16"/>
          <w:color w:val="auto"/>
        </w:rPr>
        <w:t>The increase of the amortization of acquired intangible assets is a result of the amortization of definite-lived developed technology intangible assets resulting from the Acquisition and the recognition of a full year of amortization as compared to the shorter successor period. Prior to the Acquisition, we did not have intangible assets.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the predecessor and successor periods were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4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6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ind w:right="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0" w:type="dxa"/>
            <w:vAlign w:val="bottom"/>
          </w:tcPr>
          <w:p>
            <w:pPr>
              <w:spacing w:after="0"/>
              <w:rPr>
                <w:sz w:val="1"/>
                <w:szCs w:val="1"/>
                <w:color w:val="auto"/>
              </w:rPr>
            </w:pPr>
          </w:p>
        </w:tc>
      </w:tr>
      <w:tr>
        <w:trPr>
          <w:trHeight w:val="131"/>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2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20" w:type="dxa"/>
            <w:vAlign w:val="bottom"/>
          </w:tcPr>
          <w:p>
            <w:pPr>
              <w:spacing w:after="0"/>
              <w:rPr>
                <w:sz w:val="11"/>
                <w:szCs w:val="11"/>
                <w:color w:val="auto"/>
              </w:rPr>
            </w:pPr>
          </w:p>
        </w:tc>
        <w:tc>
          <w:tcPr>
            <w:tcW w:w="8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6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January 2,</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300" w:type="dxa"/>
            <w:vAlign w:val="bottom"/>
            <w:gridSpan w:val="2"/>
            <w:vMerge w:val="continue"/>
          </w:tcPr>
          <w:p>
            <w:pPr>
              <w:spacing w:after="0"/>
              <w:rPr>
                <w:sz w:val="13"/>
                <w:szCs w:val="13"/>
                <w:color w:val="auto"/>
              </w:rPr>
            </w:pPr>
          </w:p>
        </w:tc>
        <w:tc>
          <w:tcPr>
            <w:tcW w:w="1160" w:type="dxa"/>
            <w:vAlign w:val="bottom"/>
            <w:gridSpan w:val="2"/>
          </w:tcPr>
          <w:p>
            <w:pPr>
              <w:jc w:val="center"/>
              <w:ind w:left="32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60" w:type="dxa"/>
            <w:vAlign w:val="bottom"/>
            <w:gridSpan w:val="2"/>
          </w:tcPr>
          <w:p>
            <w:pPr>
              <w:jc w:val="center"/>
              <w:ind w:left="345"/>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$ 154,739</w:t>
            </w: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$256,823</w:t>
            </w: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63,499</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69,938</w:t>
            </w:r>
          </w:p>
        </w:tc>
        <w:tc>
          <w:tcPr>
            <w:tcW w:w="8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23,784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24,366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32,487</w:t>
            </w:r>
          </w:p>
        </w:tc>
        <w:tc>
          <w:tcPr>
            <w:tcW w:w="8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4,523</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10,465</w:t>
            </w:r>
          </w:p>
        </w:tc>
        <w:tc>
          <w:tcPr>
            <w:tcW w:w="8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4,196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impairment expenses</w:t>
            </w: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8,163</w:t>
            </w:r>
          </w:p>
        </w:tc>
        <w:tc>
          <w:tcPr>
            <w:tcW w:w="8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2,248</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53,784</w:t>
            </w:r>
          </w:p>
        </w:tc>
        <w:tc>
          <w:tcPr>
            <w:tcW w:w="8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19,682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 research and development and research and development</w:t>
            </w:r>
          </w:p>
        </w:tc>
        <w:tc>
          <w:tcPr>
            <w:tcW w:w="42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—related parties expenses</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$ 329,576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0"/>
              </w:rPr>
              <w:t>$</w:t>
            </w:r>
            <w:r>
              <w:rPr>
                <w:rFonts w:ascii="Times New Roman" w:cs="Times New Roman" w:eastAsia="Times New Roman" w:hAnsi="Times New Roman"/>
                <w:sz w:val="16"/>
                <w:szCs w:val="16"/>
                <w:b w:val="1"/>
                <w:bCs w:val="1"/>
                <w:color w:val="auto"/>
                <w:w w:val="90"/>
              </w:rPr>
              <w:t xml:space="preserve"> 311,256</w:t>
            </w:r>
          </w:p>
        </w:tc>
        <w:tc>
          <w:tcPr>
            <w:tcW w:w="26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148,956</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20" w:type="dxa"/>
            <w:vAlign w:val="bottom"/>
          </w:tcPr>
          <w:p>
            <w:pPr>
              <w:jc w:val="right"/>
              <w:ind w:right="69"/>
              <w:spacing w:after="0"/>
              <w:rPr>
                <w:sz w:val="20"/>
                <w:szCs w:val="20"/>
                <w:color w:val="auto"/>
              </w:rPr>
            </w:pPr>
            <w:r>
              <w:rPr>
                <w:rFonts w:ascii="Times New Roman" w:cs="Times New Roman" w:eastAsia="Times New Roman" w:hAnsi="Times New Roman"/>
                <w:sz w:val="16"/>
                <w:szCs w:val="16"/>
                <w:color w:val="auto"/>
              </w:rPr>
              <w:t>176</w:t>
            </w: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419" w:right="115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The increase in the compensation expenses from the 2021 predecessor period to the 2021 successor period is primarily due to non-recurring compensation of $201.2 million incurred as a result of the Acquisition, primarily consisting of accelerated vesting of stock-based compensation expenses in connection with the Acquisition, which resulted in $615.0 million of expense recognized immediately upon closing of the Acquisition in August 2021, of which $177.7 million was allocated to research and development, and retention incentives of $23.5 million. The decrease from the 2021 successor period to fiscal year 2022 was a result of no non-recurring transaction related compensation expenses in the 2021 successor period, which was offset by increased headcount year over year and the introduction of new employee long-term incentive programs in the post transaction period.</w:t>
      </w:r>
    </w:p>
    <w:p>
      <w:pPr>
        <w:spacing w:after="0" w:line="139"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Clinical studies and research collaboration expenses increased in 2022 as compared to other periods presented, primarily due to increased clinical study activity. The majority of the increase in our clinical studies and research collaboration expenses relate to the NHS-Galleri Trial which enrolled its first patient in August 2021, and the PATHFINDER 2 clinical study, which began enrollment in the fourth quarter of 2021, as a result of active enrollment and a full year of expenses in 2022. These increases were partially offset by a reduction in expenses related to the SUMMIT and STRIVE clinical studies as enrollment completed in the predecessor period and thus study activity decreased.</w:t>
      </w:r>
    </w:p>
    <w:p>
      <w:pPr>
        <w:spacing w:after="0" w:line="153" w:lineRule="exact"/>
        <w:rPr>
          <w:sz w:val="20"/>
          <w:szCs w:val="20"/>
          <w:color w:val="auto"/>
        </w:rPr>
      </w:pPr>
    </w:p>
    <w:p>
      <w:pPr>
        <w:jc w:val="both"/>
        <w:ind w:left="760" w:right="240" w:firstLine="388"/>
        <w:spacing w:after="0" w:line="258" w:lineRule="auto"/>
        <w:rPr>
          <w:sz w:val="20"/>
          <w:szCs w:val="20"/>
          <w:color w:val="auto"/>
        </w:rPr>
      </w:pPr>
      <w:r>
        <w:rPr>
          <w:rFonts w:ascii="Times New Roman" w:cs="Times New Roman" w:eastAsia="Times New Roman" w:hAnsi="Times New Roman"/>
          <w:sz w:val="16"/>
          <w:szCs w:val="16"/>
          <w:color w:val="auto"/>
        </w:rPr>
        <w:t>The decrease in the laboratory supplies and expenses from the 2021 predecessor period to the 2021 successor period is a result of a decrease in clinical study sample processing, a decrease in general research and development sample processing, and a $0.9 million reduction in expenses due to renegotiation of a previously accrued purchase commitment. The increase of laboratory supplies and expenses in 2022 as compared to other periods presented is primarily due to increased research and development and clinical study sample processing.</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Cloud computing expenses remained relatively unchanged period over period.</w:t>
      </w:r>
    </w:p>
    <w:p>
      <w:pPr>
        <w:spacing w:after="0" w:line="185"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Depreciation and impairment expenses increased in 2022 compared to all other periods presented as $20 million of equipment was placed into service at our laboratory locations.</w:t>
      </w:r>
    </w:p>
    <w:p>
      <w:pPr>
        <w:spacing w:after="0" w:line="133"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Allocated and other expenses increased as a result of higher software, IT, and facilities expenses being allocated to the research and development function, in addition to increases in the use of contractors and temporary labor.</w:t>
      </w:r>
    </w:p>
    <w:p>
      <w:pPr>
        <w:spacing w:after="0" w:line="1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8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Sales and marketing expenses in fiscal year 2022 were $122.3 million, compared to $100.5 million in the 2021 successor period and $24.8 million in the 2021 predecessor period. The increase of sales and marketing expense from the 2021 predecessor period to the 2021 successor period was primarily due to the accelerated vesting of stock-based compensation expenses in connection with the Acquisition, which resulted in $615 million of expense recognized immediately upon closing of the Acquisition in August 2021, $71.8 million of which was allocated to sales and marketing. The increase of sales and marketing expenses in fiscal year 2022 compared to all periods presented was primarily attributable to an increase of compensation expenses, primarily due to increased headcount in our dedicated sales team initially hired to support the commercial launch of Galleri in 2021. Headcount increased 205% from the end of the 2021 successor period to the end of fiscal year 2022, contributing to higher wages, employer payroll taxes, bonuses, long-term incentive compensation, and other personnel related costs in 2022 compared to previous periods presented. Additionally, we incurred higher travel expenses in fiscal year 2022 as a result of fewer COVID-19 related travel restrictions and more sales-based travel as compared to other periods. Third-party marketing and professional services expenses increased from $6.4 million in the 2021 successor period to $28.0 million in fiscal year 2022 to support efforts to market our newly commercialized product. Additionally, our corporate overhead allocations increased as a result of our increased headcount. Trade name intangible assets amortization expense increased from $1.5 million in the 2021 successor period to $4.4 million in fiscal year 2022 as a result of a full year of amortization as compared to the shorter 2021 successor period. These increases from the 2021 successor period to 2022 were offset by the one-time stock-based compensation expense being incurred in the 2021 successor period with no comparable expense in 2022.</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177</w:t>
      </w:r>
    </w:p>
    <w:p>
      <w:pPr>
        <w:sectPr>
          <w:pgSz w:w="11900" w:h="16838" w:orient="portrait"/>
          <w:cols w:equalWidth="0" w:num="1">
            <w:col w:w="10460"/>
          </w:cols>
          <w:pgMar w:left="320" w:top="419" w:right="111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2021 predecessor period includes non-recurring transaction related professional services fees and insurance premiums of $51.0 million and</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$4.5 million, respectively. The increase in G&amp;A expense in the 2021 successor period compared to the 2021 predecessor period was primarily due to the</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accelerated vesting of stock-based compensation expenses in connection with the Acquisition, which resulted in $615.0 million of expense recognized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immediately upon closing of the Acquisition in August 2021, $365.5 million of which was allocated to G&amp;A. Non-recurring retention bonuses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$12.4 million and severance related costs of $7.2 million were also incurred in the 2021 successor period. The corresponding decrease from the 2021</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successor period to fiscal year 2022 was primarily a result of these non-recurring transactions not being incurred in fiscal year 2022 and a reduction in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legal expenses. This decrease was partially offset by an increase in facilities expenses in fiscal year 2022.</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As a result of an impairment assessment performed, an impairment charge of $4.7 billion was recorded in 2022 which represents the amount by which the carrying value of GRAIL exceeded the fair value of GRAIL upon performing a quantitative test.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decrease in interest income from the 2021 predecessor period to the 2021 successor period was primarily a result of the sale of our marketable securities upon consummation of the transaction. The increase from the 2021 successor period to fiscal year 2022 was primarily attributable to an increase in interest earned on our money market account primarily due to the increase in length of the period, and higher interest rates.</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increase in other income (expense), net from the 2021 successor period to fiscal year 2022 primarily related to unrealized foreign currency gains, offset slightly by losses on asset retirements. The decrease from the 2021 predecessor period to the 2021 successor period was a result of foreign currency gains in the 2021 predecessor period converting to foreign currency losses in the 2021 successor period.</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4" w:lineRule="exact"/>
        <w:rPr>
          <w:sz w:val="20"/>
          <w:szCs w:val="20"/>
          <w:color w:val="auto"/>
        </w:rPr>
      </w:pPr>
    </w:p>
    <w:p>
      <w:pPr>
        <w:ind w:left="760" w:right="320" w:firstLine="388"/>
        <w:spacing w:after="0" w:line="258" w:lineRule="auto"/>
        <w:rPr>
          <w:sz w:val="20"/>
          <w:szCs w:val="20"/>
          <w:color w:val="auto"/>
        </w:rPr>
      </w:pPr>
      <w:r>
        <w:rPr>
          <w:rFonts w:ascii="Times New Roman" w:cs="Times New Roman" w:eastAsia="Times New Roman" w:hAnsi="Times New Roman"/>
          <w:sz w:val="16"/>
          <w:szCs w:val="16"/>
          <w:color w:val="auto"/>
        </w:rPr>
        <w:t>In addition to our results provided throughout this Information Statement that are determined in accordance with GAAP, this Information Statement also includes the following non-GAAP financial measures for the 2021 predecessor period, 2021 successor period, and fiscal year 2022, which information should be read in conjunction with our audited Consolidated Financial Statements and the related notes and accompanying notes included elsewhere in this Information Statement:</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Adjusted Gross Profit/(Loss)</w:t>
      </w:r>
    </w:p>
    <w:p>
      <w:pPr>
        <w:spacing w:after="0" w:line="106"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Adjusted Gross Profit/(Loss)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calculate Adjusted Gross Profit/(Loss) as gross profit/(loss) (as defined below) adjusted to exclude amortization of intangible assets and stock-based compensation allocated to cost of revenue. Adjusted Gross Profit/(Loss) should be viewed as a measure of operating performance that is a supplement to, and not a substitute for, operating income or loss from operations, net earnings or loss and other GAAP measures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178</w:t>
      </w:r>
    </w:p>
    <w:p>
      <w:pPr>
        <w:sectPr>
          <w:pgSz w:w="11900" w:h="16838" w:orient="portrait"/>
          <w:cols w:equalWidth="0" w:num="1">
            <w:col w:w="10460"/>
          </w:cols>
          <w:pgMar w:left="320" w:top="419" w:right="111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78" w:lineRule="auto"/>
        <w:rPr>
          <w:sz w:val="20"/>
          <w:szCs w:val="20"/>
          <w:color w:val="auto"/>
        </w:rPr>
      </w:pPr>
      <w:r>
        <w:rPr>
          <w:rFonts w:ascii="Times New Roman" w:cs="Times New Roman" w:eastAsia="Times New Roman" w:hAnsi="Times New Roman"/>
          <w:sz w:val="16"/>
          <w:szCs w:val="16"/>
          <w:color w:val="auto"/>
        </w:rPr>
        <w:t>income (loss) or profitability. The following table presents a reconciliation of gross profit, the most directly comparable financial measure calculated in accordance with GAAP, to Adjusted Gross Profit/(Loss).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vMerge w:val="restart"/>
          </w:tcPr>
          <w:p>
            <w:pPr>
              <w:jc w:val="center"/>
              <w:ind w:left="297"/>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4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720" w:type="dxa"/>
            <w:vAlign w:val="bottom"/>
            <w:tcBorders>
              <w:top w:val="single" w:sz="8" w:color="auto"/>
            </w:tcBorders>
            <w:gridSpan w:val="3"/>
          </w:tcPr>
          <w:p>
            <w:pPr>
              <w:ind w:left="120"/>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2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30"/>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20" w:type="dxa"/>
            <w:vAlign w:val="bottom"/>
            <w:gridSpan w:val="2"/>
          </w:tcPr>
          <w:p>
            <w:pPr>
              <w:jc w:val="center"/>
              <w:ind w:left="677"/>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20" w:type="dxa"/>
            <w:vAlign w:val="bottom"/>
          </w:tcPr>
          <w:p>
            <w:pPr>
              <w:spacing w:after="0"/>
              <w:rPr>
                <w:sz w:val="11"/>
                <w:szCs w:val="11"/>
                <w:color w:val="auto"/>
              </w:rPr>
            </w:pPr>
          </w:p>
        </w:tc>
        <w:tc>
          <w:tcPr>
            <w:tcW w:w="8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940" w:type="dxa"/>
            <w:vAlign w:val="bottom"/>
            <w:tcBorders>
              <w:right w:val="single" w:sz="8" w:color="auto"/>
            </w:tcBorders>
            <w:gridSpan w:val="4"/>
          </w:tcPr>
          <w:p>
            <w:pPr>
              <w:ind w:left="120"/>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180" w:type="dxa"/>
            <w:vAlign w:val="bottom"/>
            <w:gridSpan w:val="2"/>
            <w:vMerge w:val="continue"/>
          </w:tcPr>
          <w:p>
            <w:pPr>
              <w:spacing w:after="0"/>
              <w:rPr>
                <w:sz w:val="13"/>
                <w:szCs w:val="13"/>
                <w:color w:val="auto"/>
              </w:rPr>
            </w:pPr>
          </w:p>
        </w:tc>
        <w:tc>
          <w:tcPr>
            <w:tcW w:w="1520" w:type="dxa"/>
            <w:vAlign w:val="bottom"/>
            <w:gridSpan w:val="2"/>
          </w:tcPr>
          <w:p>
            <w:pPr>
              <w:jc w:val="center"/>
              <w:ind w:left="67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Gross loss (1)</w:t>
            </w:r>
          </w:p>
        </w:tc>
        <w:tc>
          <w:tcPr>
            <w:tcW w:w="7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(116,447)</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7"/>
              </w:rPr>
              <w:t>(38,280)</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(3,274)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44,630</w:t>
            </w:r>
          </w:p>
        </w:tc>
        <w:tc>
          <w:tcPr>
            <w:tcW w:w="2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Gross Profit/(Loss)</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2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220" w:hanging="371"/>
        <w:spacing w:after="0" w:line="278" w:lineRule="auto"/>
        <w:tabs>
          <w:tab w:leader="none" w:pos="1140"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profit/(loss) is calculated as total revenue less cost of revenue (exclusive of amortization of acquired intangible assets), cost of revenue— related parties, and cost of revenue—amortization of intangible assets.</w:t>
      </w:r>
    </w:p>
    <w:p>
      <w:pPr>
        <w:spacing w:after="0" w:line="236"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Adjusted EBITDA</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or income from operations. Our Management recognizes that Adjusted EBITDA has inherent limitations because of the excluded items, and may not be directly comparable to similarly titled metrics used by other companies.</w:t>
      </w:r>
    </w:p>
    <w:p>
      <w:pPr>
        <w:spacing w:after="0" w:line="165" w:lineRule="exact"/>
        <w:rPr>
          <w:sz w:val="20"/>
          <w:szCs w:val="20"/>
          <w:color w:val="auto"/>
        </w:rPr>
      </w:pPr>
    </w:p>
    <w:p>
      <w:pPr>
        <w:ind w:left="760" w:right="220" w:firstLine="388"/>
        <w:spacing w:after="0" w:line="258" w:lineRule="auto"/>
        <w:rPr>
          <w:sz w:val="20"/>
          <w:szCs w:val="20"/>
          <w:color w:val="auto"/>
        </w:rPr>
      </w:pPr>
      <w:r>
        <w:rPr>
          <w:rFonts w:ascii="Times New Roman" w:cs="Times New Roman" w:eastAsia="Times New Roman" w:hAnsi="Times New Roman"/>
          <w:sz w:val="16"/>
          <w:szCs w:val="16"/>
          <w:color w:val="auto"/>
        </w:rPr>
        <w:t>We calculate Adjusted EBITDA as net income (loss) adjusted to exclude interest (income) expense, income tax expense (benefit), depreciation, impairment of goodwill, and amortization of intangible assets, which represent acquired intangible assets resulting from pushdown accounting. We believe that the items subject to these further adjustments are not indicative of our ongoing operations due to their nature, especially considering the impact of certain items as a result of the Acquisition.</w:t>
      </w:r>
    </w:p>
    <w:p>
      <w:pPr>
        <w:spacing w:after="0" w:line="161"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payments, tax payments, and debt service requirements. Further, our definition of Adjusted EBITDA may differ from similarly titled measures used by other companies and therefore may not be comparable among companies. The following table presents a</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179</w:t>
      </w:r>
    </w:p>
    <w:p>
      <w:pPr>
        <w:sectPr>
          <w:pgSz w:w="11900" w:h="16838" w:orient="portrait"/>
          <w:cols w:equalWidth="0" w:num="1">
            <w:col w:w="10480"/>
          </w:cols>
          <w:pgMar w:left="320" w:top="419" w:right="109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reconciliation of net income (loss), the most directly comparable financial measure calculated in accordance with U.S. GAAP, to Adjusted EBITDA on a consolidated basis.</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4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6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0" w:type="dxa"/>
            <w:vAlign w:val="bottom"/>
          </w:tcPr>
          <w:p>
            <w:pPr>
              <w:spacing w:after="0"/>
              <w:rPr>
                <w:sz w:val="1"/>
                <w:szCs w:val="1"/>
                <w:color w:val="auto"/>
              </w:rPr>
            </w:pPr>
          </w:p>
        </w:tc>
      </w:tr>
      <w:tr>
        <w:trPr>
          <w:trHeight w:val="131"/>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August 18,</w:t>
            </w:r>
          </w:p>
        </w:tc>
        <w:tc>
          <w:tcPr>
            <w:tcW w:w="0" w:type="dxa"/>
            <w:vAlign w:val="bottom"/>
          </w:tcPr>
          <w:p>
            <w:pPr>
              <w:spacing w:after="0"/>
              <w:rPr>
                <w:sz w:val="1"/>
                <w:szCs w:val="1"/>
                <w:color w:val="auto"/>
              </w:rPr>
            </w:pPr>
          </w:p>
        </w:tc>
      </w:tr>
      <w:tr>
        <w:trPr>
          <w:trHeight w:val="153"/>
        </w:trPr>
        <w:tc>
          <w:tcPr>
            <w:tcW w:w="4520" w:type="dxa"/>
            <w:vAlign w:val="bottom"/>
            <w:gridSpan w:val="2"/>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3"/>
                <w:szCs w:val="13"/>
                <w:color w:val="auto"/>
              </w:rPr>
            </w:pPr>
          </w:p>
        </w:tc>
        <w:tc>
          <w:tcPr>
            <w:tcW w:w="760" w:type="dxa"/>
            <w:vAlign w:val="bottom"/>
            <w:gridSpan w:val="2"/>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8"/>
              </w:rPr>
              <w:t>(5,399,098)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0"/>
              </w:rPr>
              <w:t>$(911,542)</w:t>
            </w: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Interest income</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(1,740)</w:t>
            </w:r>
          </w:p>
        </w:tc>
        <w:tc>
          <w:tcPr>
            <w:tcW w:w="102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Benefit from income tax expense</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(42,290)</w:t>
            </w:r>
          </w:p>
        </w:tc>
        <w:tc>
          <w:tcPr>
            <w:tcW w:w="102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(17,477)</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intangible assets (1)</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16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46,111</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16,430</w:t>
            </w:r>
          </w:p>
        </w:tc>
        <w:tc>
          <w:tcPr>
            <w:tcW w:w="1020" w:type="dxa"/>
            <w:vAlign w:val="bottom"/>
            <w:tcBorders>
              <w:right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5,422</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Goodwill impairment (2)</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ind w:left="620"/>
              <w:spacing w:after="0" w:line="174" w:lineRule="exact"/>
              <w:rPr>
                <w:sz w:val="20"/>
                <w:szCs w:val="20"/>
                <w:color w:val="auto"/>
              </w:rPr>
            </w:pPr>
            <w:r>
              <w:rPr>
                <w:rFonts w:ascii="Times New Roman" w:cs="Times New Roman" w:eastAsia="Times New Roman" w:hAnsi="Times New Roman"/>
                <w:sz w:val="16"/>
                <w:szCs w:val="16"/>
                <w:color w:val="auto"/>
              </w:rPr>
              <w:t>Illumina/GRAIL merger legal and professional</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services costs (3)</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12,127</w:t>
            </w:r>
          </w:p>
        </w:tc>
        <w:tc>
          <w:tcPr>
            <w:tcW w:w="1020" w:type="dxa"/>
            <w:vAlign w:val="bottom"/>
            <w:tcBorders>
              <w:right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10,750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81,470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(4)</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75,729</w:t>
            </w:r>
          </w:p>
        </w:tc>
        <w:tc>
          <w:tcPr>
            <w:tcW w:w="1020" w:type="dxa"/>
            <w:vAlign w:val="bottom"/>
            <w:tcBorders>
              <w:right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650,260</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31,647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ind w:left="620"/>
              <w:spacing w:after="0" w:line="174" w:lineRule="exact"/>
              <w:rPr>
                <w:sz w:val="20"/>
                <w:szCs w:val="20"/>
                <w:color w:val="auto"/>
              </w:rPr>
            </w:pPr>
            <w:r>
              <w:rPr>
                <w:rFonts w:ascii="Times New Roman" w:cs="Times New Roman" w:eastAsia="Times New Roman" w:hAnsi="Times New Roman"/>
                <w:sz w:val="16"/>
                <w:szCs w:val="16"/>
                <w:color w:val="auto"/>
              </w:rPr>
              <w:t>Non-recurring transaction related</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compensation (5)</w:t>
            </w:r>
          </w:p>
        </w:tc>
        <w:tc>
          <w:tcPr>
            <w:tcW w:w="7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58,346</w:t>
            </w: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(500,078)</w:t>
            </w:r>
          </w:p>
        </w:tc>
        <w:tc>
          <w:tcPr>
            <w:tcW w:w="102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$(158,149)</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(216,513)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hanging="371"/>
        <w:spacing w:after="0"/>
        <w:tabs>
          <w:tab w:leader="none" w:pos="114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intangible assets, including developed technology and tradenames.</w:t>
      </w:r>
    </w:p>
    <w:p>
      <w:pPr>
        <w:spacing w:after="0" w:line="23"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impairment of goodwill recognized as a result of the Acquisition.</w:t>
      </w:r>
    </w:p>
    <w:p>
      <w:pPr>
        <w:spacing w:after="0" w:line="6" w:lineRule="exact"/>
        <w:rPr>
          <w:rFonts w:ascii="Times New Roman" w:cs="Times New Roman" w:eastAsia="Times New Roman" w:hAnsi="Times New Roman"/>
          <w:sz w:val="16"/>
          <w:szCs w:val="16"/>
          <w:color w:val="auto"/>
        </w:rPr>
      </w:pPr>
    </w:p>
    <w:p>
      <w:pPr>
        <w:ind w:left="1140" w:right="120" w:hanging="371"/>
        <w:spacing w:after="0" w:line="248" w:lineRule="auto"/>
        <w:tabs>
          <w:tab w:leader="none" w:pos="114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legal and professional services costs associated with the Acquisition and corresponding antitrust litigation, including compliance with the hold separate arrangements imposed by the European Commission.</w:t>
      </w:r>
    </w:p>
    <w:p>
      <w:pPr>
        <w:ind w:left="1140" w:hanging="371"/>
        <w:spacing w:after="0"/>
        <w:tabs>
          <w:tab w:leader="none" w:pos="114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stock-based compensation recognized on our standalone financial statements for the periods presented.</w:t>
      </w:r>
    </w:p>
    <w:p>
      <w:pPr>
        <w:spacing w:after="0" w:line="6" w:lineRule="exact"/>
        <w:rPr>
          <w:rFonts w:ascii="Times New Roman" w:cs="Times New Roman" w:eastAsia="Times New Roman" w:hAnsi="Times New Roman"/>
          <w:sz w:val="16"/>
          <w:szCs w:val="16"/>
          <w:color w:val="auto"/>
        </w:rPr>
      </w:pPr>
    </w:p>
    <w:p>
      <w:pPr>
        <w:ind w:left="1140" w:right="240" w:hanging="371"/>
        <w:spacing w:after="0" w:line="256" w:lineRule="auto"/>
        <w:tabs>
          <w:tab w:leader="none" w:pos="114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various retention bonuses paid out in association with the transaction in accordance with terms of the Merger Agreement, as well as severance paid to executives who did not continue employment post-transaction in accordance with terms of their employment agreements.</w:t>
      </w:r>
    </w:p>
    <w:p>
      <w:pPr>
        <w:spacing w:after="0" w:line="2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06"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From inception through the Closing Date, we had funded our operations primarily through the sale and issuance of our redeemable convertible preferred stock and receipt of continuation payments from Illumina. Post-Acquisition, we received funding on a quarterly basis directly from Illumina. As of January 1, 2023, our cash and cash equivalents totaled $241.6 million.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Future Funding Requirements</w:t>
      </w:r>
    </w:p>
    <w:p>
      <w:pPr>
        <w:spacing w:after="0" w:line="106" w:lineRule="exact"/>
        <w:rPr>
          <w:sz w:val="20"/>
          <w:szCs w:val="20"/>
          <w:color w:val="auto"/>
        </w:rPr>
      </w:pPr>
    </w:p>
    <w:p>
      <w:pPr>
        <w:ind w:left="760" w:right="40" w:firstLine="388"/>
        <w:spacing w:after="0" w:line="273" w:lineRule="auto"/>
        <w:rPr>
          <w:sz w:val="20"/>
          <w:szCs w:val="20"/>
          <w:color w:val="auto"/>
        </w:rPr>
      </w:pPr>
      <w:r>
        <w:rPr>
          <w:rFonts w:ascii="Times New Roman" w:cs="Times New Roman" w:eastAsia="Times New Roman" w:hAnsi="Times New Roman"/>
          <w:sz w:val="15"/>
          <w:szCs w:val="15"/>
          <w:color w:val="auto"/>
        </w:rPr>
        <w:t>We began generating revenue in mid-2021, but we have continued to incur significant losses and negative cash flows from operations. Subsequent to the Acquisition, we have incurred net losses of $6.3 billion which include charges for impairment of goodwill and amortization of intangible assets. We expect to incur additional losses in the foreseeable future as we conduct and expand our research and development efforts and seek to achieve broad reimbursement of our current commercialized products. We believe that our existing cash and cash equivalents, in addition to the funding that Illumina is required to provide pursuant to the EC Divestment Decision, will be sufficient to meet our working capital and capital expenditure needs for at least the next 12 months, as of the date of this Information Statement. However, we anticipate that we will need to raise additional financing in the future to fund our operations. Our future capital requirements will depend on many factors, including the timing and extent of spending to support development</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180</w:t>
      </w:r>
    </w:p>
    <w:p>
      <w:pPr>
        <w:sectPr>
          <w:pgSz w:w="11900" w:h="16838" w:orient="portrait"/>
          <w:cols w:equalWidth="0" w:num="1">
            <w:col w:w="10480"/>
          </w:cols>
          <w:pgMar w:left="320" w:top="419" w:right="109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6"/>
          <w:szCs w:val="16"/>
          <w:color w:val="auto"/>
        </w:rPr>
        <w:t>commercialization efforts; the timing of our launch and market acceptance of our products; other expenditures, including marketing activities; and additional costs associated with operating as a public company. We are subject to all the risks typically related to the development of new products, and we may encounter unforeseen expenses, difficulties, complications, delays, the data of which is needed to support commercial launch of our products, and other unknown factors that may adversely affect our business.</w:t>
      </w:r>
    </w:p>
    <w:p>
      <w:pPr>
        <w:spacing w:after="0" w:line="161"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We may in the future enter into arrangements to acquire or invest in complementary businesses, services, technologies, and intellectual property rights.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 (in thousands):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5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8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ind w:right="9"/>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520" w:type="dxa"/>
            <w:vAlign w:val="bottom"/>
          </w:tcPr>
          <w:p>
            <w:pPr>
              <w:spacing w:after="0"/>
              <w:rPr>
                <w:sz w:val="11"/>
                <w:szCs w:val="11"/>
                <w:color w:val="auto"/>
              </w:rPr>
            </w:pPr>
          </w:p>
        </w:tc>
        <w:tc>
          <w:tcPr>
            <w:tcW w:w="840" w:type="dxa"/>
            <w:vAlign w:val="bottom"/>
            <w:gridSpan w:val="3"/>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020" w:type="dxa"/>
            <w:vAlign w:val="bottom"/>
            <w:gridSpan w:val="3"/>
          </w:tcPr>
          <w:p>
            <w:pPr>
              <w:jc w:val="center"/>
              <w:ind w:left="418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800" w:type="dxa"/>
            <w:vAlign w:val="bottom"/>
            <w:gridSpan w:val="2"/>
          </w:tcPr>
          <w:p>
            <w:pPr>
              <w:jc w:val="center"/>
              <w:ind w:left="83"/>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2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right w:val="single" w:sz="8" w:color="auto"/>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by operating activities</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5"/>
              </w:rPr>
              <w:t>(561,313)</w:t>
            </w:r>
          </w:p>
        </w:tc>
        <w:tc>
          <w:tcPr>
            <w:tcW w:w="108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$(485,870)</w:t>
            </w:r>
          </w:p>
        </w:tc>
        <w:tc>
          <w:tcPr>
            <w:tcW w:w="6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(202,260)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by) investing activities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(22,859)</w:t>
            </w:r>
          </w:p>
        </w:tc>
        <w:tc>
          <w:tcPr>
            <w:tcW w:w="108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(7,976)</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352,788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(used by) financing activities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604,817</w:t>
            </w:r>
          </w:p>
        </w:tc>
        <w:tc>
          <w:tcPr>
            <w:tcW w:w="108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143,931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250,811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Effect of exchange rate changes on cash, cash equivalents,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restricted cash</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(511)</w:t>
            </w:r>
          </w:p>
        </w:tc>
        <w:tc>
          <w:tcPr>
            <w:tcW w:w="108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76"/>
        </w:trPr>
        <w:tc>
          <w:tcPr>
            <w:tcW w:w="42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74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and restricted cash</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20,134</w:t>
            </w:r>
          </w:p>
        </w:tc>
        <w:tc>
          <w:tcPr>
            <w:tcW w:w="108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(350,050)</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401,275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Used by Operating Activities</w:t>
      </w:r>
    </w:p>
    <w:p>
      <w:pPr>
        <w:spacing w:after="0" w:line="106"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During the 2021 predecessor period, net cash used by operating activities consisted of a net loss of $336.2 million, adjusted by non-cash charges of $38.4 million, and cash provided by changes in our operating assets and liabilities of $95.5 million. The non-cash charges primarily consisted of stock-based compensation expense of $31.6 million, depreciation of $6.9 million, and amortization of premium on marketable securities of $0.5 million. Cash provided by operating assets and liabilities was primarily a result of an increase in accounts payable of $62.5 million, an increase in accrued and other liabilities of $13.3 million, and an increase in operating lease liabilities which was primarily due to tenant inducements received from our landlord of $18.2 million, respectively.</w:t>
      </w:r>
    </w:p>
    <w:p>
      <w:pPr>
        <w:spacing w:after="0" w:line="165"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During the 2021 successor period, net cash used by operating activities consisted of a net loss of $911.5 million, adjusted by non-cash charges of $684.6 million, $185.0 million of cash payments for equity awards and cash used by changes in our operating assets and liabilities of $74.0 million. The non-cash charges primarily consisted of stock-based compensation expense of $650.3 million and depreciation and amortization of $51.5 million, which was partially offset by a non-cash benefit of $17.5 million relating to deferred income tax. The main driver of changes in our operating assets and liabilities was an increase in accounts receivable of $6.1 million, an increase in supplies and supplies—related parties of $3.7 million, and a decrease of accounts payable and accounts payable-related parties of $63.2 million.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181</w:t>
      </w:r>
    </w:p>
    <w:p>
      <w:pPr>
        <w:sectPr>
          <w:pgSz w:w="11900" w:h="16838" w:orient="portrait"/>
          <w:cols w:equalWidth="0" w:num="1">
            <w:col w:w="10460"/>
          </w:cols>
          <w:pgMar w:left="320" w:top="419" w:right="111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During fiscal year 2022, net cash used by operating activities consisted of a net loss of $5.4 billion, adjusted by non-cash charges of $4.9 billion, $41.0 million cash payments for equity awards, and cash used by changes in our operating assets and liabilities of $14.5 million. The non-cash adjustments consisted of goodwill impairment of $4.7 billion, depreciation and amortization of $154.8 million, and stock-based compensation expense of $75.7 million, which was partially offset by a non-cash benefit of $39.1 million relating to deferred taxes. The changes in operating assets and liabilities was predominantly driven by increases in accounts receivable of $8.6 million, an increase in prepaids and other current assets of $11.3 million, an increase in supplies and supplies—related parties of $14.1 million, partially offset by an increase in accrued and other liabilities of $14.0 million.</w:t>
      </w:r>
    </w:p>
    <w:p>
      <w:pPr>
        <w:spacing w:after="0" w:line="2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Investing Activities</w:t>
      </w:r>
    </w:p>
    <w:p>
      <w:pPr>
        <w:spacing w:after="0" w:line="106" w:lineRule="exact"/>
        <w:rPr>
          <w:sz w:val="20"/>
          <w:szCs w:val="20"/>
          <w:color w:val="auto"/>
        </w:rPr>
      </w:pPr>
    </w:p>
    <w:p>
      <w:pPr>
        <w:jc w:val="both"/>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investing activities consisted of $574.1 million in proceeds from the sale of and the maturities of marketable securities, partially offset by $159.4 million in purchases of marketable securities and $62.0 million of capital expenditures. Capital expenditures were primarily related to purchases of machinery and equipment for use in our laboratories.</w:t>
      </w:r>
    </w:p>
    <w:p>
      <w:pPr>
        <w:spacing w:after="0" w:line="157"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During the 2021 successor period, net cash used by investing activities consisted of $8.0 million for capital expenditures primarily related to purchases of machinery and equipment for use in our laboratories.</w:t>
      </w:r>
    </w:p>
    <w:p>
      <w:pPr>
        <w:spacing w:after="0" w:line="145"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2022, net cash used by investing activities primarily consisted of $22.9 million for capital expenditures primarily related to purchases of machinery and equipment for use in our laboratories.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Financing Activities</w:t>
      </w:r>
    </w:p>
    <w:p>
      <w:pPr>
        <w:spacing w:after="0" w:line="106" w:lineRule="exact"/>
        <w:rPr>
          <w:sz w:val="20"/>
          <w:szCs w:val="20"/>
          <w:color w:val="auto"/>
        </w:rPr>
      </w:pPr>
    </w:p>
    <w:p>
      <w:pPr>
        <w:jc w:val="both"/>
        <w:ind w:left="760" w:right="70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financing activities consisted of $245.0 million in funding from Illumina and $6.0 million of proceeds from the exercise of stock options and the early exercise of unvested stock options, partially offset by $0.2 million of repurchases of early exercised stock options.</w:t>
      </w:r>
    </w:p>
    <w:p>
      <w:pPr>
        <w:spacing w:after="0" w:line="157" w:lineRule="exact"/>
        <w:rPr>
          <w:sz w:val="20"/>
          <w:szCs w:val="20"/>
          <w:color w:val="auto"/>
        </w:rPr>
      </w:pPr>
    </w:p>
    <w:p>
      <w:pPr>
        <w:ind w:left="760" w:right="320" w:firstLine="388"/>
        <w:spacing w:after="0" w:line="263" w:lineRule="auto"/>
        <w:rPr>
          <w:sz w:val="20"/>
          <w:szCs w:val="20"/>
          <w:color w:val="auto"/>
        </w:rPr>
      </w:pPr>
      <w:r>
        <w:rPr>
          <w:rFonts w:ascii="Times New Roman" w:cs="Times New Roman" w:eastAsia="Times New Roman" w:hAnsi="Times New Roman"/>
          <w:sz w:val="16"/>
          <w:szCs w:val="16"/>
          <w:color w:val="auto"/>
        </w:rPr>
        <w:t>During the 2021 successor period, net cash provided by financing activities primarily consisted of $774.0 million in funding received from Illumina, offset by $625.7 million cash payments for acquisition consideration on behalf of Illumina, and by $4.3 million of taxes paid related to net share settlement of equity awards.</w:t>
      </w:r>
    </w:p>
    <w:p>
      <w:pPr>
        <w:spacing w:after="0" w:line="157"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During the 2022 successor period, net cash provided by financing activities primarily consisted of $609.0 million in funding received from Illumina, offset by $4.2 million of taxes paid related to net share settlement of equity awards.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arrangements.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material cash requirements include the following contractual and other obligations as of December 31, 2023:</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06"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Historically, we have entered into operating leases for facilities and equipment used for research and development. Operating leases have remaining lease terms which range from 1 year to 11 years, and often include one or more options to renew. These renewal terms can extend the lease term from 5 to 15 years and are included in the lease term when it is reasonably certain that the option will be exercised. The exercise of lease</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182</w:t>
      </w:r>
    </w:p>
    <w:p>
      <w:pPr>
        <w:sectPr>
          <w:pgSz w:w="11900" w:h="16838" w:orient="portrait"/>
          <w:cols w:equalWidth="0" w:num="1">
            <w:col w:w="10480"/>
          </w:cols>
          <w:pgMar w:left="320" w:top="419" w:right="109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renewal and termination options are at the sole discretion of GRAIL. We also have variable lease payments that are primarily comprised of common</w:t>
      </w:r>
    </w:p>
    <w:p>
      <w:pPr>
        <w:spacing w:after="0" w:line="23" w:lineRule="exact"/>
        <w:rPr>
          <w:sz w:val="20"/>
          <w:szCs w:val="20"/>
          <w:color w:val="auto"/>
        </w:rPr>
      </w:pPr>
    </w:p>
    <w:p>
      <w:pPr>
        <w:ind w:left="760" w:right="100"/>
        <w:spacing w:after="0" w:line="256" w:lineRule="auto"/>
        <w:rPr>
          <w:sz w:val="20"/>
          <w:szCs w:val="20"/>
          <w:color w:val="auto"/>
        </w:rPr>
      </w:pPr>
      <w:r>
        <w:rPr>
          <w:rFonts w:ascii="Times New Roman" w:cs="Times New Roman" w:eastAsia="Times New Roman" w:hAnsi="Times New Roman"/>
          <w:sz w:val="16"/>
          <w:szCs w:val="16"/>
          <w:color w:val="auto"/>
        </w:rPr>
        <w:t>area maintenance and utility charges. As of December 31, 2023, we had operating lease payment obligations of $ , with $ payable within twelve months of December 31, 2023.</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Purchase Commitments</w:t>
      </w:r>
    </w:p>
    <w:p>
      <w:pPr>
        <w:spacing w:after="0" w:line="106" w:lineRule="exact"/>
        <w:rPr>
          <w:sz w:val="20"/>
          <w:szCs w:val="20"/>
          <w:color w:val="auto"/>
        </w:rPr>
      </w:pPr>
    </w:p>
    <w:p>
      <w:pPr>
        <w:ind w:left="760" w:right="100" w:firstLine="388"/>
        <w:spacing w:after="0" w:line="269" w:lineRule="auto"/>
        <w:rPr>
          <w:sz w:val="20"/>
          <w:szCs w:val="20"/>
          <w:color w:val="auto"/>
        </w:rPr>
      </w:pPr>
      <w:r>
        <w:rPr>
          <w:rFonts w:ascii="Times New Roman" w:cs="Times New Roman" w:eastAsia="Times New Roman" w:hAnsi="Times New Roman"/>
          <w:sz w:val="15"/>
          <w:szCs w:val="15"/>
          <w:color w:val="auto"/>
        </w:rPr>
        <w:t>Contractual obligations represent future cash commitments and liabilities under agreements with third parties and exclude purchase orders for goods and services that are cancellable. Our non-cancelable purchase orders represent authorizations to purchase rather than binding agreements. The Company’s contractual commitment amounts are associated with agreements that are enforceable and legally binding and that specify all significant terms, including: fixed or minimum services to be used; fixed, minimum, or variable price provisions; and the approximate timing of the transaction. The purchase commitments primarily relate to contractual commitments for future use of web services, laboratory supplies and marketing events in the</w:t>
      </w:r>
    </w:p>
    <w:p>
      <w:pPr>
        <w:spacing w:after="0" w:line="2" w:lineRule="exact"/>
        <w:rPr>
          <w:sz w:val="20"/>
          <w:szCs w:val="20"/>
          <w:color w:val="auto"/>
        </w:rPr>
      </w:pPr>
    </w:p>
    <w:p>
      <w:pPr>
        <w:ind w:left="760" w:right="280"/>
        <w:spacing w:after="0" w:line="256" w:lineRule="auto"/>
        <w:rPr>
          <w:sz w:val="20"/>
          <w:szCs w:val="20"/>
          <w:color w:val="auto"/>
        </w:rPr>
      </w:pPr>
      <w:r>
        <w:rPr>
          <w:rFonts w:ascii="Times New Roman" w:cs="Times New Roman" w:eastAsia="Times New Roman" w:hAnsi="Times New Roman"/>
          <w:sz w:val="16"/>
          <w:szCs w:val="16"/>
          <w:color w:val="auto"/>
        </w:rPr>
        <w:t>normal course of business. As of December 31, 2023, we had non-cancelable purchase obligations of $ , with $ payable within twelve months of December 31, 2023.</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Minimum Royalties</w:t>
      </w:r>
    </w:p>
    <w:p>
      <w:pPr>
        <w:spacing w:after="0" w:line="106" w:lineRule="exact"/>
        <w:rPr>
          <w:sz w:val="20"/>
          <w:szCs w:val="20"/>
          <w:color w:val="auto"/>
        </w:rPr>
      </w:pPr>
    </w:p>
    <w:p>
      <w:pPr>
        <w:ind w:left="760" w:right="100" w:firstLine="388"/>
        <w:spacing w:after="0" w:line="272" w:lineRule="auto"/>
        <w:rPr>
          <w:sz w:val="20"/>
          <w:szCs w:val="20"/>
          <w:color w:val="auto"/>
        </w:rPr>
      </w:pPr>
      <w:r>
        <w:rPr>
          <w:rFonts w:ascii="Times New Roman" w:cs="Times New Roman" w:eastAsia="Times New Roman" w:hAnsi="Times New Roman"/>
          <w:sz w:val="15"/>
          <w:szCs w:val="15"/>
          <w:color w:val="auto"/>
        </w:rPr>
        <w:t>Minimum royalty commitments are associated with licensing agreements related to research efforts. Minimum annual royalty payments do not include royalties that would be payable on net sales of Galleri or any future products, pursuant to existing agreements and licenses with Illumina, The Chinese University of Hong Kong, and other third parties in excess of minimum annual royalty payments. As of December 31, 2023, we had minimum</w:t>
      </w:r>
    </w:p>
    <w:p>
      <w:pPr>
        <w:spacing w:after="0" w:line="2" w:lineRule="exact"/>
        <w:rPr>
          <w:sz w:val="20"/>
          <w:szCs w:val="20"/>
          <w:color w:val="auto"/>
        </w:rPr>
      </w:pPr>
    </w:p>
    <w:p>
      <w:pPr>
        <w:ind w:left="760"/>
        <w:spacing w:after="0"/>
        <w:tabs>
          <w:tab w:leader="none" w:pos="2060" w:val="left"/>
          <w:tab w:leader="none" w:pos="3060" w:val="left"/>
        </w:tabs>
        <w:rPr>
          <w:sz w:val="20"/>
          <w:szCs w:val="20"/>
          <w:color w:val="auto"/>
        </w:rPr>
      </w:pPr>
      <w:r>
        <w:rPr>
          <w:rFonts w:ascii="Times New Roman" w:cs="Times New Roman" w:eastAsia="Times New Roman" w:hAnsi="Times New Roman"/>
          <w:sz w:val="16"/>
          <w:szCs w:val="16"/>
          <w:color w:val="auto"/>
        </w:rPr>
        <w:t>royalties of $</w:t>
      </w:r>
      <w:r>
        <w:rPr>
          <w:sz w:val="20"/>
          <w:szCs w:val="20"/>
          <w:color w:val="auto"/>
        </w:rPr>
        <w:tab/>
      </w:r>
      <w:r>
        <w:rPr>
          <w:rFonts w:ascii="Times New Roman" w:cs="Times New Roman" w:eastAsia="Times New Roman" w:hAnsi="Times New Roman"/>
          <w:sz w:val="16"/>
          <w:szCs w:val="16"/>
          <w:color w:val="auto"/>
        </w:rPr>
        <w:t>, with $</w:t>
      </w:r>
      <w:r>
        <w:rPr>
          <w:sz w:val="20"/>
          <w:szCs w:val="20"/>
          <w:color w:val="auto"/>
        </w:rPr>
        <w:tab/>
      </w:r>
      <w:r>
        <w:rPr>
          <w:rFonts w:ascii="Times New Roman" w:cs="Times New Roman" w:eastAsia="Times New Roman" w:hAnsi="Times New Roman"/>
          <w:sz w:val="15"/>
          <w:szCs w:val="15"/>
          <w:color w:val="auto"/>
        </w:rPr>
        <w:t>payable within twelve months of December 31, 2023.</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04"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on our audited Consolidated Financial Statements, which have been prepared in accordance with U.S. GAAP. The preparation of these audited Consolidated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Information Statement, we believe that the following accounting policies are critical to understanding our historical and future performance, as these policies relate to the more significant areas involving management’s judgments and estimates.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revenue is derived from screening and development services. Screening revenue includes cancer screening testing services provided to patients. Patients obtain tests via their employers, healthcare systems, payors, concierge medicine practices, or life insurance providers, or they can order the test via telemedicine (collectively referred to as our direct customers).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w:t>
      </w:r>
    </w:p>
    <w:p>
      <w:pPr>
        <w:spacing w:after="0" w:line="104" w:lineRule="exact"/>
        <w:rPr>
          <w:sz w:val="20"/>
          <w:szCs w:val="20"/>
          <w:color w:val="auto"/>
        </w:rPr>
      </w:pPr>
    </w:p>
    <w:p>
      <w:pPr>
        <w:ind w:left="760" w:right="720" w:firstLine="388"/>
        <w:spacing w:after="0" w:line="278" w:lineRule="auto"/>
        <w:rPr>
          <w:sz w:val="20"/>
          <w:szCs w:val="20"/>
          <w:color w:val="auto"/>
        </w:rPr>
      </w:pPr>
      <w:r>
        <w:rPr>
          <w:rFonts w:ascii="Times New Roman" w:cs="Times New Roman" w:eastAsia="Times New Roman" w:hAnsi="Times New Roman"/>
          <w:sz w:val="16"/>
          <w:szCs w:val="16"/>
          <w:color w:val="auto"/>
        </w:rPr>
        <w:t>We recognize screening revenue from the sale of cancer screening testing services for patients. The test price is based on the negotiated contractual rate with our direct customers, otherwise our standard list price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183</w:t>
      </w:r>
    </w:p>
    <w:p>
      <w:pPr>
        <w:sectPr>
          <w:pgSz w:w="11900" w:h="16838" w:orient="portrait"/>
          <w:cols w:equalWidth="0" w:num="1">
            <w:col w:w="10460"/>
          </w:cols>
          <w:pgMar w:left="320" w:top="419" w:right="111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applies. For each specimen received, testing services are performed and test results are electronically delivered to the ordering physician. We identify each sale of our test to a customer as a single performance obligation; therefore, revenue is recognized at the point of time when the test result report is delivered.</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and assess whether a revision to the estimate is required based on the actual cash collections. Both the estimate and any subsequent revisions are subject to uncertainty and require significant judgment in the estimation and application of the constraint for such variable consideration. We analyze our actual cash collections over the expected collection period and compare it with the estimated variable consideration for each portfolio. The difference is then recognized as an adjustment to revenue when we do not believe there is a probable revenue reversal.</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have developed a breakthrough methylation-based technology which is utilized by biopharmaceutical companies in research and clinical studies, and companion diagnostic development. For contracts with multiple performance obligations, the transaction price is allocated to the separate performance obligations on a relative standalone selling price basis. We determine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66"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Biopharmaceutical partners engage with us to run pilot and research studies by sending patient samples and comparing our test result to their expected result for evaluation of performance and application. We recognize revenue as performance obligations are completed.</w:t>
      </w:r>
    </w:p>
    <w:p>
      <w:pPr>
        <w:spacing w:after="0" w:line="14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may enter into development service agreements with us related to clinical study and companion diagnostic device development and regulatory submissions for the developed product(s). These agreements typically have multiple commitments of services and therefore, have longer performance periods. We use an input method based on costs incurred to measure our progress toward the completion and satisfaction of the performance obligations. We assess the changes to the total expected cost estimates as well as any incremental fees negotiated resulting from changes to the scope of the original contract in determining the revenue recognized at each reporting period.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Accrued Clinical Studies and Research and Development Expenses</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accrue for estimated costs of research and development activities conducted by third-party service providers, including those conducting clinical studies. We record the estimated costs of research and development activities based upon the estimated amount of services provided and include these costs in accrued liabilities and accrued liabilities—related parties in our consolidated balance sheets and within research and development and research and development—related parties expenses in our consolidated statements of operations. These costs are a significant component of our research and development expenses. We accrue for these costs based on factors such as estimates of the work completed and in accordance with agreements established with our third-party service providers. We make judgments and estimates in determining the accrued liabilities balance in each reporting period.</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184</w:t>
      </w:r>
    </w:p>
    <w:p>
      <w:pPr>
        <w:sectPr>
          <w:pgSz w:w="11900" w:h="16838" w:orient="portrait"/>
          <w:cols w:equalWidth="0" w:num="1">
            <w:col w:w="10420"/>
          </w:cols>
          <w:pgMar w:left="320" w:top="419" w:right="115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Cash-Based Equity Awards</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We compensate our employees through a long-term incentive program that includes GRAIL cash-based equity incentive awards (“Cash-Based Equity Awards”). As these awards are indexed to the value of GRAIL and settled in cash, they are accounted for under ASC 718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Compensation </w:t>
      </w:r>
      <w:r>
        <w:rPr>
          <w:rFonts w:ascii="Times New Roman" w:cs="Times New Roman" w:eastAsia="Times New Roman" w:hAnsi="Times New Roman"/>
          <w:sz w:val="16"/>
          <w:szCs w:val="16"/>
          <w:color w:val="auto"/>
        </w:rPr>
        <w:t>as a liability-classified award because the substantive terms of the award require cash settlement on each vesting date. Under ASC 718,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have elected to expense the compensation cost over the life of the award via a straight-line method, recognized in stock-based compensation expense. This method results in the amount of compensation cost recognized as of any date to be at least equal to the fair value of the awards that is vested as of that date. Given we do not have an actively traded standalone stock, we use independent valuation experts and analyses to value the awards, which may require various assumptions to be used, such as our long-range financial projections, as well as the discount rate and terminal growth rate. The assumptions used are inherently subject to uncertainty and we note that small changes in these assumptions could have a significant impact on the concluded value.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Impairment</w:t>
      </w:r>
    </w:p>
    <w:p>
      <w:pPr>
        <w:spacing w:after="0" w:line="106"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costs in excess of the fair value of net assets of GRAIL acquired by Illumina. Indefinite-lived intangible assets consist of GRAIL’s in-process research and development (“IPR&amp;D”) and were measured by Illumina at fair value as of the Closing Date.</w:t>
      </w:r>
    </w:p>
    <w:p>
      <w:pPr>
        <w:spacing w:after="0" w:line="145" w:lineRule="exact"/>
        <w:rPr>
          <w:sz w:val="20"/>
          <w:szCs w:val="20"/>
          <w:color w:val="auto"/>
        </w:rPr>
      </w:pPr>
    </w:p>
    <w:p>
      <w:pPr>
        <w:jc w:val="both"/>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We test goodwill and indefinite-lived intangible assets for impairment annually or more frequently if an event occurs or circumstances change in the interim that would more likely than not reduce the fair value of the asset below its carrying amount. Goodwill and indefinite-lived intangible assets are considered to be impaired when the carrying value of a reporting unit or asset exceeds its fair value. GRAIL currently has one reporting unit.</w:t>
      </w:r>
    </w:p>
    <w:p>
      <w:pPr>
        <w:spacing w:after="0" w:line="13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the evaluation of goodwill for impairment, we first assess qualitative factors to determine whether it is more likely than not that the fair value of a reporting entity is less than its carrying value. If we determine that it is more likely than not for a reporting unit’s fair value to be greater than its carrying value, a calculation of the fair value is not performed. If we determine that it is more likely than not for a reporting unit’s fair value to be less than its carrying value, a calculation of the fair value is performed and compared to the carrying value of that reporting unit. In certain instances, we may elect to forgo the qualitative assessment and proceed directly to the quantitative impairment test. If the carrying value of a reporting unit exceeds its fair value, goodwill of that reporting unit is impaired and an impairment loss is recorded equal to the excess of the carrying value over its fair value.</w:t>
      </w:r>
    </w:p>
    <w:p>
      <w:pPr>
        <w:spacing w:after="0" w:line="165"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Generally, we measure the fair value of the reporting unit based on a present value of future discounted cash flows. The discounted cash flow models indicate the fair value of the reporting units based on the present value of the cash flows that the reporting units are expected to generate in the future. Significant estimates in the discounted cash flow models include the weighted average cost of capital, revenue growth rates, long-term rate of growth, and profitability of our business.</w:t>
      </w:r>
    </w:p>
    <w:p>
      <w:pPr>
        <w:spacing w:after="0" w:line="161"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Discount rates were determined using a weighted average cost of capital for risk factors specific to us and other market and industry data. In our most recent analysis, we selected a discount rate of 22.0%. The estimates and assumptions used in our assessment represent a Level 3 measurement because they are supported by little or no market activity and reflect our own assumptions in measuring fair value. The assumptions used are inherently subject to uncertainty and we note that small changes in these assumptions could have a significant impact on the concluded value.</w:t>
      </w:r>
    </w:p>
    <w:p>
      <w:pPr>
        <w:spacing w:after="0" w:line="161"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Based on our analysis, we concluded that</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185</w:t>
      </w:r>
    </w:p>
    <w:p>
      <w:pPr>
        <w:sectPr>
          <w:pgSz w:w="11900" w:h="16838" w:orient="portrait"/>
          <w:cols w:equalWidth="0" w:num="1">
            <w:col w:w="10460"/>
          </w:cols>
          <w:pgMar w:left="320" w:top="419" w:right="111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78" w:lineRule="auto"/>
        <w:rPr>
          <w:sz w:val="20"/>
          <w:szCs w:val="20"/>
          <w:color w:val="auto"/>
        </w:rPr>
      </w:pPr>
      <w:r>
        <w:rPr>
          <w:rFonts w:ascii="Times New Roman" w:cs="Times New Roman" w:eastAsia="Times New Roman" w:hAnsi="Times New Roman"/>
          <w:sz w:val="16"/>
          <w:szCs w:val="16"/>
          <w:color w:val="auto"/>
        </w:rPr>
        <w:t>our reporting unit’s carrying value exceeded its estimated fair value. As a result, we recorded $4.7 billion of goodwill impairment, primarily due to the negative impact of capital market conditions and a higher discount rate selected for the fair value calculation of our business.</w:t>
      </w:r>
    </w:p>
    <w:p>
      <w:pPr>
        <w:spacing w:after="0" w:line="145"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In the third quarter of 2023, Illumina recorded an impairment to GRAIL goodwill and IPR&amp;D for consolidated financial reporting purposes. We are currently in the process of performing our required goodwill and indefinite-lived impairment test, which may result in impairment charges.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are an emerging growth company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upon completion of this offering, we will adopt new or revised accounting standards on the relevant dates on which adoption of such standards is required for other public companies.</w:t>
      </w:r>
    </w:p>
    <w:p>
      <w:pPr>
        <w:spacing w:after="0" w:line="161"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to occur of the following: (i) the last day of the fiscal year in which our total annual gross revenues first meet or exceed at least $1.235 billion (as adjusted 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or (iv) the last day of the fiscal year following the fifth anniversary of the date of the first sale of our common stock pursuant to an effective registration statement under the Securities Act.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4"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See Note 2 to our audited Consolidated Financial Statements included elsewhere in this Information Statement for details of recent accounting pronouncements.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are exposed to market risk related to changes in interest rates. We had cash and cash equivalents of $241.6 million as of January 1, 2023, which consisted primarily of bank deposits and money market funds. The primary objective of our investment activities is to preserve capital to fund our operations. We do not enter into investments for trading or speculative purposes.</w:t>
      </w:r>
    </w:p>
    <w:p>
      <w:pPr>
        <w:spacing w:after="0" w:line="157"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Consolidated Financial Statements.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Sensitivity</w:t>
      </w:r>
    </w:p>
    <w:p>
      <w:pPr>
        <w:spacing w:after="0" w:line="106"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186</w:t>
      </w:r>
    </w:p>
    <w:p>
      <w:pPr>
        <w:sectPr>
          <w:pgSz w:w="11900" w:h="16838" w:orient="portrait"/>
          <w:cols w:equalWidth="0" w:num="1">
            <w:col w:w="10460"/>
          </w:cols>
          <w:pgMar w:left="320" w:top="418" w:right="111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Officers of GRAIL Following the Spin-Off</w:t>
      </w:r>
    </w:p>
    <w:p>
      <w:pPr>
        <w:spacing w:after="0" w:line="104" w:lineRule="exact"/>
        <w:rPr>
          <w:sz w:val="20"/>
          <w:szCs w:val="20"/>
          <w:color w:val="auto"/>
        </w:rPr>
      </w:pPr>
    </w:p>
    <w:p>
      <w:pPr>
        <w:ind w:left="1160"/>
        <w:spacing w:after="0"/>
        <w:tabs>
          <w:tab w:leader="none" w:pos="6560" w:val="left"/>
        </w:tabs>
        <w:rPr>
          <w:sz w:val="20"/>
          <w:szCs w:val="20"/>
          <w:color w:val="auto"/>
        </w:rPr>
      </w:pPr>
      <w:r>
        <w:rPr>
          <w:rFonts w:ascii="Times New Roman" w:cs="Times New Roman" w:eastAsia="Times New Roman" w:hAnsi="Times New Roman"/>
          <w:sz w:val="16"/>
          <w:szCs w:val="16"/>
          <w:color w:val="auto"/>
        </w:rPr>
        <w:t>The following table and accompanying narrative present information, as of</w:t>
      </w:r>
      <w:r>
        <w:rPr>
          <w:sz w:val="20"/>
          <w:szCs w:val="20"/>
          <w:color w:val="auto"/>
        </w:rPr>
        <w:tab/>
      </w:r>
      <w:r>
        <w:rPr>
          <w:rFonts w:ascii="Times New Roman" w:cs="Times New Roman" w:eastAsia="Times New Roman" w:hAnsi="Times New Roman"/>
          <w:sz w:val="15"/>
          <w:szCs w:val="15"/>
          <w:color w:val="auto"/>
        </w:rPr>
        <w:t>, 2023, regarding the individuals who are expected to serve</w:t>
      </w:r>
    </w:p>
    <w:p>
      <w:pPr>
        <w:spacing w:after="0" w:line="23"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16"/>
          <w:szCs w:val="16"/>
          <w:color w:val="auto"/>
        </w:rPr>
        <w:t>as executive officers of GRAIL following the completion of the Spin-Off, including a five-year employment history. We are in the process of identifying any other persons who may be expected to serve as executive officers following the completion of the Spin-Off and will include information concerning those persons in an amendment to this Information Statement.</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0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6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Position with GRAIL</w:t>
            </w:r>
          </w:p>
        </w:tc>
      </w:tr>
      <w:tr>
        <w:trPr>
          <w:trHeight w:val="174"/>
        </w:trPr>
        <w:tc>
          <w:tcPr>
            <w:tcW w:w="400" w:type="dxa"/>
            <w:vAlign w:val="bottom"/>
          </w:tcPr>
          <w:p>
            <w:pPr>
              <w:spacing w:after="0"/>
              <w:rPr>
                <w:sz w:val="15"/>
                <w:szCs w:val="15"/>
                <w:color w:val="auto"/>
              </w:rPr>
            </w:pPr>
          </w:p>
        </w:tc>
        <w:tc>
          <w:tcPr>
            <w:tcW w:w="33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2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3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8"/>
              </w:rPr>
              <w:t>Chief Executive Officer</w:t>
            </w:r>
          </w:p>
        </w:tc>
        <w:tc>
          <w:tcPr>
            <w:tcW w:w="3500" w:type="dxa"/>
            <w:vAlign w:val="bottom"/>
            <w:tcBorders>
              <w:top w:val="single" w:sz="8" w:color="auto"/>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r>
      <w:tr>
        <w:trPr>
          <w:trHeight w:val="190"/>
        </w:trPr>
        <w:tc>
          <w:tcPr>
            <w:tcW w:w="40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Chief Financial Officer</w:t>
            </w:r>
          </w:p>
        </w:tc>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President</w:t>
            </w:r>
          </w:p>
        </w:tc>
        <w:tc>
          <w:tcPr>
            <w:tcW w:w="3500" w:type="dxa"/>
            <w:vAlign w:val="bottom"/>
            <w:shd w:val="clear" w:color="auto" w:fill="CCEEFF"/>
          </w:tcPr>
          <w:p>
            <w:pPr>
              <w:spacing w:after="0"/>
              <w:rPr>
                <w:sz w:val="16"/>
                <w:szCs w:val="16"/>
                <w:color w:val="auto"/>
              </w:rPr>
            </w:pPr>
          </w:p>
        </w:tc>
        <w:tc>
          <w:tcPr>
            <w:tcW w:w="260" w:type="dxa"/>
            <w:vAlign w:val="bottom"/>
          </w:tcPr>
          <w:p>
            <w:pPr>
              <w:spacing w:after="0"/>
              <w:rPr>
                <w:sz w:val="16"/>
                <w:szCs w:val="16"/>
                <w:color w:val="auto"/>
              </w:rPr>
            </w:pPr>
          </w:p>
        </w:tc>
      </w:tr>
      <w:tr>
        <w:trPr>
          <w:trHeight w:val="476"/>
        </w:trPr>
        <w:tc>
          <w:tcPr>
            <w:tcW w:w="3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Board of Directors of GRAIL Following the Spin-Off</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6"/>
        </w:trPr>
        <w:tc>
          <w:tcPr>
            <w:tcW w:w="5820" w:type="dxa"/>
            <w:vAlign w:val="bottom"/>
            <w:gridSpan w:val="6"/>
          </w:tcPr>
          <w:p>
            <w:pPr>
              <w:ind w:left="400"/>
              <w:spacing w:after="0"/>
              <w:rPr>
                <w:sz w:val="20"/>
                <w:szCs w:val="20"/>
                <w:color w:val="auto"/>
              </w:rPr>
            </w:pPr>
            <w:r>
              <w:rPr>
                <w:rFonts w:ascii="Times New Roman" w:cs="Times New Roman" w:eastAsia="Times New Roman" w:hAnsi="Times New Roman"/>
                <w:sz w:val="16"/>
                <w:szCs w:val="16"/>
                <w:color w:val="auto"/>
              </w:rPr>
              <w:t>The following table and accompanying narrative present information, as of</w:t>
            </w:r>
          </w:p>
        </w:tc>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 2023, regarding the individuals who are expected to serve</w:t>
            </w:r>
          </w:p>
        </w:tc>
      </w:tr>
    </w:tbl>
    <w:p>
      <w:pPr>
        <w:ind w:left="760" w:right="220"/>
        <w:spacing w:after="0" w:line="251" w:lineRule="auto"/>
        <w:rPr>
          <w:sz w:val="20"/>
          <w:szCs w:val="20"/>
          <w:color w:val="auto"/>
        </w:rPr>
      </w:pPr>
      <w:r>
        <w:rPr>
          <w:rFonts w:ascii="Times New Roman" w:cs="Times New Roman" w:eastAsia="Times New Roman" w:hAnsi="Times New Roman"/>
          <w:sz w:val="16"/>
          <w:szCs w:val="16"/>
          <w:color w:val="auto"/>
        </w:rPr>
        <w:t>on our Board of Directors (the “Board”) following the completion of the Spin-Off and until their respective successors are duly elected and qualified, including a five-year employment history and any directorships held by our directors in public companies. We are in the process of identifying the persons who are expected to serve as directors following the completion of the Spin-Off and will include information concerning those persons in an amendment to this Information Statement.</w:t>
      </w:r>
    </w:p>
    <w:p>
      <w:pPr>
        <w:spacing w:after="0" w:line="184" w:lineRule="exact"/>
        <w:rPr>
          <w:sz w:val="20"/>
          <w:szCs w:val="20"/>
          <w:color w:val="auto"/>
        </w:rPr>
      </w:pPr>
    </w:p>
    <w:p>
      <w:pPr>
        <w:ind w:left="1160"/>
        <w:spacing w:after="0"/>
        <w:tabs>
          <w:tab w:leader="none" w:pos="4520" w:val="left"/>
          <w:tab w:leader="none" w:pos="7000" w:val="left"/>
        </w:tabs>
        <w:rPr>
          <w:sz w:val="20"/>
          <w:szCs w:val="20"/>
          <w:color w:val="auto"/>
        </w:rPr>
      </w:pPr>
      <w:r>
        <w:rPr>
          <w:rFonts w:ascii="Times New Roman" w:cs="Times New Roman" w:eastAsia="Times New Roman" w:hAnsi="Times New Roman"/>
          <w:sz w:val="13"/>
          <w:szCs w:val="13"/>
          <w:b w:val="1"/>
          <w:bCs w:val="1"/>
          <w:u w:val="single" w:color="auto"/>
          <w:color w:val="auto"/>
        </w:rPr>
        <w:t>Name</w:t>
      </w:r>
      <w:r>
        <w:rPr>
          <w:sz w:val="20"/>
          <w:szCs w:val="20"/>
          <w:color w:val="auto"/>
        </w:rPr>
        <w:tab/>
      </w:r>
      <w:r>
        <w:rPr>
          <w:rFonts w:ascii="Times New Roman" w:cs="Times New Roman" w:eastAsia="Times New Roman" w:hAnsi="Times New Roman"/>
          <w:sz w:val="13"/>
          <w:szCs w:val="13"/>
          <w:b w:val="1"/>
          <w:bCs w:val="1"/>
          <w:u w:val="single" w:color="auto"/>
          <w:color w:val="auto"/>
        </w:rPr>
        <w:t>Age</w:t>
      </w:r>
      <w:r>
        <w:rPr>
          <w:sz w:val="20"/>
          <w:szCs w:val="20"/>
          <w:color w:val="auto"/>
        </w:rPr>
        <w:tab/>
      </w:r>
      <w:r>
        <w:rPr>
          <w:rFonts w:ascii="Times New Roman" w:cs="Times New Roman" w:eastAsia="Times New Roman" w:hAnsi="Times New Roman"/>
          <w:sz w:val="12"/>
          <w:szCs w:val="12"/>
          <w:b w:val="1"/>
          <w:bCs w:val="1"/>
          <w:color w:val="auto"/>
        </w:rPr>
        <w:t>Position with 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9525</wp:posOffset>
            </wp:positionV>
            <wp:extent cx="315849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158490" cy="7620"/>
                    </a:xfrm>
                    <a:prstGeom prst="rect">
                      <a:avLst/>
                    </a:prstGeom>
                    <a:noFill/>
                  </pic:spPr>
                </pic:pic>
              </a:graphicData>
            </a:graphic>
          </wp:anchor>
        </w:drawing>
      </w:r>
    </w:p>
    <w:p>
      <w:pPr>
        <w:spacing w:after="0" w:line="2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Our initial Board will be selected through a process involving Illumina and us. The initial directors who will serve after the Spin-Off are expected to begin their terms at the time of the Distribution, except as noted below.</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Structure and Composition</w:t>
      </w:r>
    </w:p>
    <w:p>
      <w:pPr>
        <w:sectPr>
          <w:pgSz w:w="11900" w:h="16838" w:orient="portrait"/>
          <w:cols w:equalWidth="0" w:num="1">
            <w:col w:w="10460"/>
          </w:cols>
          <w:pgMar w:left="320" w:top="419" w:right="1119" w:bottom="1440" w:gutter="0" w:footer="0" w:header="0"/>
        </w:sectPr>
      </w:pP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Upon completion of the Spin-Off, our Board will consist of</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members. Our board has determined that each of</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color w:val="auto"/>
        </w:rPr>
        <w:t>and</w:t>
      </w:r>
    </w:p>
    <w:p>
      <w:pPr>
        <w:spacing w:after="0" w:line="23" w:lineRule="exact"/>
        <w:rPr>
          <w:sz w:val="20"/>
          <w:szCs w:val="20"/>
          <w:color w:val="auto"/>
        </w:rPr>
      </w:pPr>
    </w:p>
    <w:p>
      <w:pPr>
        <w:sectPr>
          <w:pgSz w:w="11900" w:h="16838" w:orient="portrait"/>
          <w:cols w:equalWidth="0" w:num="3">
            <w:col w:w="4920" w:space="720"/>
            <w:col w:w="3100" w:space="700"/>
            <w:col w:w="1020"/>
          </w:cols>
          <w:pgMar w:left="320" w:top="419" w:right="111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6"/>
          <w:szCs w:val="16"/>
          <w:color w:val="auto"/>
        </w:rPr>
        <w:t>is independent under the applicable Nasdaq Global Select Market rules.</w:t>
      </w:r>
    </w:p>
    <w:p>
      <w:pPr>
        <w:spacing w:after="0" w:line="180"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Our directors will be divided into three classes serving staggered three-year terms. Class I, Class II, and Class III directors will serve until our annual meetings of stockholders in 2024, 2025, and 2026, respectively. The Class I directors will consist of , , and . The Class II directors will consist of , , and . The Class III directors will consist of , , and . At</w:t>
      </w:r>
    </w:p>
    <w:p>
      <w:pPr>
        <w:sectPr>
          <w:pgSz w:w="11900" w:h="16838" w:orient="portrait"/>
          <w:cols w:equalWidth="0" w:num="1">
            <w:col w:w="10460"/>
          </w:cols>
          <w:pgMar w:left="320" w:top="419" w:right="1119" w:bottom="1440" w:gutter="0" w:footer="0" w:header="0"/>
          <w:type w:val="continuous"/>
        </w:sectPr>
      </w:pPr>
    </w:p>
    <w:p>
      <w:pPr>
        <w:spacing w:after="0" w:line="2" w:lineRule="exact"/>
        <w:rPr>
          <w:sz w:val="20"/>
          <w:szCs w:val="20"/>
          <w:color w:val="auto"/>
        </w:rPr>
      </w:pPr>
    </w:p>
    <w:p>
      <w:pPr>
        <w:jc w:val="both"/>
        <w:ind w:left="760" w:right="340"/>
        <w:spacing w:after="0" w:line="277" w:lineRule="auto"/>
        <w:rPr>
          <w:sz w:val="20"/>
          <w:szCs w:val="20"/>
          <w:color w:val="auto"/>
        </w:rPr>
      </w:pPr>
      <w:r>
        <w:rPr>
          <w:rFonts w:ascii="Times New Roman" w:cs="Times New Roman" w:eastAsia="Times New Roman" w:hAnsi="Times New Roman"/>
          <w:sz w:val="15"/>
          <w:szCs w:val="15"/>
          <w:color w:val="auto"/>
        </w:rPr>
        <w:t>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Sessions</w:t>
      </w:r>
    </w:p>
    <w:p>
      <w:pPr>
        <w:spacing w:after="0" w:line="104" w:lineRule="exact"/>
        <w:rPr>
          <w:sz w:val="20"/>
          <w:szCs w:val="20"/>
          <w:color w:val="auto"/>
        </w:rPr>
      </w:pPr>
    </w:p>
    <w:p>
      <w:pPr>
        <w:ind w:left="760" w:right="60" w:firstLine="388"/>
        <w:spacing w:after="0" w:line="276" w:lineRule="auto"/>
        <w:rPr>
          <w:sz w:val="20"/>
          <w:szCs w:val="20"/>
          <w:color w:val="auto"/>
        </w:rPr>
      </w:pPr>
      <w:r>
        <w:rPr>
          <w:rFonts w:ascii="Times New Roman" w:cs="Times New Roman" w:eastAsia="Times New Roman" w:hAnsi="Times New Roman"/>
          <w:sz w:val="15"/>
          <w:szCs w:val="15"/>
          <w:color w:val="auto"/>
        </w:rPr>
        <w:t>We expect that the independent directors will meet in executive session in which independent directors meet without the presence or participation of management at most regular Board meetings and meet in executive session at other times whenever they believe it appropriate. We expect that</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will chair the executive sessions of the independent directors.</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187</w:t>
      </w:r>
    </w:p>
    <w:p>
      <w:pPr>
        <w:sectPr>
          <w:pgSz w:w="11900" w:h="16838" w:orient="portrait"/>
          <w:cols w:equalWidth="0" w:num="1">
            <w:col w:w="10460"/>
          </w:cols>
          <w:pgMar w:left="320" w:top="419" w:right="1119" w:bottom="1440" w:gutter="0" w:footer="0" w:header="0"/>
          <w:type w:val="continuous"/>
        </w:sectPr>
      </w:pPr>
    </w:p>
    <w:bookmarkStart w:id="451" w:name="page452"/>
    <w:bookmarkEnd w:id="4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During the fiscal year ended January 1, 2023, GRAIL did not have a compensation committee (or any other committee serving a similar function). Decisions as to the compensation of those who served as our executive officers for that fiscal year required agreement with Illumina (including its compensation committee) on a mutually acceptable and workable approach.</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4"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Effective immediately prior to the commencement of “when issued” trading, the Board will have a standing Audit Committee, and upon the completion of the Spin-Off, our Board is expected to have three additional standing committees: the Compensation Committee, the Nominating and Governance committee, and the Science, Medicine, and Technology Committee. Each committee is governed by a charter that will be available on our website following completion of this Spin-Off.</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06" w:lineRule="exact"/>
        <w:rPr>
          <w:sz w:val="20"/>
          <w:szCs w:val="20"/>
          <w:color w:val="auto"/>
        </w:rPr>
      </w:pPr>
    </w:p>
    <w:p>
      <w:pPr>
        <w:ind w:left="1160"/>
        <w:spacing w:after="0"/>
        <w:tabs>
          <w:tab w:leader="none" w:pos="7860" w:val="left"/>
          <w:tab w:leader="none" w:pos="8580" w:val="left"/>
          <w:tab w:leader="none" w:pos="9600" w:val="left"/>
        </w:tabs>
        <w:rPr>
          <w:sz w:val="20"/>
          <w:szCs w:val="20"/>
          <w:color w:val="auto"/>
        </w:rPr>
      </w:pPr>
      <w:r>
        <w:rPr>
          <w:rFonts w:ascii="Times New Roman" w:cs="Times New Roman" w:eastAsia="Times New Roman" w:hAnsi="Times New Roman"/>
          <w:sz w:val="16"/>
          <w:szCs w:val="16"/>
          <w:color w:val="auto"/>
        </w:rPr>
        <w:t>Following the completion of the Spin-Off, the members of our Audit Committee will consist of</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and</w:t>
      </w:r>
      <w:r>
        <w:rPr>
          <w:sz w:val="20"/>
          <w:szCs w:val="20"/>
          <w:color w:val="auto"/>
        </w:rPr>
        <w:tab/>
      </w:r>
      <w:r>
        <w:rPr>
          <w:rFonts w:ascii="Times New Roman" w:cs="Times New Roman" w:eastAsia="Times New Roman" w:hAnsi="Times New Roman"/>
          <w:sz w:val="15"/>
          <w:szCs w:val="15"/>
          <w:color w:val="auto"/>
        </w:rPr>
        <w:t>and</w:t>
      </w:r>
    </w:p>
    <w:p>
      <w:pPr>
        <w:spacing w:after="0" w:line="23" w:lineRule="exact"/>
        <w:rPr>
          <w:sz w:val="20"/>
          <w:szCs w:val="20"/>
          <w:color w:val="auto"/>
        </w:rPr>
      </w:pPr>
    </w:p>
    <w:p>
      <w:pPr>
        <w:ind w:left="760" w:firstLine="674"/>
        <w:spacing w:after="0" w:line="264" w:lineRule="auto"/>
        <w:rPr>
          <w:sz w:val="20"/>
          <w:szCs w:val="20"/>
          <w:color w:val="auto"/>
        </w:rPr>
      </w:pPr>
      <w:r>
        <w:rPr>
          <w:rFonts w:ascii="Times New Roman" w:cs="Times New Roman" w:eastAsia="Times New Roman" w:hAnsi="Times New Roman"/>
          <w:sz w:val="15"/>
          <w:szCs w:val="15"/>
          <w:color w:val="auto"/>
        </w:rPr>
        <w:t>will be the chairperson of our Audit Committee. The composition of our Audit Committee meets the requirements for independence under the current listing standards of the Nasdaq Global Select Market and Rule 10A-3 of the Exchange Act. Each member of our Audit Committee is financially</w:t>
      </w:r>
    </w:p>
    <w:p>
      <w:pPr>
        <w:spacing w:after="0" w:line="1" w:lineRule="exact"/>
        <w:rPr>
          <w:sz w:val="20"/>
          <w:szCs w:val="20"/>
          <w:color w:val="auto"/>
        </w:rPr>
      </w:pPr>
    </w:p>
    <w:p>
      <w:pPr>
        <w:ind w:left="760" w:right="60"/>
        <w:spacing w:after="0" w:line="252" w:lineRule="auto"/>
        <w:rPr>
          <w:sz w:val="20"/>
          <w:szCs w:val="20"/>
          <w:color w:val="auto"/>
        </w:rPr>
      </w:pPr>
      <w:r>
        <w:rPr>
          <w:rFonts w:ascii="Times New Roman" w:cs="Times New Roman" w:eastAsia="Times New Roman" w:hAnsi="Times New Roman"/>
          <w:sz w:val="16"/>
          <w:szCs w:val="16"/>
          <w:color w:val="auto"/>
        </w:rPr>
        <w:t>literate. In addition, our Board has determined that is an “audit committee financial expert” within the meaning of the SEC rules. This designation does not impose on such directors any duties, obligations, or liabilities that are greater than are generally imposed on members of our Audit Committee and our Board. Our Audit Committee is directly responsible for, among other things:</w:t>
      </w:r>
    </w:p>
    <w:p>
      <w:pPr>
        <w:spacing w:after="0" w:line="82" w:lineRule="exact"/>
        <w:rPr>
          <w:sz w:val="20"/>
          <w:szCs w:val="20"/>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retaining, compensating, and overseeing the work of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independence and performance of the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independent registered public accounting firm the scope and results of the firm’s annual audit of our financial statements;</w:t>
      </w:r>
    </w:p>
    <w:p>
      <w:pPr>
        <w:spacing w:after="0" w:line="6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financial statements that we will file with the SEC;</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all audit and permissible non-audit services to be performed by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policies and practices related to risk assessment and management;</w:t>
      </w:r>
    </w:p>
    <w:p>
      <w:pPr>
        <w:spacing w:after="0" w:line="113"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accounting and financial reporting policies and practices and accounting controls, as well as compliance with legal and regulatory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overseeing, approving, or disapproving any related-person transactions;</w:t>
      </w:r>
    </w:p>
    <w:p>
      <w:pPr>
        <w:spacing w:after="0" w:line="11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7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confidential anonymous submission of concerns regarding questionable accounting, internal controls, or auditing matters, or other ethics or compliance issues.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ectPr>
          <w:pgSz w:w="11900" w:h="16838" w:orient="portrait"/>
          <w:cols w:equalWidth="0" w:num="1">
            <w:col w:w="10460"/>
          </w:cols>
          <w:pgMar w:left="320" w:top="419" w:right="1119" w:bottom="1440" w:gutter="0" w:footer="0" w:header="0"/>
        </w:sectPr>
      </w:pP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Following the completion of the Spin-Off, the members of our Compensation Committee will consist of</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and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23" w:lineRule="exact"/>
        <w:rPr>
          <w:sz w:val="20"/>
          <w:szCs w:val="20"/>
          <w:color w:val="auto"/>
        </w:rPr>
      </w:pPr>
    </w:p>
    <w:p>
      <w:pPr>
        <w:sectPr>
          <w:pgSz w:w="11900" w:h="16838" w:orient="portrait"/>
          <w:cols w:equalWidth="0" w:num="4">
            <w:col w:w="7760" w:space="680"/>
            <w:col w:w="40" w:space="660"/>
            <w:col w:w="320" w:space="700"/>
            <w:col w:w="300"/>
          </w:cols>
          <w:pgMar w:left="320" w:top="419" w:right="111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6"/>
          <w:szCs w:val="16"/>
          <w:color w:val="auto"/>
        </w:rPr>
        <w:t>will be the chairperson of our Compensation Committee.</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188</w:t>
      </w:r>
    </w:p>
    <w:p>
      <w:pPr>
        <w:sectPr>
          <w:pgSz w:w="11900" w:h="16838" w:orient="portrait"/>
          <w:cols w:equalWidth="0" w:num="1">
            <w:col w:w="10460"/>
          </w:cols>
          <w:pgMar w:left="320" w:top="419" w:right="1119" w:bottom="1440" w:gutter="0" w:footer="0" w:header="0"/>
          <w:type w:val="continuous"/>
        </w:sectPr>
      </w:pPr>
    </w:p>
    <w:bookmarkStart w:id="452" w:name="page453"/>
    <w:bookmarkEnd w:id="452"/>
    <w:tbl>
      <w:tblPr>
        <w:tblLayout w:type="fixed"/>
        <w:tblInd w:w="0" w:type="dxa"/>
        <w:tblCellMar>
          <w:top w:w="0" w:type="dxa"/>
          <w:left w:w="0" w:type="dxa"/>
          <w:bottom w:w="0" w:type="dxa"/>
          <w:right w:w="0" w:type="dxa"/>
        </w:tblCellMar>
      </w:tblPr>
      <w:tr>
        <w:trPr>
          <w:trHeight w:val="184"/>
        </w:trPr>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20" w:type="dxa"/>
            <w:vAlign w:val="bottom"/>
          </w:tcPr>
          <w:p>
            <w:pPr>
              <w:spacing w:after="0"/>
              <w:rPr>
                <w:sz w:val="16"/>
                <w:szCs w:val="16"/>
                <w:color w:val="auto"/>
              </w:rPr>
            </w:pPr>
          </w:p>
        </w:tc>
      </w:tr>
      <w:tr>
        <w:trPr>
          <w:trHeight w:val="449"/>
        </w:trPr>
        <w:tc>
          <w:tcPr>
            <w:tcW w:w="11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20" w:type="dxa"/>
            <w:vAlign w:val="bottom"/>
          </w:tcPr>
          <w:p>
            <w:pPr>
              <w:jc w:val="center"/>
              <w:ind w:right="234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r>
      <w:tr>
        <w:trPr>
          <w:trHeight w:val="209"/>
        </w:trPr>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20" w:type="dxa"/>
            <w:vAlign w:val="bottom"/>
          </w:tcPr>
          <w:p>
            <w:pPr>
              <w:jc w:val="center"/>
              <w:ind w:right="234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r>
      <w:tr>
        <w:trPr>
          <w:trHeight w:val="321"/>
        </w:trPr>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Each of</w:t>
            </w: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and</w:t>
            </w:r>
          </w:p>
        </w:tc>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8"/>
              </w:rPr>
              <w:t>is a non-employee director, as defined by Rule 16B-3 of the Exchange Act and meet the requirements for</w:t>
            </w:r>
          </w:p>
        </w:tc>
      </w:tr>
    </w:tbl>
    <w:p>
      <w:pPr>
        <w:ind w:left="760" w:right="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independence under the current Nasdaq Global Select Market listing standards. Our Compensation Committee is directly responsible for, among other things:</w:t>
      </w:r>
    </w:p>
    <w:p>
      <w:pPr>
        <w:spacing w:after="0" w:line="78" w:lineRule="exact"/>
        <w:rPr>
          <w:sz w:val="20"/>
          <w:szCs w:val="20"/>
          <w:color w:val="auto"/>
        </w:rPr>
      </w:pPr>
    </w:p>
    <w:p>
      <w:pPr>
        <w:ind w:left="1620" w:right="140" w:hanging="375"/>
        <w:spacing w:after="0" w:line="278" w:lineRule="auto"/>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executive officers, including reviewing and approving corporate goals and objectives with respect to compensation;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 to act as an administrator of our equity incentive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with respect to, incentive compensation and equity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that our Board approve the compensation for our non-employee board members;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reviewing general policies relating to compensation and benefits of our employees.</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Governance Committee</w:t>
      </w:r>
    </w:p>
    <w:p>
      <w:pPr>
        <w:sectPr>
          <w:pgSz w:w="11900" w:h="16838" w:orient="portrait"/>
          <w:cols w:equalWidth="0" w:num="1">
            <w:col w:w="10360"/>
          </w:cols>
          <w:pgMar w:left="320" w:top="408" w:right="1219" w:bottom="1440" w:gutter="0" w:footer="0" w:header="0"/>
        </w:sectPr>
      </w:pPr>
    </w:p>
    <w:p>
      <w:pPr>
        <w:spacing w:after="0" w:line="106" w:lineRule="exact"/>
        <w:rPr>
          <w:sz w:val="20"/>
          <w:szCs w:val="20"/>
          <w:color w:val="auto"/>
        </w:rPr>
      </w:pPr>
    </w:p>
    <w:p>
      <w:pPr>
        <w:ind w:left="1160"/>
        <w:spacing w:after="0"/>
        <w:tabs>
          <w:tab w:leader="none" w:pos="9320" w:val="left"/>
        </w:tabs>
        <w:rPr>
          <w:sz w:val="20"/>
          <w:szCs w:val="20"/>
          <w:color w:val="auto"/>
        </w:rPr>
      </w:pPr>
      <w:r>
        <w:rPr>
          <w:rFonts w:ascii="Times New Roman" w:cs="Times New Roman" w:eastAsia="Times New Roman" w:hAnsi="Times New Roman"/>
          <w:sz w:val="16"/>
          <w:szCs w:val="16"/>
          <w:color w:val="auto"/>
        </w:rPr>
        <w:t>Following the completion of the Spin-Off, the members of our Nominating and Governance Committee will consist of</w:t>
      </w:r>
      <w:r>
        <w:rPr>
          <w:sz w:val="20"/>
          <w:szCs w:val="20"/>
          <w:color w:val="auto"/>
        </w:rPr>
        <w:tab/>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1440"/>
        <w:spacing w:after="0"/>
        <w:tabs>
          <w:tab w:leader="none" w:pos="2360" w:val="left"/>
          <w:tab w:leader="none" w:pos="7560" w:val="left"/>
          <w:tab w:leader="none" w:pos="8280" w:val="left"/>
          <w:tab w:leader="none" w:pos="9300" w:val="left"/>
        </w:tabs>
        <w:rPr>
          <w:sz w:val="20"/>
          <w:szCs w:val="20"/>
          <w:color w:val="auto"/>
        </w:rPr>
      </w:pPr>
      <w:r>
        <w:rPr>
          <w:rFonts w:ascii="Times New Roman" w:cs="Times New Roman" w:eastAsia="Times New Roman" w:hAnsi="Times New Roman"/>
          <w:sz w:val="16"/>
          <w:szCs w:val="16"/>
          <w:color w:val="auto"/>
        </w:rPr>
        <w:t>and</w:t>
      </w:r>
      <w:r>
        <w:rPr>
          <w:sz w:val="20"/>
          <w:szCs w:val="20"/>
          <w:color w:val="auto"/>
        </w:rPr>
        <w:tab/>
      </w:r>
      <w:r>
        <w:rPr>
          <w:rFonts w:ascii="Times New Roman" w:cs="Times New Roman" w:eastAsia="Times New Roman" w:hAnsi="Times New Roman"/>
          <w:sz w:val="16"/>
          <w:szCs w:val="16"/>
          <w:color w:val="auto"/>
        </w:rPr>
        <w:t>will be the chairperson of our Nominating and Governance Committee.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and</w:t>
      </w:r>
      <w:r>
        <w:rPr>
          <w:sz w:val="20"/>
          <w:szCs w:val="20"/>
          <w:color w:val="auto"/>
        </w:rPr>
        <w:tab/>
      </w:r>
      <w:r>
        <w:rPr>
          <w:rFonts w:ascii="Times New Roman" w:cs="Times New Roman" w:eastAsia="Times New Roman" w:hAnsi="Times New Roman"/>
          <w:sz w:val="15"/>
          <w:szCs w:val="15"/>
          <w:color w:val="auto"/>
        </w:rPr>
        <w:t>meet the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and</w:t>
      </w:r>
    </w:p>
    <w:p>
      <w:pPr>
        <w:spacing w:after="0" w:line="224" w:lineRule="exact"/>
        <w:rPr>
          <w:sz w:val="20"/>
          <w:szCs w:val="20"/>
          <w:color w:val="auto"/>
        </w:rPr>
      </w:pPr>
    </w:p>
    <w:p>
      <w:pPr>
        <w:sectPr>
          <w:pgSz w:w="11900" w:h="16838" w:orient="portrait"/>
          <w:cols w:equalWidth="0" w:num="2">
            <w:col w:w="9860" w:space="200"/>
            <w:col w:w="300"/>
          </w:cols>
          <w:pgMar w:left="320" w:top="408" w:right="1219" w:bottom="1440" w:gutter="0" w:footer="0" w:header="0"/>
          <w:type w:val="continuous"/>
        </w:sectPr>
      </w:pPr>
    </w:p>
    <w:p>
      <w:pPr>
        <w:ind w:left="760" w:right="420"/>
        <w:spacing w:after="0" w:line="256" w:lineRule="auto"/>
        <w:rPr>
          <w:sz w:val="20"/>
          <w:szCs w:val="20"/>
          <w:color w:val="auto"/>
        </w:rPr>
      </w:pPr>
      <w:r>
        <w:rPr>
          <w:rFonts w:ascii="Times New Roman" w:cs="Times New Roman" w:eastAsia="Times New Roman" w:hAnsi="Times New Roman"/>
          <w:sz w:val="16"/>
          <w:szCs w:val="16"/>
          <w:color w:val="auto"/>
        </w:rPr>
        <w:t>requirements for independence under the current Nasdaq Global Select Market listing standards. Our Nominating and Governance Committee is responsible for, among other thing:</w:t>
      </w:r>
    </w:p>
    <w:p>
      <w:pPr>
        <w:spacing w:after="0" w:line="78" w:lineRule="exact"/>
        <w:rPr>
          <w:sz w:val="20"/>
          <w:szCs w:val="20"/>
          <w:color w:val="auto"/>
        </w:rPr>
      </w:pPr>
    </w:p>
    <w:p>
      <w:pPr>
        <w:ind w:left="1620" w:right="660" w:hanging="375"/>
        <w:spacing w:after="0" w:line="278" w:lineRule="auto"/>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candidates for membership on our Board, including the consideration of nominees submitted by stockholders, and on each of the Board’s committees;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our corporate governance guidelines and policies;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proposed waivers of the code of business conduct and ethics for directors and executive officers;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process of evaluating the performance of our Board;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on corporate governance matters.</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Science, Medicine, and Technology Committee</w:t>
      </w:r>
    </w:p>
    <w:p>
      <w:pPr>
        <w:spacing w:after="0" w:line="106" w:lineRule="exact"/>
        <w:rPr>
          <w:sz w:val="20"/>
          <w:szCs w:val="20"/>
          <w:color w:val="auto"/>
        </w:rPr>
      </w:pPr>
    </w:p>
    <w:p>
      <w:pPr>
        <w:ind w:left="1160"/>
        <w:spacing w:after="0"/>
        <w:tabs>
          <w:tab w:leader="none" w:pos="9760" w:val="left"/>
        </w:tabs>
        <w:rPr>
          <w:sz w:val="20"/>
          <w:szCs w:val="20"/>
          <w:color w:val="auto"/>
        </w:rPr>
      </w:pPr>
      <w:r>
        <w:rPr>
          <w:rFonts w:ascii="Times New Roman" w:cs="Times New Roman" w:eastAsia="Times New Roman" w:hAnsi="Times New Roman"/>
          <w:sz w:val="16"/>
          <w:szCs w:val="16"/>
          <w:color w:val="auto"/>
        </w:rPr>
        <w:t>Following the completion of the Spin-Off, the members of our Science, Medicine, and Technology Committee will consist of</w:t>
      </w:r>
      <w:r>
        <w:rPr>
          <w:sz w:val="20"/>
          <w:szCs w:val="20"/>
          <w:color w:val="auto"/>
        </w:rPr>
        <w:tab/>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1400"/>
        <w:spacing w:after="0"/>
        <w:tabs>
          <w:tab w:leader="none" w:pos="2400" w:val="left"/>
          <w:tab w:leader="none" w:pos="3340" w:val="left"/>
        </w:tabs>
        <w:rPr>
          <w:sz w:val="20"/>
          <w:szCs w:val="20"/>
          <w:color w:val="auto"/>
        </w:rPr>
      </w:pPr>
      <w:r>
        <w:rPr>
          <w:rFonts w:ascii="Times New Roman" w:cs="Times New Roman" w:eastAsia="Times New Roman" w:hAnsi="Times New Roman"/>
          <w:sz w:val="16"/>
          <w:szCs w:val="16"/>
          <w:color w:val="auto"/>
        </w:rPr>
        <w:t>, and</w:t>
      </w:r>
      <w:r>
        <w:rPr>
          <w:sz w:val="20"/>
          <w:szCs w:val="20"/>
          <w:color w:val="auto"/>
        </w:rPr>
        <w:tab/>
      </w:r>
      <w:r>
        <w:rPr>
          <w:rFonts w:ascii="Times New Roman" w:cs="Times New Roman" w:eastAsia="Times New Roman" w:hAnsi="Times New Roman"/>
          <w:sz w:val="16"/>
          <w:szCs w:val="16"/>
          <w:color w:val="auto"/>
        </w:rPr>
        <w:t>and</w:t>
      </w:r>
      <w:r>
        <w:rPr>
          <w:sz w:val="20"/>
          <w:szCs w:val="20"/>
          <w:color w:val="auto"/>
        </w:rPr>
        <w:tab/>
      </w:r>
      <w:r>
        <w:rPr>
          <w:rFonts w:ascii="Times New Roman" w:cs="Times New Roman" w:eastAsia="Times New Roman" w:hAnsi="Times New Roman"/>
          <w:sz w:val="15"/>
          <w:szCs w:val="15"/>
          <w:color w:val="auto"/>
        </w:rPr>
        <w:t>will be the chairperson of our Science, Medicine, and Technology Committee. Our Science, Medicine,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Technology Committee is responsible for, among other thing:</w:t>
      </w:r>
    </w:p>
    <w:p>
      <w:pPr>
        <w:spacing w:after="0" w:line="97" w:lineRule="exact"/>
        <w:rPr>
          <w:sz w:val="20"/>
          <w:szCs w:val="20"/>
          <w:color w:val="auto"/>
        </w:rPr>
      </w:pPr>
    </w:p>
    <w:p>
      <w:pPr>
        <w:ind w:left="1620" w:hanging="375"/>
        <w:spacing w:after="0"/>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our Board on key scientific, medical, and technological issues;</w:t>
      </w:r>
    </w:p>
    <w:p>
      <w:pPr>
        <w:spacing w:after="0" w:line="113"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evaluating, and advising our Board regarding our performance in achieving long-term strategic goals and objectives and the quality and direction of our research and development programs; and</w:t>
      </w:r>
    </w:p>
    <w:p>
      <w:pPr>
        <w:spacing w:after="0" w:line="61"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with recruitment and retention of scientific and technological talent to advance our research and development programs.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04"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Spin-Off, we will adopt a code of business conduct and ethics that applies to all of our employees, officers, and directors, including our Chief Executive Officer, Chief Financial Officer, and other executive and senior financial officers. Upon completion of the Spin-Off, the full text of our code of business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189</w:t>
      </w:r>
    </w:p>
    <w:p>
      <w:pPr>
        <w:sectPr>
          <w:pgSz w:w="11900" w:h="16838" w:orient="portrait"/>
          <w:cols w:equalWidth="0" w:num="1">
            <w:col w:w="10360"/>
          </w:cols>
          <w:pgMar w:left="320" w:top="408" w:right="1219" w:bottom="1440" w:gutter="0" w:footer="0" w:header="0"/>
          <w:type w:val="continuous"/>
        </w:sectPr>
      </w:pPr>
    </w:p>
    <w:bookmarkStart w:id="453" w:name="page454"/>
    <w:bookmarkEnd w:id="4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0"/>
        <w:spacing w:after="0" w:line="278" w:lineRule="auto"/>
        <w:rPr>
          <w:sz w:val="20"/>
          <w:szCs w:val="20"/>
          <w:color w:val="auto"/>
        </w:rPr>
      </w:pPr>
      <w:r>
        <w:rPr>
          <w:rFonts w:ascii="Times New Roman" w:cs="Times New Roman" w:eastAsia="Times New Roman" w:hAnsi="Times New Roman"/>
          <w:sz w:val="16"/>
          <w:szCs w:val="16"/>
          <w:color w:val="auto"/>
        </w:rPr>
        <w:t>conduct and ethics will be posted on the investor relations section of our website. We intend to disclose future amendments to our code of business conduct and ethics, or any waivers of such code, on our website or in public filings if required.</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are currently in the process of determining the composition of our Board and of developing the details regarding the compensation packages of the directors who will comprise our Board. This is an ongoing process and we will include the relevant disclosure in an amendment to this Information Statement.</w:t>
      </w:r>
    </w:p>
    <w:p>
      <w:pPr>
        <w:spacing w:after="0" w:line="157"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did not have a board of directors in 2022 and we have not established a compensation program for our non-employee directors. In connection with the Spin-Off, we expect to approve and implement a compensation program for our non-employee directors that we expect will consist of annual retainer fees and long-term equity awards. We expect that directors who are also full-time officers or employees of our company will receive no additional compensation for serving as directors.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190</w:t>
      </w:r>
    </w:p>
    <w:p>
      <w:pPr>
        <w:sectPr>
          <w:pgSz w:w="11900" w:h="16838" w:orient="portrait"/>
          <w:cols w:equalWidth="0" w:num="1">
            <w:col w:w="10480"/>
          </w:cols>
          <w:pgMar w:left="320" w:top="419" w:right="109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9"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our named executive officers (NEOs) who are named in the “2023 Summary Compensation Table” below. In 2023, our NEOs and their positions were as follows:</w:t>
      </w:r>
    </w:p>
    <w:p>
      <w:pPr>
        <w:spacing w:after="0" w:line="62" w:lineRule="exact"/>
        <w:rPr>
          <w:sz w:val="20"/>
          <w:szCs w:val="20"/>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Ragusa, Chief Executive Officer;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Aaron Freidin, Chief Financial Officer;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Josh Ofman, President.</w:t>
      </w:r>
    </w:p>
    <w:p>
      <w:pPr>
        <w:spacing w:after="0" w:line="19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This discussion may contain forward-looking statements that are based on our current plans, considerations, expectations and determinations regarding future compensation programs and policies. Actual compensation programs and policies that we implement following the completion of the Spin-Off may differ materially from the currently planned programs and policies summarized in this discussion.</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04"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awarded to or earned by our NEOs during our fiscal years ended December 31, 2023 and December 31, 2022.</w:t>
      </w:r>
    </w:p>
    <w:p>
      <w:pPr>
        <w:spacing w:after="0" w:line="3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6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Bonus</w:t>
            </w: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3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8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8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30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60" w:type="dxa"/>
            <w:vAlign w:val="bottom"/>
          </w:tcPr>
          <w:p>
            <w:pPr>
              <w:jc w:val="right"/>
              <w:ind w:right="37"/>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3"/>
                <w:szCs w:val="13"/>
                <w:color w:val="auto"/>
              </w:rPr>
            </w:pPr>
          </w:p>
        </w:tc>
        <w:tc>
          <w:tcPr>
            <w:tcW w:w="340" w:type="dxa"/>
            <w:vAlign w:val="bottom"/>
          </w:tcPr>
          <w:p>
            <w:pPr>
              <w:jc w:val="right"/>
              <w:ind w:right="37"/>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3"/>
                <w:szCs w:val="13"/>
                <w:color w:val="auto"/>
              </w:rPr>
            </w:pPr>
          </w:p>
        </w:tc>
        <w:tc>
          <w:tcPr>
            <w:tcW w:w="94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3"/>
                <w:szCs w:val="13"/>
                <w:b w:val="1"/>
                <w:bCs w:val="1"/>
                <w:color w:val="auto"/>
                <w:w w:val="97"/>
              </w:rPr>
              <w:t xml:space="preserve">Awards </w:t>
            </w:r>
            <w:r>
              <w:rPr>
                <w:rFonts w:ascii="Times New Roman" w:cs="Times New Roman" w:eastAsia="Times New Roman" w:hAnsi="Times New Roman"/>
                <w:sz w:val="13"/>
                <w:szCs w:val="13"/>
                <w:b w:val="1"/>
                <w:bCs w:val="1"/>
                <w:u w:val="single" w:color="auto"/>
                <w:color w:val="auto"/>
                <w:w w:val="97"/>
              </w:rPr>
              <w:t>($</w:t>
            </w:r>
            <w:r>
              <w:rPr>
                <w:rFonts w:ascii="Times New Roman" w:cs="Times New Roman" w:eastAsia="Times New Roman" w:hAnsi="Times New Roman"/>
                <w:sz w:val="13"/>
                <w:szCs w:val="13"/>
                <w:b w:val="1"/>
                <w:bCs w:val="1"/>
                <w:color w:val="auto"/>
                <w:w w:val="97"/>
              </w:rPr>
              <w:t>)</w:t>
            </w:r>
          </w:p>
        </w:tc>
        <w:tc>
          <w:tcPr>
            <w:tcW w:w="92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3"/>
                <w:szCs w:val="13"/>
                <w:b w:val="1"/>
                <w:bCs w:val="1"/>
                <w:color w:val="auto"/>
                <w:w w:val="93"/>
              </w:rPr>
              <w:t xml:space="preserve">Awards </w:t>
            </w:r>
            <w:r>
              <w:rPr>
                <w:rFonts w:ascii="Times New Roman" w:cs="Times New Roman" w:eastAsia="Times New Roman" w:hAnsi="Times New Roman"/>
                <w:sz w:val="13"/>
                <w:szCs w:val="13"/>
                <w:b w:val="1"/>
                <w:bCs w:val="1"/>
                <w:u w:val="single" w:color="auto"/>
                <w:color w:val="auto"/>
                <w:w w:val="93"/>
              </w:rPr>
              <w:t>($</w:t>
            </w:r>
            <w:r>
              <w:rPr>
                <w:rFonts w:ascii="Times New Roman" w:cs="Times New Roman" w:eastAsia="Times New Roman" w:hAnsi="Times New Roman"/>
                <w:sz w:val="13"/>
                <w:szCs w:val="13"/>
                <w:b w:val="1"/>
                <w:bCs w:val="1"/>
                <w:color w:val="auto"/>
                <w:w w:val="93"/>
              </w:rPr>
              <w:t>)</w:t>
            </w:r>
          </w:p>
        </w:tc>
        <w:tc>
          <w:tcPr>
            <w:tcW w:w="130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3"/>
                <w:szCs w:val="13"/>
                <w:b w:val="1"/>
                <w:bCs w:val="1"/>
                <w:color w:val="auto"/>
                <w:w w:val="97"/>
              </w:rPr>
              <w:t xml:space="preserve">Compensation </w:t>
            </w:r>
            <w:r>
              <w:rPr>
                <w:rFonts w:ascii="Times New Roman" w:cs="Times New Roman" w:eastAsia="Times New Roman" w:hAnsi="Times New Roman"/>
                <w:sz w:val="13"/>
                <w:szCs w:val="13"/>
                <w:b w:val="1"/>
                <w:bCs w:val="1"/>
                <w:u w:val="single" w:color="auto"/>
                <w:color w:val="auto"/>
                <w:w w:val="97"/>
              </w:rPr>
              <w:t>($</w:t>
            </w:r>
            <w:r>
              <w:rPr>
                <w:rFonts w:ascii="Times New Roman" w:cs="Times New Roman" w:eastAsia="Times New Roman" w:hAnsi="Times New Roman"/>
                <w:sz w:val="13"/>
                <w:szCs w:val="13"/>
                <w:b w:val="1"/>
                <w:bCs w:val="1"/>
                <w:color w:val="auto"/>
                <w:w w:val="97"/>
              </w:rPr>
              <w:t>)</w:t>
            </w:r>
          </w:p>
        </w:tc>
        <w:tc>
          <w:tcPr>
            <w:tcW w:w="130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3"/>
                <w:szCs w:val="13"/>
                <w:b w:val="1"/>
                <w:bCs w:val="1"/>
                <w:color w:val="auto"/>
                <w:w w:val="97"/>
              </w:rPr>
              <w:t>Compensation ($)</w:t>
            </w:r>
          </w:p>
        </w:tc>
        <w:tc>
          <w:tcPr>
            <w:tcW w:w="28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10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87"/>
              </w:rPr>
              <w:t>2023</w:t>
            </w: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w:t>
            </w:r>
          </w:p>
        </w:tc>
        <w:tc>
          <w:tcPr>
            <w:tcW w:w="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Salaries</w:t>
      </w:r>
    </w:p>
    <w:p>
      <w:pPr>
        <w:spacing w:after="0" w:line="104"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The annual base salaries for Robert Ragusa, Aaron Freidin, and Josh Ofman for 2023 were $785,000 (increased from $750,000 in 2022), $560,000 (increased from $535,000 in 2022), and $655,000 (increased from $630,000 in 2022), respectively. Increases in base salary were approved following an analysis of market positioning against peers in alignment with our overall compensation philosophy.</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Annual Bonuses (Non-Equity Incentive Plan Awards)</w:t>
      </w:r>
    </w:p>
    <w:p>
      <w:pPr>
        <w:spacing w:after="0" w:line="104" w:lineRule="exact"/>
        <w:rPr>
          <w:sz w:val="20"/>
          <w:szCs w:val="20"/>
          <w:color w:val="auto"/>
        </w:rPr>
      </w:pPr>
    </w:p>
    <w:p>
      <w:pPr>
        <w:ind w:left="760" w:right="120" w:firstLine="388"/>
        <w:spacing w:after="0" w:line="274" w:lineRule="auto"/>
        <w:rPr>
          <w:sz w:val="20"/>
          <w:szCs w:val="20"/>
          <w:color w:val="auto"/>
        </w:rPr>
      </w:pPr>
      <w:r>
        <w:rPr>
          <w:rFonts w:ascii="Times New Roman" w:cs="Times New Roman" w:eastAsia="Times New Roman" w:hAnsi="Times New Roman"/>
          <w:sz w:val="15"/>
          <w:szCs w:val="15"/>
          <w:color w:val="auto"/>
        </w:rPr>
        <w:t>Our annual Variable Compensation Program (“VCP”) provides the opportunity to eligible employees, including our NEOs, to earn annual cash bonuses based on the achievement of pre-established corporate and individual performance goals for the applicable fiscal year. Individual VCP targets are determined by salary grade and expressed as a percentage of base pay—2023 target bonuses for Messrs. Ragusa, Freidin, and Ofman have not been changed since 2022 and were 100%, 50%, and 50% of applicable base salary, respectively. The payment of any annual bonus, if earned, is contingent upon the applicable participant’s (i) continued employment or other service with the company through the applicable payment date, (ii) employment start date commencing on or prior to October 1 of the applicable fiscal year and (iii) continued compliance with company policy and applicable law.</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191</w:t>
      </w:r>
    </w:p>
    <w:p>
      <w:pPr>
        <w:sectPr>
          <w:pgSz w:w="11900" w:h="16838" w:orient="portrait"/>
          <w:cols w:equalWidth="0" w:num="1">
            <w:col w:w="10480"/>
          </w:cols>
          <w:pgMar w:left="320" w:top="419" w:right="109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Equity-Linked Compensation</w:t>
      </w:r>
    </w:p>
    <w:p>
      <w:pPr>
        <w:spacing w:after="0" w:line="10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Each of our NEOs currently holds Cash-Based Equity Awards representing dollar-denominated, long-term incentive awards which increase or decrease in value based on corresponding changes in our equity value. The Cash-Based Equity Awards generally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 If we experience a “change in control” (as provided in the Cash-Based Equity Award agreements), the Cash-Based Equity Awards will continue on their terms unless the Cash-Based Equity Awards are not assumed/continued or substituted for in connection with such change in control, in which case the Cash-Based Equity Awards will vest and be paid upon such change in control. The Cash-Based Equity Awards are generally paid in cash, but may be converted into Illumina restricted stock units at Illumina’s election, in which case the converted awards would entitle the applicable holder to awards denominated in Illumina common shares and would be valued based on the fluctuation in value of Illumina shares.</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For additional information about these awards, please see the sections titled “—Outstanding Equity Awards at Fiscal Year End” and “—Executive Compensation Arrangements” below. For information regarding their treatment in connection with the Spin-Off, see “The Spin-Off—Treatment of Outstanding Equity Incentive Awards” beginning on page 100 of this Information Statement.</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intend to adopt a 2024 Incentive Award Plan, referred to below as the 2024 Plan, in order to facilitate the grant of cash and equity incentives to directors, employees (including our NEOs) and consultants of our company and certain of our subsidiaries and to enable our company and certain of our subsidiaries to obtain and retain services of these individuals following the Spin-Off, which we view as essential to our long-term success. We expect that the 2024 Plan will become effective in connection with the Spin-Off, subject to approval of such plan by Illumina, in its capacity as our sole stockholder, as required by applicable listing requirements. For additional information about the 2024 Plan, please see the section titled “—Executive Compensation Arrangements—2024 Equity Incentive Plan” below.</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Other Elements of Compensation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Retirement Plans</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We maintain a tax-qualified 401(k) retirement savings plan for our employees, including our NEOs, who satisfy certain eligibility requirements. Our NEOs are eligible to participate in the 401(k) plan on the same terms generally as other eligible, full-time employees. The Code allows eligible employees to defer a portion of their compensation, within prescribed limits, on a pre-tax basis through contributions to the 401(k) plan. We believe that providing a vehicle for tax-deferred retirement savings though our 401(k) plan adds to the overall desirability of our executive compensation package and further incentivizes our employees, including our NEOs, in accordance with our compensation policies.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Employee Benefits and Perquisites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 xml:space="preserve">Health/Welfare Plans. </w:t>
      </w:r>
      <w:r>
        <w:rPr>
          <w:rFonts w:ascii="Times New Roman" w:cs="Times New Roman" w:eastAsia="Times New Roman" w:hAnsi="Times New Roman"/>
          <w:sz w:val="16"/>
          <w:szCs w:val="16"/>
          <w:color w:val="auto"/>
        </w:rPr>
        <w:t>All of our full-time employees, including our NEOs, are eligible to participate in our health and welfare plans, including:</w:t>
      </w:r>
    </w:p>
    <w:p>
      <w:pPr>
        <w:spacing w:after="0" w:line="116" w:lineRule="exact"/>
        <w:rPr>
          <w:sz w:val="20"/>
          <w:szCs w:val="20"/>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dental, and vision benefits;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and dependent care flexible spending accounts;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and long-term disability insurance;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wellbeing benefits (including mental health, back-up care and family forming benefits);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w:t>
      </w:r>
    </w:p>
    <w:p>
      <w:pPr>
        <w:spacing w:after="0" w:line="197"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We believe the benefits described above are in-line with market practice and necessary and appropriate to provide a competitive compensation package to our NEOs. There are no executive perquisites.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192</w:t>
      </w:r>
    </w:p>
    <w:p>
      <w:pPr>
        <w:sectPr>
          <w:pgSz w:w="11900" w:h="16838" w:orient="portrait"/>
          <w:cols w:equalWidth="0" w:num="1">
            <w:col w:w="10460"/>
          </w:cols>
          <w:pgMar w:left="320" w:top="419" w:right="111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No Tax Gross-Ups</w:t>
      </w:r>
    </w:p>
    <w:p>
      <w:pPr>
        <w:spacing w:after="0" w:line="104"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We do not make gross-up payments to cover our NEOs’ personal income taxes that may pertain to any of the compensation or perquisites paid or provided by our company.</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04"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number of shares of common stock underlying outstanding equity incentive awards for each NEO as of December 31, 2023.</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Option Awards (1)</w:t>
            </w:r>
          </w:p>
        </w:tc>
        <w:tc>
          <w:tcPr>
            <w:tcW w:w="7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80" w:type="dxa"/>
            <w:vAlign w:val="bottom"/>
          </w:tcPr>
          <w:p>
            <w:pPr>
              <w:jc w:val="center"/>
              <w:ind w:left="97"/>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00" w:type="dxa"/>
            <w:vAlign w:val="bottom"/>
            <w:gridSpan w:val="2"/>
          </w:tcPr>
          <w:p>
            <w:pPr>
              <w:jc w:val="center"/>
              <w:ind w:left="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700" w:type="dxa"/>
            <w:vAlign w:val="bottom"/>
            <w:gridSpan w:val="2"/>
          </w:tcPr>
          <w:p>
            <w:pPr>
              <w:jc w:val="center"/>
              <w:ind w:left="57"/>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5"/>
              </w:rPr>
              <w:t>or Payout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700" w:type="dxa"/>
            <w:vAlign w:val="bottom"/>
            <w:gridSpan w:val="2"/>
          </w:tcPr>
          <w:p>
            <w:pPr>
              <w:jc w:val="center"/>
              <w:ind w:left="57"/>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0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4"/>
              </w:rPr>
              <w:t>or Units of</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2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rPr>
              <w:t>Stock</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760" w:type="dxa"/>
            <w:vAlign w:val="bottom"/>
            <w:vMerge w:val="restart"/>
          </w:tcPr>
          <w:p>
            <w:pPr>
              <w:jc w:val="center"/>
              <w:ind w:left="1117"/>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06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9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74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72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700" w:type="dxa"/>
            <w:vAlign w:val="bottom"/>
            <w:gridSpan w:val="2"/>
          </w:tcPr>
          <w:p>
            <w:pPr>
              <w:jc w:val="center"/>
              <w:ind w:left="57"/>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760" w:type="dxa"/>
            <w:vAlign w:val="bottom"/>
            <w:vMerge w:val="continue"/>
          </w:tcPr>
          <w:p>
            <w:pPr>
              <w:spacing w:after="0"/>
              <w:rPr>
                <w:sz w:val="11"/>
                <w:szCs w:val="11"/>
                <w:color w:val="auto"/>
              </w:rPr>
            </w:pPr>
          </w:p>
        </w:tc>
        <w:tc>
          <w:tcPr>
            <w:tcW w:w="106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90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2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700" w:type="dxa"/>
            <w:vAlign w:val="bottom"/>
            <w:gridSpan w:val="2"/>
          </w:tcPr>
          <w:p>
            <w:pPr>
              <w:jc w:val="center"/>
              <w:ind w:left="77"/>
              <w:spacing w:after="0" w:line="131"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0" w:type="dxa"/>
            <w:vAlign w:val="bottom"/>
          </w:tcPr>
          <w:p>
            <w:pPr>
              <w:spacing w:after="0"/>
              <w:rPr>
                <w:sz w:val="1"/>
                <w:szCs w:val="1"/>
                <w:color w:val="auto"/>
              </w:rPr>
            </w:pPr>
          </w:p>
        </w:tc>
      </w:tr>
      <w:tr>
        <w:trPr>
          <w:trHeight w:val="146"/>
        </w:trPr>
        <w:tc>
          <w:tcPr>
            <w:tcW w:w="340" w:type="dxa"/>
            <w:vAlign w:val="bottom"/>
            <w:tcBorders>
              <w:bottom w:val="single" w:sz="8" w:color="auto"/>
            </w:tcBorders>
            <w:vMerge w:val="continue"/>
          </w:tcPr>
          <w:p>
            <w:pPr>
              <w:spacing w:after="0"/>
              <w:rPr>
                <w:sz w:val="12"/>
                <w:szCs w:val="12"/>
                <w:color w:val="auto"/>
              </w:rPr>
            </w:pPr>
          </w:p>
        </w:tc>
        <w:tc>
          <w:tcPr>
            <w:tcW w:w="1760" w:type="dxa"/>
            <w:vAlign w:val="bottom"/>
          </w:tcPr>
          <w:p>
            <w:pPr>
              <w:jc w:val="center"/>
              <w:ind w:left="1117"/>
              <w:spacing w:after="0" w:line="141"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b w:val="1"/>
                <w:bCs w:val="1"/>
                <w:u w:val="single" w:color="auto"/>
                <w:color w:val="auto"/>
                <w:w w:val="96"/>
              </w:rPr>
              <w:t>Exercisable</w:t>
            </w:r>
          </w:p>
        </w:tc>
        <w:tc>
          <w:tcPr>
            <w:tcW w:w="900" w:type="dxa"/>
            <w:vAlign w:val="bottom"/>
          </w:tcPr>
          <w:p>
            <w:pPr>
              <w:jc w:val="center"/>
              <w:ind w:right="77"/>
              <w:spacing w:after="0" w:line="141" w:lineRule="exact"/>
              <w:rPr>
                <w:sz w:val="20"/>
                <w:szCs w:val="20"/>
                <w:color w:val="auto"/>
              </w:rPr>
            </w:pPr>
            <w:r>
              <w:rPr>
                <w:rFonts w:ascii="Times New Roman" w:cs="Times New Roman" w:eastAsia="Times New Roman" w:hAnsi="Times New Roman"/>
                <w:sz w:val="13"/>
                <w:szCs w:val="13"/>
                <w:b w:val="1"/>
                <w:bCs w:val="1"/>
                <w:u w:val="single" w:color="auto"/>
                <w:color w:val="auto"/>
                <w:w w:val="97"/>
              </w:rPr>
              <w:t>Unexercisable</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u w:val="single" w:color="auto"/>
                <w:color w:val="auto"/>
                <w:w w:val="95"/>
              </w:rPr>
              <w:t>Options (#)</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u w:val="single" w:color="auto"/>
                <w:color w:val="auto"/>
                <w:w w:val="97"/>
              </w:rPr>
              <w:t>Price ($)</w:t>
            </w:r>
          </w:p>
        </w:tc>
        <w:tc>
          <w:tcPr>
            <w:tcW w:w="98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72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3"/>
                <w:szCs w:val="13"/>
                <w:b w:val="1"/>
                <w:bCs w:val="1"/>
                <w:u w:val="single" w:color="auto"/>
                <w:color w:val="auto"/>
                <w:w w:val="92"/>
              </w:rPr>
              <w:t>Vested (#)</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700" w:type="dxa"/>
            <w:vAlign w:val="bottom"/>
            <w:gridSpan w:val="2"/>
          </w:tcPr>
          <w:p>
            <w:pPr>
              <w:jc w:val="center"/>
              <w:ind w:left="77"/>
              <w:spacing w:after="0" w:line="141"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0</wp:posOffset>
            </wp:positionV>
            <wp:extent cx="6166485" cy="1206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166485" cy="12065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6"/>
          <w:szCs w:val="16"/>
          <w:color w:val="auto"/>
        </w:rPr>
        <w:t>Robert Ragusa</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Aaron Freidin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3810</wp:posOffset>
            </wp:positionV>
            <wp:extent cx="6166485" cy="1206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166485" cy="120650"/>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6"/>
          <w:szCs w:val="16"/>
          <w:color w:val="auto"/>
        </w:rPr>
        <w:t>Josh Ofman</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193</w:t>
      </w:r>
    </w:p>
    <w:p>
      <w:pPr>
        <w:sectPr>
          <w:pgSz w:w="11900" w:h="16838" w:orient="portrait"/>
          <w:cols w:equalWidth="0" w:num="1">
            <w:col w:w="10440"/>
          </w:cols>
          <w:pgMar w:left="320" w:top="419" w:right="113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EXECUTIVE COMPENSATION ARRANGEMENTS</w:t>
      </w:r>
    </w:p>
    <w:p>
      <w:pPr>
        <w:spacing w:after="0" w:line="199"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Below is a description of the material terms of each employment contract, agreement, plan, or arrangement that provides for the employment of, and payments to, our NEOs (including such payments to be made at, following or in connection with the resignation, retirement, or other termination of an NEO, or following a change in control).</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Offer Letters and Separation and General Release Agreement</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Robert Ragusa Offer Letter</w:t>
      </w:r>
    </w:p>
    <w:p>
      <w:pPr>
        <w:spacing w:after="0" w:line="104" w:lineRule="exact"/>
        <w:rPr>
          <w:sz w:val="20"/>
          <w:szCs w:val="20"/>
          <w:color w:val="auto"/>
        </w:rPr>
      </w:pPr>
    </w:p>
    <w:p>
      <w:pPr>
        <w:ind w:left="760" w:right="60" w:firstLine="388"/>
        <w:spacing w:after="0" w:line="313" w:lineRule="auto"/>
        <w:rPr>
          <w:sz w:val="20"/>
          <w:szCs w:val="20"/>
          <w:color w:val="auto"/>
        </w:rPr>
      </w:pPr>
      <w:r>
        <w:rPr>
          <w:rFonts w:ascii="Times New Roman" w:cs="Times New Roman" w:eastAsia="Times New Roman" w:hAnsi="Times New Roman"/>
          <w:sz w:val="15"/>
          <w:szCs w:val="15"/>
          <w:color w:val="auto"/>
        </w:rPr>
        <w:t>We have entered into an employment offer letter with Robert Ragusa, dated October 14, 2021, pursuant to which Mr. Ragusa serves as our Chief Executive Officer. Mr. Ragusa’s employment pursuant to the offer letter is “at-will” and is terminable by either party with or without notice or cause.</w:t>
      </w:r>
    </w:p>
    <w:p>
      <w:pPr>
        <w:spacing w:after="0" w:line="121"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his offer letter, Mr. Ragusa was entitled to receive an initial base salary of $725,000 (increased to $785,000 in 2023). In addition, pursuant to his offer letter, Mr. Ragusa is eligible to participate in our VCP with a target bonus of 100% of his base salary. In connection with his entry into his offer letter, Mr. Ragusa was granted a Cash-Based Equity Award with an initial award value of $15,800,000 (subject to adjustment based on changes in our equity value) vesting in annual increments as to 25% of the award on each of the first four anniversaries of grant, and received a signing bonus in the amount of $4,000,000, of which 50% was subject to clawback in the event of a voluntary resignation or termination by us without cause within 12 months of commencing employment with us. The offer letter also provides that Mr. Ragusa will be entitled to receive standard benefits in accordance with our policies.</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the offer letter, if Mr. Ragusa’s employment is terminated by us without cause or Mr. Ragusa resigns with good reason (each as defined in the offer letter), then, in addition to any accrued benefits and subject to his timely execution of an effective separation and release agreement in a form prescribed by us, Mr. Ragusa will be entitled to receive the following severance payments and benefits: (i) a lump-sum cash payment in an amount equal to the sum of (x) 12 months of base salary and (y) 100% of Mr. Ragusa’s target bonus under the VCP, (ii) reimbursement for the cost of health benefits under COBRA for up to 12 months, and (iii) accelerated vesting of any outstanding equity award(s) (or portion thereof) that would have vested over 12 months following such termination had Mr. Ragusa’s service not terminated (with performance-vesting awards being deemed vested at target).</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the event of a change in control transaction, if outstanding and unvested equity awards are not assumed by the acquirer or successor,</w:t>
      </w:r>
    </w:p>
    <w:p>
      <w:pPr>
        <w:spacing w:after="0" w:line="23" w:lineRule="exact"/>
        <w:rPr>
          <w:sz w:val="20"/>
          <w:szCs w:val="20"/>
          <w:color w:val="auto"/>
        </w:rPr>
      </w:pPr>
    </w:p>
    <w:p>
      <w:pPr>
        <w:ind w:left="760" w:right="40"/>
        <w:spacing w:after="0" w:line="249" w:lineRule="auto"/>
        <w:rPr>
          <w:sz w:val="20"/>
          <w:szCs w:val="20"/>
          <w:color w:val="auto"/>
        </w:rPr>
      </w:pPr>
      <w:r>
        <w:rPr>
          <w:rFonts w:ascii="Times New Roman" w:cs="Times New Roman" w:eastAsia="Times New Roman" w:hAnsi="Times New Roman"/>
          <w:sz w:val="16"/>
          <w:szCs w:val="16"/>
          <w:color w:val="auto"/>
        </w:rPr>
        <w:t>Mr. Ragusa’s outstanding and unvested equity awards shall accelerate in full as of immediately prior to the closing of the change in control transaction. In addition, pursuant to his offer letter, if Mr. Ragusa’s employment is terminated by us without cause or he resigns for good reason, in either case, within 24 months following or within 3 months preceding a change in control, then Mr. Ragusa will instead be entitled to receive the following severance payments and benefits (subject to the same separation and release agreement requirements and in lieu of the amounts described above): (i) a lump-sum cash payment in an amount equal to 24 months of base salary, (ii) a lump-sum cash payment in an amount equal to 200% of Mr. Ragusa’s target bonus under the VCP, (iii) reimbursement for the cost of health benefits under COBRA for up to 24 months, and (iv) full accelerated vesting of outstanding and unvested equity awards (including equity appreciation awards, and with performance vesting awards vesting based on target performance).</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Aaron Freidin Letter Agreement</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entered into a letter agreement with Aaron Freidin, dated July 5, 2018, pursuant to which Mr. Freidin’s employment is “at-will” and terminable by either party with or without notice or cause. The letter agreement provides that if Mr. Freidin’s employment is terminated by us without cause or Mr. Freidin resigns for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194</w:t>
      </w:r>
    </w:p>
    <w:p>
      <w:pPr>
        <w:sectPr>
          <w:pgSz w:w="11900" w:h="16838" w:orient="portrait"/>
          <w:cols w:equalWidth="0" w:num="1">
            <w:col w:w="10400"/>
          </w:cols>
          <w:pgMar w:left="320" w:top="419" w:right="117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6"/>
          <w:szCs w:val="16"/>
          <w:color w:val="auto"/>
        </w:rPr>
        <w:t>good reason (each as defined in the letter agreement), then, in addition to accrued benefits and subject to his timely execution of an effective separation and release agreement in a form prescribed by us, Mr. Freidin will be entitled to receive the following severance payments and benefits: (i) a lump-sum cash payment in an amount equal to nine months of base salary and (ii) reimbursement for the cost of health benefits under COBRA for up to nine months.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pursuant to Mr. Freidin’s letter agreement, if Mr. Freidin’s employment is terminated by us without cause or Mr. Freidin resigns for</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good reason, in either case, within 12 months following or 3 months preceding a change in control, then Mr. Freidin will instead be entitled to receive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severance payments and benefits (subject to the same separation and release agreement requirements and in lieu of the amounts described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above): (i) a lump-sum cash payment in an amount equal to 12 months of base salary, (ii) a lump-sum cash payment in an amount equal to 100%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Mr. Freidin’s target bonus under the VCP, (iii) reimbursement for the cost of health benefits under COBRA for up to 12 months, and (iv) full accelerated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vesting of outstanding and unvested equity awards (with performance vesting awards vesting based on target performance).</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Josh Ofman Offer Letter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have entered into an employment offer letter with Josh Ofman, dated May 13, 2019, pursuant to which Mr. Ofman serves as our President.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Mr. Ofman’s employment under the offer letter is “at-will” and is terminable by either party with or without notice or cause.</w:t>
      </w:r>
    </w:p>
    <w:p>
      <w:pPr>
        <w:spacing w:after="0" w:line="180" w:lineRule="exact"/>
        <w:rPr>
          <w:sz w:val="20"/>
          <w:szCs w:val="20"/>
          <w:color w:val="auto"/>
        </w:rPr>
      </w:pPr>
    </w:p>
    <w:p>
      <w:pPr>
        <w:ind w:left="760" w:firstLine="388"/>
        <w:spacing w:after="0" w:line="230" w:lineRule="auto"/>
        <w:rPr>
          <w:sz w:val="20"/>
          <w:szCs w:val="20"/>
          <w:color w:val="auto"/>
        </w:rPr>
      </w:pPr>
      <w:r>
        <w:rPr>
          <w:rFonts w:ascii="Times New Roman" w:cs="Times New Roman" w:eastAsia="Times New Roman" w:hAnsi="Times New Roman"/>
          <w:sz w:val="16"/>
          <w:szCs w:val="16"/>
          <w:color w:val="auto"/>
        </w:rPr>
        <w:t>Pursuant to his offer letter, Mr. Ofman was entitled to receive an initial base salary of $500,000 (in 2023, Mr. Ofman’s base salary was $655,000) and is eligible to participate in our VCP with a target bonus of 50% of his base salary. In connection with his entry into the offer letter, Mr. Ofman was granted an option to purchase 2,340,000 shares of Grail common stock, vesting as to one-fourth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of the shares subject thereto on the first anniversary of the vesting commencement date and thereafter as to one-forty-eighth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of the shares subject thereto on each monthly anniversary of the vesting commencement date, subject to continued service on the applicable vesting date, and received a signing bonus in the amount of $750,000, subject to clawback in the event of termination by us for cause or resignation by Mr. Ofman without good reason, in either case, within 12 months of commencing employment with us, and reimbursement for relocation expenses, also subject to clawback in the event of termination by us for cause or resignation by Mr. Ofman without good reason, in either case, within 12 months of the payment date. Mr. Ofman’s option award was converted into an Illumina equity award in connection with Illumina’s acquisition of GRAIL in 2021, which is now fully vested. The offer letter also provides that Mr. Ofman will be entitled to receive standard benefits in accordance with our policies.</w:t>
      </w:r>
    </w:p>
    <w:p>
      <w:pPr>
        <w:spacing w:after="0" w:line="177" w:lineRule="exact"/>
        <w:rPr>
          <w:sz w:val="20"/>
          <w:szCs w:val="20"/>
          <w:color w:val="auto"/>
        </w:rPr>
      </w:pPr>
    </w:p>
    <w:p>
      <w:pPr>
        <w:ind w:left="760" w:right="180" w:firstLine="388"/>
        <w:spacing w:after="0" w:line="281" w:lineRule="auto"/>
        <w:rPr>
          <w:sz w:val="20"/>
          <w:szCs w:val="20"/>
          <w:color w:val="auto"/>
        </w:rPr>
      </w:pPr>
      <w:r>
        <w:rPr>
          <w:rFonts w:ascii="Times New Roman" w:cs="Times New Roman" w:eastAsia="Times New Roman" w:hAnsi="Times New Roman"/>
          <w:sz w:val="15"/>
          <w:szCs w:val="15"/>
          <w:color w:val="auto"/>
        </w:rPr>
        <w:t>Pursuant to the offer letter, in the event that Mr. Ofman’s employment is terminated by us without cause or Mr. Ofman resigns for good reason (each as defined in the offer letter), then, in addition to accrued benefits and subject to his timely execution of an effective separation and release agreement in a form prescribed by us, Mr. Ofman will be entitled to receive the following severance payments and benefits: (i) a lump-sum cash payment in an amount equal to nine months of base salary and (ii) reimbursement for the cost of health benefits under COBRA for up to nine months.</w:t>
      </w:r>
    </w:p>
    <w:p>
      <w:pPr>
        <w:spacing w:after="0" w:line="144"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addition, pursuant to the offer letter, in the event that Mr. Ofman’s employment is terminated by us without cause or Mr. Ofman resigns for good reason, in either case, within 12 months following or 3 months preceding a change in control, then Mr. Ofman will instead be entitled to receive the following severance payments and benefits (subject to the same separation and release agreement requirements and in lieu of the amounts described above): (i) a lump-sum cash payment in an amount equal to 12 months of base salary, (ii) a lump-sum cash payment in an amount equal to 100% of Mr. Ofman’s target bonus under the VCP, (iii) reimbursement for the cost of health benefits under COBRA for up to 12 months, and (iv) full accelerated vesting of outstanding and unvested equity awards (with performance vesting awards vesting based on target performance).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195</w:t>
      </w:r>
    </w:p>
    <w:p>
      <w:pPr>
        <w:sectPr>
          <w:pgSz w:w="11900" w:h="16838" w:orient="portrait"/>
          <w:cols w:equalWidth="0" w:num="1">
            <w:col w:w="10460"/>
          </w:cols>
          <w:pgMar w:left="320" w:top="418" w:right="111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Equity Incentive Plan</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intend to adopt the 2024 Incentive Award Plan, or the 2024 Plan, subject to approval by Illumina, in its capacity as our sole stockholder, as required by applicable listing requirements, under which we may grant cash and equity incentive awards to eligible service providers in order to attract, motivate, and retain the talent for which we compete. The material terms of the 2024 Plan, as it is currently contemplated, are summarized below. Our board of directors is still in the process of developing the 2024 Plan and, accordingly, this summary is subject to change.</w:t>
      </w:r>
    </w:p>
    <w:p>
      <w:pPr>
        <w:spacing w:after="0" w:line="159"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Eligibility and Administration</w:t>
      </w:r>
      <w:r>
        <w:rPr>
          <w:rFonts w:ascii="Times New Roman" w:cs="Times New Roman" w:eastAsia="Times New Roman" w:hAnsi="Times New Roman"/>
          <w:sz w:val="16"/>
          <w:szCs w:val="16"/>
          <w:color w:val="auto"/>
        </w:rPr>
        <w:t>. Our employees, consultants, and directors, and employees, consultants, and directors of our subsidiaries,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eligible to receive awards under the 2024 Plan, however, only our employees will be eligible to receive incentive stock options (“ISOs”). Following the Spin-Off, the 2024 Plan will be administered by our board of directors with respect to awards to non-employee directors and by our compensation committee with respect to other participants, each of which may delegate its duties and responsibilities to committees of our board of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w:t>
      </w:r>
    </w:p>
    <w:p>
      <w:pPr>
        <w:spacing w:after="0" w:line="165" w:lineRule="exact"/>
        <w:rPr>
          <w:sz w:val="20"/>
          <w:szCs w:val="20"/>
          <w:color w:val="auto"/>
        </w:rPr>
      </w:pPr>
    </w:p>
    <w:p>
      <w:pPr>
        <w:ind w:left="760" w:firstLine="388"/>
        <w:spacing w:after="0" w:line="260" w:lineRule="auto"/>
        <w:rPr>
          <w:sz w:val="20"/>
          <w:szCs w:val="20"/>
          <w:color w:val="auto"/>
        </w:rPr>
      </w:pPr>
      <w:r>
        <w:rPr>
          <w:rFonts w:ascii="Times New Roman" w:cs="Times New Roman" w:eastAsia="Times New Roman" w:hAnsi="Times New Roman"/>
          <w:sz w:val="16"/>
          <w:szCs w:val="16"/>
          <w:i w:val="1"/>
          <w:iCs w:val="1"/>
          <w:color w:val="auto"/>
        </w:rPr>
        <w:t>Shares Available</w:t>
      </w:r>
      <w:r>
        <w:rPr>
          <w:rFonts w:ascii="Times New Roman" w:cs="Times New Roman" w:eastAsia="Times New Roman" w:hAnsi="Times New Roman"/>
          <w:sz w:val="16"/>
          <w:szCs w:val="16"/>
          <w:color w:val="auto"/>
        </w:rPr>
        <w:t>. An aggregate of shares of our common stock will be available for issuance under awards granted pursuant to the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Plan, which shares may be authorized but unissued shares or shares purchased in the open market. Notwithstanding anything to the contrary in the 2024</w:t>
      </w:r>
    </w:p>
    <w:p>
      <w:pPr>
        <w:spacing w:after="0" w:line="1" w:lineRule="exact"/>
        <w:rPr>
          <w:sz w:val="20"/>
          <w:szCs w:val="20"/>
          <w:color w:val="auto"/>
        </w:rPr>
      </w:pPr>
    </w:p>
    <w:p>
      <w:pPr>
        <w:ind w:left="760"/>
        <w:spacing w:after="0"/>
        <w:tabs>
          <w:tab w:leader="none" w:pos="2660" w:val="left"/>
        </w:tabs>
        <w:rPr>
          <w:sz w:val="20"/>
          <w:szCs w:val="20"/>
          <w:color w:val="auto"/>
        </w:rPr>
      </w:pPr>
      <w:r>
        <w:rPr>
          <w:rFonts w:ascii="Times New Roman" w:cs="Times New Roman" w:eastAsia="Times New Roman" w:hAnsi="Times New Roman"/>
          <w:sz w:val="16"/>
          <w:szCs w:val="16"/>
          <w:color w:val="auto"/>
        </w:rPr>
        <w:t>Plan, no more than</w:t>
      </w:r>
      <w:r>
        <w:rPr>
          <w:sz w:val="20"/>
          <w:szCs w:val="20"/>
          <w:color w:val="auto"/>
        </w:rPr>
        <w:tab/>
      </w:r>
      <w:r>
        <w:rPr>
          <w:rFonts w:ascii="Times New Roman" w:cs="Times New Roman" w:eastAsia="Times New Roman" w:hAnsi="Times New Roman"/>
          <w:sz w:val="15"/>
          <w:szCs w:val="15"/>
          <w:color w:val="auto"/>
        </w:rPr>
        <w:t>shares of our common stock may be issued pursuant to the exercise of ISOs under the 2024 Plan.</w:t>
      </w:r>
    </w:p>
    <w:p>
      <w:pPr>
        <w:spacing w:after="0" w:line="180"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The number of shares available for issuance will be increased annually on the first day of each calendar year beginning January 1, 2024 and ending on and including January 1, 2033, equal to the lesser of (A) % of the aggregate number of shares of common stock outstanding on the final day of the immediately preceding calendar year and (B) such smaller number of shares as is determined by our board of directors.</w:t>
      </w:r>
    </w:p>
    <w:p>
      <w:pPr>
        <w:spacing w:after="0" w:line="157"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If an award under the 2024 Plan expires, lapses, or is terminated, exchanged for, or settled in cash, surrendered, repurchased, canceled without having been fully exercised, or forfeited, any shares subject to such award may, to the extent of such forfeiture, expiration or cash settlement, be used again for new grants under the 2024 Plan. Further, shares delivered to us to satisfy the applicable exercise or purchase price of an award under the 2024 Plan and/or to satisfy any applicable tax withholding obligations (including shares retained by us from such award being exercised or purchased and/or creating the tax obligation) will become or again be available for grants under the 2024 Plan. The payment of dividend equivalents in cash in conjunction with any awards under the 2024 Plan will not reduce the shares available for grant under the 2024 Plan. However, the following shares may not be used again for grant under the 2024 Plan: (i) shares subject to SARs that are not issued in connection with the stock settlement of the stock appreciation rights (“SAR”) on exercise and (ii) shares purchased on the open market with the cash proceeds from the exercise of options.</w:t>
      </w:r>
    </w:p>
    <w:p>
      <w:pPr>
        <w:spacing w:after="0" w:line="168"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Awards granted under the 2024 Plan upon the assumption of, or in substitution for, awards authorized or outstanding under a qualifying equity plan maintained by an entity with which we enter into a merger or similar corporate transaction, or the conversion or substitution of the Cash-Based Equity Awards for awards under the 2024 Plan, in each case, will not reduce the shares available for grant under the 2024 Plan but will count against the maximum number of shares that may be issued upon the exercise of ISOs.</w:t>
      </w:r>
    </w:p>
    <w:p>
      <w:pPr>
        <w:spacing w:after="0" w:line="161" w:lineRule="exact"/>
        <w:rPr>
          <w:sz w:val="20"/>
          <w:szCs w:val="20"/>
          <w:color w:val="auto"/>
        </w:rPr>
      </w:pPr>
    </w:p>
    <w:p>
      <w:pPr>
        <w:jc w:val="both"/>
        <w:ind w:left="760" w:right="360" w:firstLine="388"/>
        <w:spacing w:after="0" w:line="263" w:lineRule="auto"/>
        <w:rPr>
          <w:sz w:val="20"/>
          <w:szCs w:val="20"/>
          <w:color w:val="auto"/>
        </w:rPr>
      </w:pPr>
      <w:r>
        <w:rPr>
          <w:rFonts w:ascii="Times New Roman" w:cs="Times New Roman" w:eastAsia="Times New Roman" w:hAnsi="Times New Roman"/>
          <w:sz w:val="16"/>
          <w:szCs w:val="16"/>
          <w:color w:val="auto"/>
        </w:rPr>
        <w:t>The 2024 Plan provides that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196</w:t>
      </w:r>
    </w:p>
    <w:p>
      <w:pPr>
        <w:sectPr>
          <w:pgSz w:w="11900" w:h="16838" w:orient="portrait"/>
          <w:cols w:equalWidth="0" w:num="1">
            <w:col w:w="10460"/>
          </w:cols>
          <w:pgMar w:left="320" w:top="419" w:right="111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tabs>
          <w:tab w:leader="none" w:pos="3320" w:val="left"/>
          <w:tab w:leader="none" w:pos="4760" w:val="left"/>
        </w:tabs>
        <w:rPr>
          <w:sz w:val="20"/>
          <w:szCs w:val="20"/>
          <w:color w:val="auto"/>
        </w:rPr>
      </w:pPr>
      <w:r>
        <w:rPr>
          <w:rFonts w:ascii="Times New Roman" w:cs="Times New Roman" w:eastAsia="Times New Roman" w:hAnsi="Times New Roman"/>
          <w:sz w:val="16"/>
          <w:szCs w:val="16"/>
          <w:color w:val="auto"/>
        </w:rPr>
        <w:t>not exceed the amount equal to $</w:t>
      </w:r>
      <w:r>
        <w:rPr>
          <w:sz w:val="20"/>
          <w:szCs w:val="20"/>
          <w:color w:val="auto"/>
        </w:rPr>
        <w:tab/>
      </w:r>
      <w:r>
        <w:rPr>
          <w:rFonts w:ascii="Times New Roman" w:cs="Times New Roman" w:eastAsia="Times New Roman" w:hAnsi="Times New Roman"/>
          <w:sz w:val="16"/>
          <w:szCs w:val="16"/>
          <w:color w:val="auto"/>
        </w:rPr>
        <w:t>, increased to $</w:t>
      </w:r>
      <w:r>
        <w:rPr>
          <w:sz w:val="20"/>
          <w:szCs w:val="20"/>
          <w:color w:val="auto"/>
        </w:rPr>
        <w:tab/>
      </w:r>
      <w:r>
        <w:rPr>
          <w:rFonts w:ascii="Times New Roman" w:cs="Times New Roman" w:eastAsia="Times New Roman" w:hAnsi="Times New Roman"/>
          <w:sz w:val="15"/>
          <w:szCs w:val="15"/>
          <w:color w:val="auto"/>
        </w:rPr>
        <w:t>, in the fiscal year of a non-employee director’s initial service as a non-employee director.</w:t>
      </w:r>
    </w:p>
    <w:p>
      <w:pPr>
        <w:spacing w:after="0" w:line="195"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The 2024 Plan provides for the grant of stock options, including ISOs and non-qualified stock options (“NSOs”), SARs, restricted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 equivalents, restricted stock units (“RSUs”),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evidenced by award agreements, which will detail all terms and conditions of the awards, including any applicable vesting and payment terms and post-termination exercise limitations. Awards other than cash awards generally will be settled in shares of common stock, but the plan administrator may provide for cash settlement of any award. A brief description of each award type follows.</w:t>
      </w:r>
    </w:p>
    <w:p>
      <w:pPr>
        <w:spacing w:after="0" w:line="81" w:lineRule="exact"/>
        <w:rPr>
          <w:sz w:val="20"/>
          <w:szCs w:val="20"/>
          <w:color w:val="auto"/>
        </w:rPr>
      </w:pPr>
    </w:p>
    <w:p>
      <w:pPr>
        <w:ind w:left="1620" w:right="40" w:hanging="375"/>
        <w:spacing w:after="0" w:line="253" w:lineRule="auto"/>
        <w:tabs>
          <w:tab w:leader="none" w:pos="162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 Options and SARs</w:t>
      </w:r>
      <w:r>
        <w:rPr>
          <w:rFonts w:ascii="Times New Roman" w:cs="Times New Roman" w:eastAsia="Times New Roman" w:hAnsi="Times New Roman"/>
          <w:sz w:val="16"/>
          <w:szCs w:val="16"/>
          <w:color w:val="auto"/>
        </w:rPr>
        <w:t>. Stock options provide for the purchase of shares of our common stock in the future at an exercise price set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78" w:lineRule="exact"/>
        <w:rPr>
          <w:rFonts w:ascii="Times New Roman" w:cs="Times New Roman" w:eastAsia="Times New Roman" w:hAnsi="Times New Roman"/>
          <w:sz w:val="16"/>
          <w:szCs w:val="16"/>
          <w:color w:val="auto"/>
        </w:rPr>
      </w:pPr>
    </w:p>
    <w:p>
      <w:pPr>
        <w:ind w:left="1620" w:right="120" w:hanging="375"/>
        <w:spacing w:after="0" w:line="281" w:lineRule="auto"/>
        <w:tabs>
          <w:tab w:leader="none" w:pos="162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Stock</w:t>
      </w:r>
      <w:r>
        <w:rPr>
          <w:rFonts w:ascii="Times New Roman" w:cs="Times New Roman" w:eastAsia="Times New Roman" w:hAnsi="Times New Roman"/>
          <w:sz w:val="16"/>
          <w:szCs w:val="16"/>
          <w:color w:val="auto"/>
        </w:rPr>
        <w:t>. Restricted stock is an award of nontransferable shares of our common stock that are subject to certain vesting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restrictions.</w:t>
      </w:r>
    </w:p>
    <w:p>
      <w:pPr>
        <w:spacing w:after="0" w:line="57" w:lineRule="exact"/>
        <w:rPr>
          <w:rFonts w:ascii="Times New Roman" w:cs="Times New Roman" w:eastAsia="Times New Roman" w:hAnsi="Times New Roman"/>
          <w:sz w:val="16"/>
          <w:szCs w:val="16"/>
          <w:color w:val="auto"/>
        </w:rPr>
      </w:pPr>
    </w:p>
    <w:p>
      <w:pPr>
        <w:ind w:left="1620" w:right="20" w:hanging="375"/>
        <w:spacing w:after="0" w:line="277" w:lineRule="auto"/>
        <w:tabs>
          <w:tab w:leader="none" w:pos="1620" w:val="left"/>
        </w:tabs>
        <w:numPr>
          <w:ilvl w:val="0"/>
          <w:numId w:val="4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RSUs</w:t>
      </w:r>
      <w:r>
        <w:rPr>
          <w:rFonts w:ascii="Times New Roman" w:cs="Times New Roman" w:eastAsia="Times New Roman" w:hAnsi="Times New Roman"/>
          <w:sz w:val="15"/>
          <w:szCs w:val="15"/>
          <w:color w:val="auto"/>
        </w:rPr>
        <w:t>. RSUs are contractual promises to deliver shares of our common stock in the future, which may also remain forfeitable unless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2024 Plan.</w:t>
      </w:r>
    </w:p>
    <w:p>
      <w:pPr>
        <w:spacing w:after="0" w:line="63" w:lineRule="exact"/>
        <w:rPr>
          <w:rFonts w:ascii="Times New Roman" w:cs="Times New Roman" w:eastAsia="Times New Roman" w:hAnsi="Times New Roman"/>
          <w:sz w:val="15"/>
          <w:szCs w:val="15"/>
          <w:color w:val="auto"/>
        </w:rPr>
      </w:pPr>
    </w:p>
    <w:p>
      <w:pPr>
        <w:ind w:left="1620" w:right="160" w:hanging="375"/>
        <w:spacing w:after="0" w:line="259" w:lineRule="auto"/>
        <w:tabs>
          <w:tab w:leader="none" w:pos="162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Stock- or Cash-Based Awards</w:t>
      </w:r>
      <w:r>
        <w:rPr>
          <w:rFonts w:ascii="Times New Roman" w:cs="Times New Roman" w:eastAsia="Times New Roman" w:hAnsi="Times New Roman"/>
          <w:sz w:val="16"/>
          <w:szCs w:val="16"/>
          <w:color w:val="auto"/>
        </w:rPr>
        <w:t>. Other stock- or cash-based awards are awards of cash, fully vested shares of our common stock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74" w:lineRule="exact"/>
        <w:rPr>
          <w:rFonts w:ascii="Times New Roman" w:cs="Times New Roman" w:eastAsia="Times New Roman" w:hAnsi="Times New Roman"/>
          <w:sz w:val="16"/>
          <w:szCs w:val="16"/>
          <w:color w:val="auto"/>
        </w:rPr>
      </w:pPr>
    </w:p>
    <w:p>
      <w:pPr>
        <w:ind w:left="1620" w:right="80" w:hanging="375"/>
        <w:spacing w:after="0" w:line="256" w:lineRule="auto"/>
        <w:tabs>
          <w:tab w:leader="none" w:pos="162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Dividend Equivalents</w:t>
      </w:r>
      <w:r>
        <w:rPr>
          <w:rFonts w:ascii="Times New Roman" w:cs="Times New Roman" w:eastAsia="Times New Roman" w:hAnsi="Times New Roman"/>
          <w:sz w:val="16"/>
          <w:szCs w:val="16"/>
          <w:color w:val="auto"/>
        </w:rPr>
        <w:t>. Dividend equivalents represent the right to receive the equivalent value of dividends paid on shares of our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are only paid out to the extent that the vesting conditions of the underlying award are subsequently satisfied.</w:t>
      </w:r>
    </w:p>
    <w:p>
      <w:pPr>
        <w:spacing w:after="0" w:line="161" w:lineRule="exact"/>
        <w:rPr>
          <w:sz w:val="20"/>
          <w:szCs w:val="20"/>
          <w:color w:val="auto"/>
        </w:rPr>
      </w:pPr>
    </w:p>
    <w:p>
      <w:pPr>
        <w:ind w:left="760" w:right="80" w:firstLine="388"/>
        <w:spacing w:after="0" w:line="256"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The plan administrator has broad discretion to take action under the 2024 Plan, as well as make adjustments to the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197</w:t>
      </w:r>
    </w:p>
    <w:p>
      <w:pPr>
        <w:sectPr>
          <w:pgSz w:w="11900" w:h="16838" w:orient="portrait"/>
          <w:cols w:equalWidth="0" w:num="1">
            <w:col w:w="10480"/>
          </w:cols>
          <w:pgMar w:left="320" w:top="419" w:right="109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to the 2024 Plan and outstanding awards. In the event of a change in control of our Company (as defined in the 2024 Plan), to the extent that the surviving entity declines to continue, convert, assume, or replace outstanding awards, then all such awards will become fully vested and exercisable in connection with the transaction. If, however, the surviving entity assumes outstanding awards and, on or within 12 months of such change in control, a participant’s employment or service is involuntarily terminated by the Company (or the surviving entity or its affiliates) other than for cause (as defined in the 2024 Plan) and other than due to death or disability (as defined in the 2024 Plan), then all such awards will become fully vested and exercisable as of the date of such termination. Awards under the 2024 Plan are generally non-transferrable, except by will or the laws of descent and distribution, or, subject to the plan administrator’s consent, pursuant to a domestic relations order, and are generally exercisable only by the participant.</w:t>
      </w:r>
    </w:p>
    <w:p>
      <w:pPr>
        <w:spacing w:after="0" w:line="164"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Foreign Participants, Claw Back Provisions, Transferability, and Participant Payments</w:t>
      </w:r>
      <w:r>
        <w:rPr>
          <w:rFonts w:ascii="Times New Roman" w:cs="Times New Roman" w:eastAsia="Times New Roman" w:hAnsi="Times New Roman"/>
          <w:sz w:val="16"/>
          <w:szCs w:val="16"/>
          <w:color w:val="auto"/>
        </w:rPr>
        <w:t>. The plan administrator may modify award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 back policy implemented by our Company to the extent set forth in such claw back policy and/or in the applicable award agreement. With regard to tax withholding, exercise price, and purchase price obligations arising in connection with awards under the 2024 Plan, the plan administrator may, in its discretion, accept cash or check, shares of our common stock that meet specified conditions, a “market sell order,” or such other consideration as it deems suitable.</w:t>
      </w:r>
    </w:p>
    <w:p>
      <w:pPr>
        <w:spacing w:after="0" w:line="16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Plan Amendment and Termination</w:t>
      </w:r>
      <w:r>
        <w:rPr>
          <w:rFonts w:ascii="Times New Roman" w:cs="Times New Roman" w:eastAsia="Times New Roman" w:hAnsi="Times New Roman"/>
          <w:sz w:val="16"/>
          <w:szCs w:val="16"/>
          <w:color w:val="auto"/>
        </w:rPr>
        <w:t>. The plan administrator may amend or terminate the 2024 Plan at any time; however, no amendment,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amendment that increases the number of shares available under the 2024 Plan, may materially and adversely affect an award outstanding under the 2024 Plan without the consent of the affected participant, and stockholder approval will be obtained for any amendment to the extent necessary to comply with applicable laws or to increase the director limit. The plan administrator will have the authority, without the approval of our stockholders, to “reprice” any stock option or SAR, or cancel any stock option or SAR in exchange for cash or another award when the option or SAR price per share exceeds the fair market value of the underlying shares. The 2024 Plan will remain in effect until the tenth anniversary of the date the board of directors adopted the 2024 Plan, unless earlier terminated by our board of directors.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Employee Stock Purchase Plan</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Spin-Off, we intend to adopt the 2024 Employee Stock Purchase Plan, or the 2024 ESPP, subject to approval of such plan by Illumina, in its capacity as our sole stockholder, as required by applicable listing requirements. The material terms of the 2024 ESPP as it is currently contemplated are summarized below. Our board of directors is still in the process of developing the 2024 ESPP and, accordingly, this summary is subject to change.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2024 ESPP is comprised of two distinct components in order to provide increased flexibility to grant options to purchase shares under the</w:t>
      </w:r>
    </w:p>
    <w:p>
      <w:pPr>
        <w:spacing w:after="0" w:line="23" w:lineRule="exact"/>
        <w:rPr>
          <w:sz w:val="20"/>
          <w:szCs w:val="20"/>
          <w:color w:val="auto"/>
        </w:rPr>
      </w:pPr>
    </w:p>
    <w:p>
      <w:pPr>
        <w:ind w:left="760" w:right="140"/>
        <w:spacing w:after="0" w:line="250" w:lineRule="auto"/>
        <w:rPr>
          <w:sz w:val="20"/>
          <w:szCs w:val="20"/>
          <w:color w:val="auto"/>
        </w:rPr>
      </w:pPr>
      <w:r>
        <w:rPr>
          <w:rFonts w:ascii="Times New Roman" w:cs="Times New Roman" w:eastAsia="Times New Roman" w:hAnsi="Times New Roman"/>
          <w:sz w:val="16"/>
          <w:szCs w:val="16"/>
          <w:color w:val="auto"/>
        </w:rPr>
        <w:t>2024 ESPP to our U.S. and non-U.S. employees. Specifically, the 2024 ESPP authorizes (i) the grant of options to U.S. employees that are intended to qualify for favorable U.S. federal tax treatment under Section 423 of the Code (the “Section 423 Component”) and (ii) the grant of options that are not intended to be tax 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64" w:lineRule="exact"/>
        <w:rPr>
          <w:sz w:val="20"/>
          <w:szCs w:val="20"/>
          <w:color w:val="auto"/>
        </w:rPr>
      </w:pPr>
    </w:p>
    <w:p>
      <w:pPr>
        <w:ind w:left="1160"/>
        <w:spacing w:after="0"/>
        <w:tabs>
          <w:tab w:leader="none" w:pos="5380" w:val="left"/>
        </w:tabs>
        <w:rPr>
          <w:sz w:val="20"/>
          <w:szCs w:val="20"/>
          <w:color w:val="auto"/>
        </w:rPr>
      </w:pPr>
      <w:r>
        <w:rPr>
          <w:rFonts w:ascii="Times New Roman" w:cs="Times New Roman" w:eastAsia="Times New Roman" w:hAnsi="Times New Roman"/>
          <w:sz w:val="16"/>
          <w:szCs w:val="16"/>
          <w:i w:val="1"/>
          <w:iCs w:val="1"/>
          <w:color w:val="auto"/>
        </w:rPr>
        <w:t>Shares Available for Awards; Administration</w:t>
      </w:r>
      <w:r>
        <w:rPr>
          <w:rFonts w:ascii="Times New Roman" w:cs="Times New Roman" w:eastAsia="Times New Roman" w:hAnsi="Times New Roman"/>
          <w:sz w:val="16"/>
          <w:szCs w:val="16"/>
          <w:color w:val="auto"/>
        </w:rPr>
        <w:t>. A total of</w:t>
      </w:r>
      <w:r>
        <w:rPr>
          <w:sz w:val="20"/>
          <w:szCs w:val="20"/>
          <w:color w:val="auto"/>
        </w:rPr>
        <w:tab/>
      </w:r>
      <w:r>
        <w:rPr>
          <w:rFonts w:ascii="Times New Roman" w:cs="Times New Roman" w:eastAsia="Times New Roman" w:hAnsi="Times New Roman"/>
          <w:sz w:val="15"/>
          <w:szCs w:val="15"/>
          <w:color w:val="auto"/>
        </w:rPr>
        <w:t>shares of our common stock will initially be reserved for issuance under the</w:t>
      </w:r>
    </w:p>
    <w:p>
      <w:pPr>
        <w:spacing w:after="0" w:line="25" w:lineRule="exact"/>
        <w:rPr>
          <w:sz w:val="20"/>
          <w:szCs w:val="20"/>
          <w:color w:val="auto"/>
        </w:rPr>
      </w:pPr>
    </w:p>
    <w:p>
      <w:pPr>
        <w:ind w:left="760" w:right="60"/>
        <w:spacing w:after="0" w:line="256" w:lineRule="auto"/>
        <w:rPr>
          <w:sz w:val="20"/>
          <w:szCs w:val="20"/>
          <w:color w:val="auto"/>
        </w:rPr>
      </w:pPr>
      <w:r>
        <w:rPr>
          <w:rFonts w:ascii="Times New Roman" w:cs="Times New Roman" w:eastAsia="Times New Roman" w:hAnsi="Times New Roman"/>
          <w:sz w:val="16"/>
          <w:szCs w:val="16"/>
          <w:color w:val="auto"/>
        </w:rPr>
        <w:t>2024 ESPP. In addition, the number of shares available for issuance under the 2024 ESPP will be annually increased on January 1 of each calendar year beginning in 2024 and ending in and</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198</w:t>
      </w:r>
    </w:p>
    <w:p>
      <w:pPr>
        <w:sectPr>
          <w:pgSz w:w="11900" w:h="16838" w:orient="portrait"/>
          <w:cols w:equalWidth="0" w:num="1">
            <w:col w:w="10460"/>
          </w:cols>
          <w:pgMar w:left="320" w:top="419" w:right="111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6"/>
          <w:szCs w:val="16"/>
          <w:color w:val="auto"/>
        </w:rPr>
        <w:t>including 2033, by an amount equal to the lesser of (A) percent of the shares of our common stock outstanding on the final day of the immediately preceding calendar year and (B) such smaller number of shares as is determined by our board of directors. Our board of directors or a committee of our board of directors will administer and will have authority to interpret the terms of the 2024 ESPP and determine the eligibility of participants. We expect that the compensation committee will be the initial administrator of the 2024 ESPP.</w:t>
      </w:r>
    </w:p>
    <w:p>
      <w:pPr>
        <w:spacing w:after="0" w:line="159"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expect that our employees and the employees of certain of our subsidiaries participating in the 2024 ESPP from time to time, or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designated subsidiaries, will be eligible to participate in the 2024 ESPP if they meet the eligibility requirements under the 2024 ESPP established from time to time by the plan administrator, consistent with Section 423 of the Code, as applicable. However, an employee may not be granted rights to purchase stock under our 2024 ESPP if the employee, immediately after the grant, would own (directly or through attribution) stock possessing 5% or more of the total combined voting power or value of all classes of our common or other class of stock. Neither non-employee directors nor consultants are eligible to participate in the 2024 ESPP. Employees who choose not to participate, or who are not eligible to participate at the start of an offering period but who become eligible thereafter, may enroll in any subsequent offering period.</w:t>
      </w:r>
    </w:p>
    <w:p>
      <w:pPr>
        <w:spacing w:after="0" w:line="166"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Grant of Rights</w:t>
      </w:r>
      <w:r>
        <w:rPr>
          <w:rFonts w:ascii="Times New Roman" w:cs="Times New Roman" w:eastAsia="Times New Roman" w:hAnsi="Times New Roman"/>
          <w:sz w:val="16"/>
          <w:szCs w:val="16"/>
          <w:color w:val="auto"/>
        </w:rPr>
        <w:t>. Stock will be offered under the 2024 ESPP during offering periods. The length of the offering periods under the 2024 ESPP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determined by the plan administrator and may be up to twenty-seven months long. Employee payroll deductions will be used to purchase shares on each purchase date during an offering period. The purchase dates for each offering period will be the final trading day in the purchase period (or, if no purchase period is specified, the final day of the offering period). The number of purchase periods within, and purchase dates during, each offering period will be established by the plan administrator. Offering periods under the 2024 ESPP will commence when determined by the plan administrator. We expect the initial offering period under the 2024 ESPP to commence on the pricing date of our common stock in the Spin-Off. The plan administrator may, in its discretion, modify the terms of future offering periods.</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2024 ESPP will permit participants to purchase shares of our common stock through payroll deductions of up to a specified percentage of their eligible compensation, which will include a participant’s gross cash compensation for services to us, including prior-week adjustments, overtime payments, compensation paid by the company or an designated subsidiary during any leaves of absence, commissions, incentive compensation, and bonuses, but excluding education or tuition reimbursements, travel expenses, business and moving reimbursements, income received in connection with any compensatory equity awards, fringe benefits, other special payments, and all contributions made by the company or any designated subsidiary for the participant’s benefit under any employee benefit plan. In any non-U.S. jurisdictions where participation in the 2024 ESPP through payroll deductions is prohibited (if any), the plan administrator may provide that an eligible employee may elect to participate through contributions to his or her account under the 2024 ESPP in a form acceptable to the plan administrator in lieu of or in addition to payroll deductions. The plan administrator will establish a maximum number of shares that may be purchased by a participant during any offering period or purchase period, which, in the absence of a contrary designation, will be 20,000 shares. In addition, no participant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On the first trading day of each offering period, each participant will automatically be granted an option to purchase shares of our common stock. The option will be exercised on the applicable purchase date(s) during the offering period, to the extent of the payroll deductions (or contributions, as applicable) accumulated during the applicable purchase period. The purchase price of the shares, in the absence of a contrary designation by the plan administrator, will be 85% of the lower of the fair market value of our common stock on the first trading day of the offering period or on the applicable purchase date (which will be the final trading day of the applicable purchase period), whichever is lower. Participants may voluntarily end their participation in the 2024 ESPP at any time at least two weeks prior to the end of the applicable offering period (or such longer or shorter period specified by the plan administrator in the applicable offering terms), and will be paid their accrued payroll deductions (and contributions, if applicable) that have not yet been used to purchase shares of common stock. If a</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199</w:t>
      </w:r>
    </w:p>
    <w:p>
      <w:pPr>
        <w:sectPr>
          <w:pgSz w:w="11900" w:h="16838" w:orient="portrait"/>
          <w:cols w:equalWidth="0" w:num="1">
            <w:col w:w="10480"/>
          </w:cols>
          <w:pgMar w:left="320" w:top="419" w:right="109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40"/>
        <w:spacing w:after="0" w:line="278" w:lineRule="auto"/>
        <w:rPr>
          <w:sz w:val="20"/>
          <w:szCs w:val="20"/>
          <w:color w:val="auto"/>
        </w:rPr>
      </w:pPr>
      <w:r>
        <w:rPr>
          <w:rFonts w:ascii="Times New Roman" w:cs="Times New Roman" w:eastAsia="Times New Roman" w:hAnsi="Times New Roman"/>
          <w:sz w:val="16"/>
          <w:szCs w:val="16"/>
          <w:color w:val="auto"/>
        </w:rPr>
        <w:t>participant withdraws from the 2024 ESPP during an offering period, the participant cannot rejoin until the next offering period. Participation ends automatically upon a participant’s termination of employment.</w:t>
      </w:r>
    </w:p>
    <w:p>
      <w:pPr>
        <w:spacing w:after="0" w:line="145"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A participant may not transfer rights granted under the 2024 ESPP other than by will or the laws of descent and distribution, and such rights are generally exercisable only by the participant.</w:t>
      </w:r>
    </w:p>
    <w:p>
      <w:pPr>
        <w:spacing w:after="0" w:line="143"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In the event of certain non-reciprocal transactions or events affecting our common stock, the plan administrator will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equitable adjustments to the 2024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66" w:lineRule="exact"/>
        <w:rPr>
          <w:sz w:val="20"/>
          <w:szCs w:val="20"/>
          <w:color w:val="auto"/>
        </w:rPr>
      </w:pPr>
    </w:p>
    <w:p>
      <w:pPr>
        <w:ind w:left="760" w:firstLine="388"/>
        <w:spacing w:after="0" w:line="316" w:lineRule="auto"/>
        <w:rPr>
          <w:sz w:val="20"/>
          <w:szCs w:val="20"/>
          <w:color w:val="auto"/>
        </w:rPr>
      </w:pPr>
      <w:r>
        <w:rPr>
          <w:rFonts w:ascii="Times New Roman" w:cs="Times New Roman" w:eastAsia="Times New Roman" w:hAnsi="Times New Roman"/>
          <w:sz w:val="15"/>
          <w:szCs w:val="15"/>
          <w:i w:val="1"/>
          <w:iCs w:val="1"/>
          <w:color w:val="auto"/>
        </w:rPr>
        <w:t>Plan Amendment</w:t>
      </w:r>
      <w:r>
        <w:rPr>
          <w:rFonts w:ascii="Times New Roman" w:cs="Times New Roman" w:eastAsia="Times New Roman" w:hAnsi="Times New Roman"/>
          <w:sz w:val="15"/>
          <w:szCs w:val="15"/>
          <w:color w:val="auto"/>
        </w:rPr>
        <w:t>. The plan administrator may amend, suspend, or terminate the 2024 ESPP at any time. However, stockholder approval will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obtained for any amendment that increases the aggregate number or changes the type of shares that may be sold pursuant to rights under the 2024 ESPP.</w:t>
      </w:r>
    </w:p>
    <w:p>
      <w:pPr>
        <w:spacing w:after="0" w:line="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200</w:t>
      </w:r>
    </w:p>
    <w:p>
      <w:pPr>
        <w:sectPr>
          <w:pgSz w:w="11900" w:h="16838" w:orient="portrait"/>
          <w:cols w:equalWidth="0" w:num="1">
            <w:col w:w="10420"/>
          </w:cols>
          <w:pgMar w:left="320" w:top="419" w:right="11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99"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As of the date of this Information Statement, Illumina beneficially owns all the outstanding shares of our common stock. After the Spin-Off, Illumina may own up to 14.5% of our common stock.</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provide information regarding the anticipated beneficial ownership of our common stock at the time of the Distribution.</w:t>
      </w:r>
    </w:p>
    <w:p>
      <w:pPr>
        <w:spacing w:after="0" w:line="23" w:lineRule="exact"/>
        <w:rPr>
          <w:sz w:val="20"/>
          <w:szCs w:val="20"/>
          <w:color w:val="auto"/>
        </w:rPr>
      </w:pPr>
    </w:p>
    <w:p>
      <w:pPr>
        <w:ind w:left="760" w:right="200"/>
        <w:spacing w:after="0" w:line="250" w:lineRule="auto"/>
        <w:rPr>
          <w:sz w:val="20"/>
          <w:szCs w:val="20"/>
          <w:color w:val="auto"/>
        </w:rPr>
      </w:pPr>
      <w:r>
        <w:rPr>
          <w:rFonts w:ascii="Times New Roman" w:cs="Times New Roman" w:eastAsia="Times New Roman" w:hAnsi="Times New Roman"/>
          <w:sz w:val="16"/>
          <w:szCs w:val="16"/>
          <w:color w:val="auto"/>
        </w:rPr>
        <w:t>Except as otherwise noted below, we based the share amounts on each person’s beneficial ownership of Illumina common stock on , 2024, giving effect to a distribution ratio pursuant to which, for every share[s] of Illumina common stock he, she, or it held, share[s] of our common stock will be distributed. Immediately following the Spin-Off, we estimate that of our common stock will be issued and outstanding, based on the approximately shares of Illumina common stock outstanding on , 2024. The actual number of shares of our common stock outstanding following the Spin-Off will be determined on the Record Date, , 2024.</w:t>
      </w:r>
    </w:p>
    <w:p>
      <w:pPr>
        <w:spacing w:after="0" w:line="167"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To the extent our directors and executive officers own Illumina common stock at the Record Date of the Spin-Off, they will participate in the Distribution on the same terms as other holders of Illumina common stock.</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Share Ownership Information for Directors and Officers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following table shows the number of shares of GRAIL common stock expected to be beneficially owned by our current directors, named executive officers and directors and executive officers as a group immediately following the Distribution based on the assumptions set forth above. None of these individuals, or the group as a whole, would be expected to beneficially own more than 1 percent of our common stock immediately following the Distribution. Except as otherwise noted in the footnotes below, each person or entity identified in the table has sole voting and investment power with respect to the securities he, she, or it holds.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Beneficial Owners</w:t>
      </w:r>
    </w:p>
    <w:p>
      <w:pPr>
        <w:spacing w:after="0" w:line="104"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shows all holders known to GRAIL that are expected to be beneficial owners of more than 5 percent of the outstanding shares of GRAIL common stock immediately following the completion of the Distribution based on the assumptions set forth above.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201</w:t>
      </w:r>
    </w:p>
    <w:p>
      <w:pPr>
        <w:sectPr>
          <w:pgSz w:w="11900" w:h="16838" w:orient="portrait"/>
          <w:cols w:equalWidth="0" w:num="1">
            <w:col w:w="10480"/>
          </w:cols>
          <w:pgMar w:left="320" w:top="419" w:right="109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Agreements with Illumina</w:t>
      </w:r>
    </w:p>
    <w:p>
      <w:pPr>
        <w:spacing w:after="0" w:line="104"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Following the Spin-Off, we and Illumina will operate independently. Immediately after the Distribution becomes effective, Illumina may retain up to 14.5% of our common stock and we will not have any ownership interest in Illumina.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In order to govern the ongoing relationships between us and Illumina after the Spin-Off and to facilitate an orderly transition, we intend to enter into a series of agreements with Illumina to effect the Spin-Off, to provide a framework for the relationship between GRAIL and Illumina after the separation and to provide for various rights and obligations following the Spin-Off, in each case, pursuant to which we and Illumina will agree to indemnify each other against certain liabilities arising from our respective businesses. The following summarizes the terms of the material agreements we expect to enter into with Illumina. The summaries of these agreements are qualified in their entirety by reference to the full text of the applicable agreements, which will be filed as exhibits to our Registration Statement on Form 10, of which this Information Statement is a part.</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and Distribution Agreement</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Separation and Distribution Agreement that will set forth our agreements with Illumina regarding the principal actions to be taken in connection with the Spin-Off. It will also set forth other agreements that govern aspects of our relationship with Illumina following the Spin-Off.</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The Distribution</w:t>
      </w:r>
    </w:p>
    <w:p>
      <w:pPr>
        <w:spacing w:after="0" w:line="104" w:lineRule="exact"/>
        <w:rPr>
          <w:sz w:val="20"/>
          <w:szCs w:val="20"/>
          <w:color w:val="auto"/>
        </w:rPr>
      </w:pPr>
    </w:p>
    <w:p>
      <w:pPr>
        <w:jc w:val="both"/>
        <w:ind w:left="760" w:firstLine="388"/>
        <w:spacing w:after="0" w:line="281" w:lineRule="auto"/>
        <w:rPr>
          <w:sz w:val="20"/>
          <w:szCs w:val="20"/>
          <w:color w:val="auto"/>
        </w:rPr>
      </w:pPr>
      <w:r>
        <w:rPr>
          <w:rFonts w:ascii="Times New Roman" w:cs="Times New Roman" w:eastAsia="Times New Roman" w:hAnsi="Times New Roman"/>
          <w:sz w:val="15"/>
          <w:szCs w:val="15"/>
          <w:color w:val="auto"/>
        </w:rPr>
        <w:t>The Separation and Distribution Agreement will govern Illumina’s and our respective rights and obligations regarding the proposed Distribution. On or prior to the Distribution, Illumina will deliver at least 85.5% of the issued and outstanding shares of our common stock to the distribution agent. Following the Distribution Date, the distribution agent will electronically deliver the shares of our common stock to Illumina stockholders based on the distribution ratio. The Illumina Board will have the sole and absolute discretion to determine the terms of, and whether to proceed with, the Distribution.</w:t>
      </w:r>
    </w:p>
    <w:p>
      <w:pPr>
        <w:spacing w:after="0" w:line="2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Conditions</w:t>
      </w:r>
    </w:p>
    <w:p>
      <w:pPr>
        <w:spacing w:after="0" w:line="104" w:lineRule="exact"/>
        <w:rPr>
          <w:sz w:val="20"/>
          <w:szCs w:val="20"/>
          <w:color w:val="auto"/>
        </w:rPr>
      </w:pPr>
    </w:p>
    <w:p>
      <w:pPr>
        <w:ind w:left="760" w:right="480" w:firstLine="388"/>
        <w:spacing w:after="0" w:line="259" w:lineRule="auto"/>
        <w:rPr>
          <w:sz w:val="20"/>
          <w:szCs w:val="20"/>
          <w:color w:val="auto"/>
        </w:rPr>
      </w:pPr>
      <w:r>
        <w:rPr>
          <w:rFonts w:ascii="Times New Roman" w:cs="Times New Roman" w:eastAsia="Times New Roman" w:hAnsi="Times New Roman"/>
          <w:sz w:val="16"/>
          <w:szCs w:val="16"/>
          <w:color w:val="auto"/>
        </w:rPr>
        <w:t>The Separation and Distribution Agreement will also provide that several conditions must be satisfied or waived by Illumina in its sole and absolute discretion before the Distribution can occur. For further information about these conditions, see the section entitled</w:t>
      </w:r>
    </w:p>
    <w:p>
      <w:pPr>
        <w:spacing w:after="0" w:line="1" w:lineRule="exact"/>
        <w:rPr>
          <w:sz w:val="20"/>
          <w:szCs w:val="20"/>
          <w:color w:val="auto"/>
        </w:rPr>
      </w:pPr>
    </w:p>
    <w:p>
      <w:pPr>
        <w:ind w:left="760" w:right="300"/>
        <w:spacing w:after="0" w:line="252" w:lineRule="auto"/>
        <w:rPr>
          <w:sz w:val="20"/>
          <w:szCs w:val="20"/>
          <w:color w:val="auto"/>
        </w:rPr>
      </w:pPr>
      <w:r>
        <w:rPr>
          <w:rFonts w:ascii="Times New Roman" w:cs="Times New Roman" w:eastAsia="Times New Roman" w:hAnsi="Times New Roman"/>
          <w:sz w:val="16"/>
          <w:szCs w:val="16"/>
          <w:color w:val="auto"/>
        </w:rPr>
        <w:t>“The Spin-Off—Conditions to the Spin-Off” beginning on page 105 of this Information Statement. The Illumina Board may, in its sole and absolute discretion, determine the Record Date, the Distribution Date and the terms of the Spin-Off and may at any time prior to the completion of the Spin-Off decide to abandon or modify the Spin-Off.</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Termination</w:t>
      </w:r>
    </w:p>
    <w:p>
      <w:pPr>
        <w:spacing w:after="0" w:line="104"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Illumina Board, in its sole and absolute discretion, may terminate the Separation and Distribution Agreement at any time prior to the Distribution.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We and Illumina will each agree to indemnify the other and each of the other’s former and current directors, officers, and employees, and each of the heirs, executors, successors, and assigns of any of them, against certain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202</w:t>
      </w:r>
    </w:p>
    <w:p>
      <w:pPr>
        <w:sectPr>
          <w:pgSz w:w="11900" w:h="16838" w:orient="portrait"/>
          <w:cols w:equalWidth="0" w:num="1">
            <w:col w:w="10460"/>
          </w:cols>
          <w:pgMar w:left="320" w:top="419" w:right="111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right="140"/>
        <w:spacing w:after="0" w:line="264" w:lineRule="auto"/>
        <w:rPr>
          <w:sz w:val="20"/>
          <w:szCs w:val="20"/>
          <w:color w:val="auto"/>
        </w:rPr>
      </w:pPr>
      <w:r>
        <w:rPr>
          <w:rFonts w:ascii="Times New Roman" w:cs="Times New Roman" w:eastAsia="Times New Roman" w:hAnsi="Times New Roman"/>
          <w:sz w:val="16"/>
          <w:szCs w:val="16"/>
          <w:color w:val="auto"/>
        </w:rPr>
        <w:t xml:space="preserve">liabilities incurred in connection with the Spin-Off and our and Illumina’s </w:t>
      </w:r>
      <w:r>
        <w:rPr>
          <w:rFonts w:ascii="Times New Roman" w:cs="Times New Roman" w:eastAsia="Times New Roman" w:hAnsi="Times New Roman"/>
          <w:sz w:val="16"/>
          <w:szCs w:val="16"/>
          <w:b w:val="1"/>
          <w:bCs w:val="1"/>
          <w:color w:val="auto"/>
        </w:rPr>
        <w:t>respective businesses. The amount of either Illumina’s or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indemnification obligations will be reduced by any insurance proceeds the party being indemnified receives. The Separation and Distribution Agreement will also specify procedures regarding claims subject to indemnification.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Tax Matters Agreement</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tax matters agreement (the “Tax Matters Agreement”) prior to the Distribution that will govern the parties’ respective rights, responsibilities, and obligations after the Distribution with respect to all tax matters (including tax liabilities, tax attributes, tax returns, and tax contests). The material terms of this agreement will be described in a subsequent amendment to this Information Statement.</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and Registration Rights Agreement</w:t>
      </w:r>
    </w:p>
    <w:p>
      <w:pPr>
        <w:spacing w:after="0" w:line="106"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(the “Stockholder and Registration Rights Agreement”) pursuant to which we will grant to Illumina certain registration rights with respect to the shares of our common stock owned by Illumina. Illumina may transfer these rights in certain limited circumstances, including in connection with an equity-for-debt exchange to a third-party lender (a “Permitted Transferee” and, collectively with Illumina, “Holders”), and such Holders will thereafter be bound by the terms of the Stockholder and Registration Rights Agreement.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Demand Registration</w:t>
      </w:r>
    </w:p>
    <w:p>
      <w:pPr>
        <w:spacing w:after="0" w:line="104" w:lineRule="exact"/>
        <w:rPr>
          <w:sz w:val="20"/>
          <w:szCs w:val="20"/>
          <w:color w:val="auto"/>
        </w:rPr>
      </w:pPr>
    </w:p>
    <w:p>
      <w:pPr>
        <w:ind w:left="760" w:right="300" w:firstLine="388"/>
        <w:spacing w:after="0" w:line="272" w:lineRule="auto"/>
        <w:rPr>
          <w:sz w:val="20"/>
          <w:szCs w:val="20"/>
          <w:color w:val="auto"/>
        </w:rPr>
      </w:pPr>
      <w:r>
        <w:rPr>
          <w:rFonts w:ascii="Times New Roman" w:cs="Times New Roman" w:eastAsia="Times New Roman" w:hAnsi="Times New Roman"/>
          <w:sz w:val="15"/>
          <w:szCs w:val="15"/>
          <w:color w:val="auto"/>
        </w:rPr>
        <w:t>Holders will be able to request registration under the Securities Act of all or any portion of their shares of our common stock covered by the Stockholder and Registration Rights Agreement, and we will be obligated, subject to limitations on minimum offering size and certain other limited exceptions, to register such shares as requested by such Holders. Holders will be able to designate the terms of each offering effected pursuant to a</w:t>
      </w:r>
    </w:p>
    <w:p>
      <w:pPr>
        <w:spacing w:after="0" w:line="2" w:lineRule="exact"/>
        <w:rPr>
          <w:sz w:val="20"/>
          <w:szCs w:val="20"/>
          <w:color w:val="auto"/>
        </w:rPr>
      </w:pPr>
    </w:p>
    <w:p>
      <w:pPr>
        <w:ind w:left="760" w:right="80"/>
        <w:spacing w:after="0" w:line="256" w:lineRule="auto"/>
        <w:rPr>
          <w:sz w:val="20"/>
          <w:szCs w:val="20"/>
          <w:color w:val="auto"/>
        </w:rPr>
      </w:pPr>
      <w:r>
        <w:rPr>
          <w:rFonts w:ascii="Times New Roman" w:cs="Times New Roman" w:eastAsia="Times New Roman" w:hAnsi="Times New Roman"/>
          <w:sz w:val="16"/>
          <w:szCs w:val="16"/>
          <w:color w:val="auto"/>
        </w:rPr>
        <w:t>demand registration, which may take the form of a shelf registration, and will be able to request that we complete up to demand registrations in any 12-month period.</w:t>
      </w:r>
    </w:p>
    <w:p>
      <w:pPr>
        <w:spacing w:after="0" w:line="162" w:lineRule="exact"/>
        <w:rPr>
          <w:sz w:val="20"/>
          <w:szCs w:val="20"/>
          <w:color w:val="auto"/>
        </w:rPr>
      </w:pPr>
    </w:p>
    <w:p>
      <w:pPr>
        <w:ind w:left="760" w:right="300" w:firstLine="388"/>
        <w:spacing w:after="0" w:line="259" w:lineRule="auto"/>
        <w:rPr>
          <w:sz w:val="20"/>
          <w:szCs w:val="20"/>
          <w:color w:val="auto"/>
        </w:rPr>
      </w:pPr>
      <w:r>
        <w:rPr>
          <w:rFonts w:ascii="Times New Roman" w:cs="Times New Roman" w:eastAsia="Times New Roman" w:hAnsi="Times New Roman"/>
          <w:sz w:val="16"/>
          <w:szCs w:val="16"/>
          <w:color w:val="auto"/>
        </w:rPr>
        <w:t>We will not be required to honor a demand registration if we have effected a registration within the preceding days. In addition, if we reasonably determine in good faith that filing a registration statement would be significantly disadvantageous to us, we may, no more than during</w:t>
      </w:r>
    </w:p>
    <w:p>
      <w:pPr>
        <w:spacing w:after="0" w:line="1" w:lineRule="exact"/>
        <w:rPr>
          <w:sz w:val="20"/>
          <w:szCs w:val="20"/>
          <w:color w:val="auto"/>
        </w:rPr>
      </w:pPr>
    </w:p>
    <w:p>
      <w:pPr>
        <w:ind w:left="760" w:right="240"/>
        <w:spacing w:after="0" w:line="256" w:lineRule="auto"/>
        <w:rPr>
          <w:sz w:val="20"/>
          <w:szCs w:val="20"/>
          <w:color w:val="auto"/>
        </w:rPr>
      </w:pPr>
      <w:r>
        <w:rPr>
          <w:rFonts w:ascii="Times New Roman" w:cs="Times New Roman" w:eastAsia="Times New Roman" w:hAnsi="Times New Roman"/>
          <w:sz w:val="16"/>
          <w:szCs w:val="16"/>
          <w:color w:val="auto"/>
        </w:rPr>
        <w:t>any 12-month period, delay filing such registration statement until the earlier of days after we make such determination or days after the disadvantageous condition no longer exists.</w:t>
      </w:r>
    </w:p>
    <w:p>
      <w:pPr>
        <w:spacing w:after="0" w:line="2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Piggy-Back Registration</w:t>
      </w:r>
    </w:p>
    <w:p>
      <w:pPr>
        <w:spacing w:after="0" w:line="104"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If we at any time intend to file on our behalf or on behalf of any of our other security holders a registration statement in connection with a public offering of any of our securities on a form and in a manner that would permit the registration for offer and sale of shares of our common stock held by Holders, Holders will have the right to include their shares of our common stock in that offering, subject to certain limitations.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The Stockholder Registration Rights Agreement will contain customary indemnification and contribution provisions by us for the benefit of Holders and, in limited situations, by Holders for the benefit of us with respect to the information provided by such Holders included in any registration statement, prospectus, or related document.</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203</w:t>
      </w:r>
    </w:p>
    <w:p>
      <w:pPr>
        <w:sectPr>
          <w:pgSz w:w="11900" w:h="16838" w:orient="portrait"/>
          <w:cols w:equalWidth="0" w:num="1">
            <w:col w:w="10440"/>
          </w:cols>
          <w:pgMar w:left="320" w:top="419" w:right="113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Ongoing Commercial Agreements</w:t>
      </w:r>
    </w:p>
    <w:p>
      <w:pPr>
        <w:spacing w:after="0" w:line="106"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 various other agreements with Illumina and its subsidiaries, including a supply and commercialization agreement and license agreements.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January 2016, we entered into a supply and commercialization agreement with Illumina. The agreement was amended and restated in February 2017, and subsequently amended in September 2017 and December 2019. Under the terms of the agreement, we agreed to pay to Illumina a high single-digit royalty, subject to certain reductions, on net sales generated by our products or revenues otherwise generated or received by us regardless of whether these products incorporate any Illumina intellectual property, subject to certain exceptions, in the field of oncology in perpetuity. In August 2021, following Illumina’s acquisition of GRAIL, the agreement was further amended to suspend the royalty as long as GRAIL is an affiliate of Illumina. The Divestment Plan (as defined in the section entitled “The Spin-Off—Background” beginning on page 96 of this Information Statement) permits Illumina to maintain the royalty arrangement with GRAIL. In connection with the separation of GRAIL from Illumina via the Spin-Off, GRAIL will no longer be an affiliate of Illumina and the perpetual royalty obligation to Illumina will restart, without retroactive effect. In addition, at the time of the separation we may elect to have either the Open Offer or the Grandfathered Pricing.</w:t>
      </w:r>
    </w:p>
    <w:p>
      <w:pPr>
        <w:spacing w:after="0" w:line="165"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Under the agreement, Illumina granted us non-exclusive rights to use certain Illumina know-how and technology with Illumina products purchased under the agreement, and we granted Illumina an irrevocable, perpetual, worldwide, fully paid-up, and royalty-free license covering improvements to certain Illumina know-how and technology. Pursuant to the agreement, we were also required to develop a small-variant targeted plasma assay and deliver it to Illumina, which we have done. We retain ownership of the intellectual property generated by the development of this assay, and we have granted Illumina an irrevocable, perpetual, non-exclusive license to use any of the intellectual property embodied in this assay, with certain limitations on sublicensing.</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The term of the agreement is 10 years, subject to two-year automatic renewal periods unless one of the parties terminates prior to such renewal period; however, the term is limited to a maximum term of 20 years. The agreement may also be terminated by either party for uncured material breach or bankruptcy or insolvency of the other party. Illumina may terminate the agreement if it is notified by any regulatory authority that our performance under the agreement materially violates an applicable law or due to a change of control of GRAIL involving a competitor of Illumina. Upon the termination of the agreement for any reason, the licenses granted to us by Illumina under the agreement would terminate but our licenses to Illumina survive the termination of the agreement. Our royalty payment obligations also survive the termination of this agreement. In February 2019, pursuant to the terms of the supply and commercialization agreement with Illumina, we entered into two separate non-exclusive and non-sublicensable license agreements with Illumina. Under these license agreements, Illumina is required to pay us (i) initial aggregate licensing fees of $50,000, (ii) annual minimum aggregate royalties of $50,000, increasing by $10,000 annually to a maximum of $100,000, and (iii) running royalties in the low percentages of net sales of products utilizing in-licensed technology. In addition, one of the license agreements includes a milestone of $50,000 tied to the first commercial sale of a product covered by a licensed patent.</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Arrangements</w:t>
      </w:r>
    </w:p>
    <w:p>
      <w:pPr>
        <w:spacing w:after="0" w:line="106" w:lineRule="exact"/>
        <w:rPr>
          <w:sz w:val="20"/>
          <w:szCs w:val="20"/>
          <w:color w:val="auto"/>
        </w:rPr>
      </w:pPr>
    </w:p>
    <w:p>
      <w:pPr>
        <w:ind w:left="760" w:right="240" w:firstLine="388"/>
        <w:spacing w:after="0" w:line="255" w:lineRule="auto"/>
        <w:rPr>
          <w:sz w:val="20"/>
          <w:szCs w:val="20"/>
          <w:color w:val="auto"/>
        </w:rPr>
      </w:pPr>
      <w:r>
        <w:rPr>
          <w:rFonts w:ascii="Times New Roman" w:cs="Times New Roman" w:eastAsia="Times New Roman" w:hAnsi="Times New Roman"/>
          <w:sz w:val="16"/>
          <w:szCs w:val="16"/>
          <w:color w:val="auto"/>
        </w:rPr>
        <w:t>Prior to the Spin-Off, we have had various other arrangements with Illumina, including arrangements whereby (i) pursuant to the binding Hold Separate Commitments put in place by Illumina and the Transitional Measures imposed by the European Commission, GRAIL has been held and operated separately and independently from Illumina and Illumina funded GRAIL’s operations and (ii) in connection with Illumina’s acquisition of GRAIL in 2021, Illumina issued contingent value rights (“CVRs”) representing the right to receive future cash payments on a quarterly basis representing a pro rata portion of certain GRAIL-related revenues.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204</w:t>
      </w:r>
    </w:p>
    <w:p>
      <w:pPr>
        <w:sectPr>
          <w:pgSz w:w="11900" w:h="16838" w:orient="portrait"/>
          <w:cols w:equalWidth="0" w:num="1">
            <w:col w:w="10460"/>
          </w:cols>
          <w:pgMar w:left="320" w:top="418" w:right="111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Policy and Procedures Governing Related Person Transactions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have a written Related-Persons Transaction Policy, to be effective upon the completion of the Spin-Off, that applies to our executive officers, directors, director nominees, holders of more than five percent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205</w:t>
      </w:r>
    </w:p>
    <w:p>
      <w:pPr>
        <w:sectPr>
          <w:pgSz w:w="11900" w:h="16838" w:orient="portrait"/>
          <w:cols w:equalWidth="0" w:num="1">
            <w:col w:w="10420"/>
          </w:cols>
          <w:pgMar w:left="320" w:top="418" w:right="115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DESCRIPTION OF OUR CAPITAL STOCK</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Prior to the Distribution Date, our Board of Directors (the “Board”), will approve and adopt our Certificate of Incorporation and our Bylaws. The following summarizes information concerning our capital stock, including material provisions of our Certificate of Incorporation and our Bylaws that will be in effect at the time of the Distribution and certain provisions of Delaware law. You are encouraged to read the forms of our Certificate of Incorporation and our Bylaws, which will be filed as exhibits to our Registration Statement on Form 10, of which this Information Statement is part, for greater detail with respect to these provisions.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ectPr>
          <w:pgSz w:w="11900" w:h="16838" w:orient="portrait"/>
          <w:cols w:equalWidth="0" w:num="1">
            <w:col w:w="10420"/>
          </w:cols>
          <w:pgMar w:left="320" w:top="419" w:right="1159" w:bottom="1440" w:gutter="0" w:footer="0" w:header="0"/>
        </w:sectPr>
      </w:pP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hanging="553"/>
        <w:spacing w:after="0" w:line="278" w:lineRule="auto"/>
        <w:rPr>
          <w:sz w:val="20"/>
          <w:szCs w:val="20"/>
          <w:color w:val="auto"/>
        </w:rPr>
      </w:pPr>
      <w:r>
        <w:rPr>
          <w:rFonts w:ascii="Times New Roman" w:cs="Times New Roman" w:eastAsia="Times New Roman" w:hAnsi="Times New Roman"/>
          <w:sz w:val="16"/>
          <w:szCs w:val="16"/>
          <w:color w:val="auto"/>
        </w:rPr>
        <w:t>Immediately following the Spin-Off, our authorized capital stock will consist of shares of preferred stock, par value $0.001 per share.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common stock, par value $0.001 per share</w:t>
      </w:r>
    </w:p>
    <w:p>
      <w:pPr>
        <w:spacing w:after="0" w:line="453" w:lineRule="exact"/>
        <w:rPr>
          <w:sz w:val="20"/>
          <w:szCs w:val="20"/>
          <w:color w:val="auto"/>
        </w:rPr>
      </w:pPr>
    </w:p>
    <w:p>
      <w:pPr>
        <w:sectPr>
          <w:pgSz w:w="11900" w:h="16838" w:orient="portrait"/>
          <w:cols w:equalWidth="0" w:num="3">
            <w:col w:w="1000" w:space="720"/>
            <w:col w:w="4500" w:space="720"/>
            <w:col w:w="3480"/>
          </w:cols>
          <w:pgMar w:left="320" w:top="419" w:right="1159" w:bottom="1440" w:gutter="0" w:footer="0" w:header="0"/>
          <w:type w:val="continuous"/>
        </w:sectPr>
      </w:pPr>
    </w:p>
    <w:p>
      <w:pPr>
        <w:spacing w:after="0" w:line="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0" w:lineRule="exact"/>
        <w:rPr>
          <w:sz w:val="20"/>
          <w:szCs w:val="20"/>
          <w:color w:val="auto"/>
        </w:rPr>
      </w:pPr>
    </w:p>
    <w:p>
      <w:pPr>
        <w:ind w:left="760" w:right="120" w:firstLine="388"/>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Shares Outstanding</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Immediately following the Spin-Off, we estimate that approximately shares of our common stock will be issued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outstanding, based in part on approximately shares of Illumina common stock outstanding as of , 2024. The actual number of</w:t>
      </w:r>
    </w:p>
    <w:p>
      <w:pPr>
        <w:sectPr>
          <w:pgSz w:w="11900" w:h="16838" w:orient="portrait"/>
          <w:cols w:equalWidth="0" w:num="1">
            <w:col w:w="10420"/>
          </w:cols>
          <w:pgMar w:left="320" w:top="419" w:right="1159" w:bottom="1440" w:gutter="0" w:footer="0" w:header="0"/>
          <w:type w:val="continuous"/>
        </w:sectPr>
      </w:pPr>
    </w:p>
    <w:p>
      <w:pPr>
        <w:ind w:left="760"/>
        <w:spacing w:after="0" w:line="252" w:lineRule="auto"/>
        <w:rPr>
          <w:sz w:val="20"/>
          <w:szCs w:val="20"/>
          <w:color w:val="auto"/>
        </w:rPr>
      </w:pPr>
      <w:r>
        <w:rPr>
          <w:rFonts w:ascii="Times New Roman" w:cs="Times New Roman" w:eastAsia="Times New Roman" w:hAnsi="Times New Roman"/>
          <w:sz w:val="16"/>
          <w:szCs w:val="16"/>
          <w:color w:val="auto"/>
        </w:rPr>
        <w:t>shares of our common stock outstanding immediately following the Spin-Off will depend, in part, on the actual number of shares of Illumina common stock outstanding on the Record Date, and will reflect any issuance of new shares or exercise of outstanding options pursuant to Illumina’s equity-based incentive compensation plans on or prior to the Record Date. There will be no shares of preferred stock outstanding.</w:t>
      </w:r>
    </w:p>
    <w:p>
      <w:pPr>
        <w:spacing w:after="0" w:line="161" w:lineRule="exact"/>
        <w:rPr>
          <w:sz w:val="20"/>
          <w:szCs w:val="20"/>
          <w:color w:val="auto"/>
        </w:rPr>
      </w:pPr>
    </w:p>
    <w:p>
      <w:pPr>
        <w:ind w:left="760" w:right="4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Dividend Rights</w:t>
      </w:r>
      <w:r>
        <w:rPr>
          <w:rFonts w:ascii="Times New Roman" w:cs="Times New Roman" w:eastAsia="Times New Roman" w:hAnsi="Times New Roman"/>
          <w:sz w:val="16"/>
          <w:szCs w:val="16"/>
          <w:color w:val="auto"/>
        </w:rPr>
        <w:t>. Holders of shares of our common stock will be entitled to receive dividends when, as and if declared by our Board at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discretion out of funds legally available for that purpose, subject to the preferential rights of any preferred stock that may be outstanding. See the sections entitled “Dividend Policy” and “Risk Factors—Risks Relating to Our Common Stock—We do not expect to pay any dividends for the foreseeable future” beginning on pages 108 and 91, respectively, of this Information Statement.</w:t>
      </w:r>
    </w:p>
    <w:p>
      <w:pPr>
        <w:spacing w:after="0" w:line="155" w:lineRule="exact"/>
        <w:rPr>
          <w:sz w:val="20"/>
          <w:szCs w:val="20"/>
          <w:color w:val="auto"/>
        </w:rPr>
      </w:pPr>
    </w:p>
    <w:p>
      <w:pPr>
        <w:jc w:val="both"/>
        <w:ind w:left="760" w:right="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Voting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Each share of common stock is entitled to one vote upon any matter submitted to a vote of our stockholders, including the election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directors. Holders of our common stock will vote as a single class on all matters submitted to a stockholder vote, subject to any voting rights granted to holders of any preferred stock. Holders of the common stock are not entitled to any cumulative voting rights.</w:t>
      </w:r>
    </w:p>
    <w:p>
      <w:pPr>
        <w:spacing w:after="0" w:line="150"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Liquidation</w:t>
      </w:r>
      <w:r>
        <w:rPr>
          <w:rFonts w:ascii="Times New Roman" w:cs="Times New Roman" w:eastAsia="Times New Roman" w:hAnsi="Times New Roman"/>
          <w:sz w:val="16"/>
          <w:szCs w:val="16"/>
          <w:color w:val="auto"/>
        </w:rPr>
        <w:t>. In the event of our liquidation, dissolution, or winding up, the holders of common stock are entitled to share ratably in all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remaining after payment of liabilities, subject to prior distribution rights of preferred stock, if any, then outstanding.</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Rights</w:t>
      </w:r>
      <w:r>
        <w:rPr>
          <w:rFonts w:ascii="Times New Roman" w:cs="Times New Roman" w:eastAsia="Times New Roman" w:hAnsi="Times New Roman"/>
          <w:sz w:val="16"/>
          <w:szCs w:val="16"/>
          <w:color w:val="auto"/>
        </w:rPr>
        <w:t>. The holders of our common stock have no preemptive rights or other subscription rights.</w:t>
      </w:r>
    </w:p>
    <w:p>
      <w:pPr>
        <w:spacing w:after="0" w:line="2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no redemption or sinking fund provisions applicable to our common stock.</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Our Board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 The issuance of preferred stock may have the effect of delaying, deterring, or preventing a change in control of our company without further action by the stockholders and may adversely affect the voting and other rights of the holders of common stock. At present, we have no plans to issue any of the preferred stock.</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206</w:t>
      </w:r>
    </w:p>
    <w:p>
      <w:pPr>
        <w:sectPr>
          <w:pgSz w:w="11900" w:h="16838" w:orient="portrait"/>
          <w:cols w:equalWidth="0" w:num="1">
            <w:col w:w="10420"/>
          </w:cols>
          <w:pgMar w:left="320" w:top="419" w:right="1159" w:bottom="1440" w:gutter="0" w:footer="0" w:header="0"/>
          <w:type w:val="continuous"/>
        </w:sectPr>
      </w:pPr>
    </w:p>
    <w:bookmarkStart w:id="470" w:name="page471"/>
    <w:bookmarkEnd w:id="4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Provisions of Delaware Law, Our Certificate of Incorporation and Bylaws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Election and Removal of Directors; Vacancies</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Board will consist of between five and fifteen directors. 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w:t>
      </w:r>
    </w:p>
    <w:p>
      <w:pPr>
        <w:spacing w:after="0" w:line="157"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No director may be removed except for cause, and directors may be removed for cause only by an affirmative vote of shares representing not less than a majority of the shares then entitled to vote at an election of directors.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Any vacancy occurring on the Board and any newly created directorship may be filled only by a majority of the remaining directors in office.</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Staggered Board</w:t>
      </w:r>
    </w:p>
    <w:p>
      <w:pPr>
        <w:spacing w:after="0" w:line="106"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Immediately after the Spin-Off, our Board will be divided into three classes serving staggered three-year terms. Class I, Class II, and Class III directors will serve until our annual meetings of stockholders in 2024, 2025 and 2026, respectively.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Limitation on Action by Written Consent</w:t>
      </w:r>
    </w:p>
    <w:p>
      <w:pPr>
        <w:spacing w:after="0" w:line="106"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holders of our common stock will not be able to act by written consent without a meeting.</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Meetings</w:t>
      </w:r>
    </w:p>
    <w:p>
      <w:pPr>
        <w:spacing w:after="0" w:line="106" w:lineRule="exact"/>
        <w:rPr>
          <w:sz w:val="20"/>
          <w:szCs w:val="20"/>
          <w:color w:val="auto"/>
        </w:rPr>
      </w:pPr>
    </w:p>
    <w:p>
      <w:pPr>
        <w:ind w:left="760" w:right="56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special meetings of our stockholders may be called only by a majority of the directors. Our Certificate of Incorporation and our Bylaws specifically deny any power of any other person to call a special meeting.</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Certificate of Incorporation</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provisions of our Certificate of Incorporation described under “—Election and Removal of Directors; Vacancies,” “—Stockholder Meetings,” “—Limitation on Action by Written Consent,” “—Limitation of Liability of Directors and Officers,” “—Common Stock—Voting Rights,” and “— Forum Selection” and provisions relating to amendments to our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Certificate of Incorporation.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Bylaws</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Certain provisions of our Bylaws may generally be altered, amended, or repealed, and new bylaws may be adopted, with the affirmative vote of a majority of directors present at any regular or special meeting of the Board called for that purpose, provided that any alteration, amendment, or repeal of, or adoption of any bylaw inconsistent with specified provisions of the bylaws, including those related to special and annual meetings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207</w:t>
      </w:r>
    </w:p>
    <w:p>
      <w:pPr>
        <w:sectPr>
          <w:pgSz w:w="11900" w:h="16838" w:orient="portrait"/>
          <w:cols w:equalWidth="0" w:num="1">
            <w:col w:w="10480"/>
          </w:cols>
          <w:pgMar w:left="320" w:top="419" w:right="109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stockholders, action of stockholders by written consent, nomination of directors, transfers of capital stock and dividends requires the affirmative vote of at least 66-2/3% of all directors in office at a meeting called for that purpose.</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All other provisions of our Bylaws may generally be altered, amended, or repealed, and new bylaws may be adopted, with the affirmative vote of holders of 66-2/3% of the voting power of our outstanding shares of voting stock.</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Limitations on Stockholder Actions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Bylaws impose some procedural requirements on stockholders who wish to:</w:t>
      </w:r>
    </w:p>
    <w:p>
      <w:pPr>
        <w:spacing w:after="0" w:line="114" w:lineRule="exact"/>
        <w:rPr>
          <w:sz w:val="20"/>
          <w:szCs w:val="20"/>
          <w:color w:val="auto"/>
        </w:rPr>
      </w:pPr>
    </w:p>
    <w:p>
      <w:pPr>
        <w:ind w:left="1620" w:hanging="375"/>
        <w:spacing w:after="0"/>
        <w:tabs>
          <w:tab w:leader="none" w:pos="1620"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nominations in the election of directors;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that a director be removed;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repeal or change in our Bylaws;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other business to be brought before an annual or special meeting of stockholders.</w:t>
      </w:r>
    </w:p>
    <w:p>
      <w:pPr>
        <w:spacing w:after="0" w:line="197"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62" w:lineRule="exact"/>
        <w:rPr>
          <w:sz w:val="20"/>
          <w:szCs w:val="20"/>
          <w:color w:val="auto"/>
        </w:rPr>
      </w:pPr>
    </w:p>
    <w:p>
      <w:pPr>
        <w:ind w:left="1620" w:hanging="375"/>
        <w:spacing w:after="0"/>
        <w:tabs>
          <w:tab w:leader="none" w:pos="1620" w:val="left"/>
        </w:tabs>
        <w:numPr>
          <w:ilvl w:val="0"/>
          <w:numId w:val="4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the business or nomination to be brought before the meeting and the reasons for conducting such business at the meeting;</w:t>
      </w:r>
    </w:p>
    <w:p>
      <w:pPr>
        <w:spacing w:after="0" w:line="125" w:lineRule="exact"/>
        <w:rPr>
          <w:rFonts w:ascii="Times New Roman" w:cs="Times New Roman" w:eastAsia="Times New Roman" w:hAnsi="Times New Roman"/>
          <w:sz w:val="15"/>
          <w:szCs w:val="15"/>
          <w:color w:val="auto"/>
        </w:rPr>
      </w:pPr>
    </w:p>
    <w:p>
      <w:pPr>
        <w:ind w:left="1620" w:hanging="375"/>
        <w:spacing w:after="0"/>
        <w:tabs>
          <w:tab w:leader="none" w:pos="1620"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name and address;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interest of the stockholder in the proposal;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by the stockholder and evidence of such ownership; and</w:t>
      </w:r>
    </w:p>
    <w:p>
      <w:pPr>
        <w:spacing w:after="0" w:line="113" w:lineRule="exact"/>
        <w:rPr>
          <w:rFonts w:ascii="Times New Roman" w:cs="Times New Roman" w:eastAsia="Times New Roman" w:hAnsi="Times New Roman"/>
          <w:sz w:val="16"/>
          <w:szCs w:val="16"/>
          <w:color w:val="auto"/>
        </w:rPr>
      </w:pPr>
    </w:p>
    <w:p>
      <w:pPr>
        <w:ind w:left="1620" w:right="660" w:hanging="375"/>
        <w:spacing w:after="0" w:line="278" w:lineRule="auto"/>
        <w:tabs>
          <w:tab w:leader="none" w:pos="1620"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To be timely, a stockholder must generally deliver notice:</w:t>
      </w:r>
    </w:p>
    <w:p>
      <w:pPr>
        <w:spacing w:after="0" w:line="114" w:lineRule="exact"/>
        <w:rPr>
          <w:sz w:val="20"/>
          <w:szCs w:val="20"/>
          <w:color w:val="auto"/>
        </w:rPr>
      </w:pPr>
    </w:p>
    <w:p>
      <w:pPr>
        <w:ind w:left="1620" w:right="80" w:hanging="375"/>
        <w:spacing w:after="0" w:line="277" w:lineRule="auto"/>
        <w:tabs>
          <w:tab w:leader="none" w:pos="1620" w:val="left"/>
        </w:tabs>
        <w:numPr>
          <w:ilvl w:val="0"/>
          <w:numId w:val="4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an annual meeting of stockholders, not less than 120 nor more than 150 days prior to the date on which the annual meeting of stockholders was held in the immediately preceding year, but in the event that the date of the annual meeting is more than 30 days before or more than 70 days after the anniversary date of the preceding annual meeting of stockholders, a stockholder notice will be timely if received by us not later than the close of business on the later of (1) not less than 70 nor more than 120 days prior to the date of the annual meeting and (2) the 10th day following the day on which we first publicly announce the date of the annual meeting; or</w:t>
      </w:r>
    </w:p>
    <w:p>
      <w:pPr>
        <w:spacing w:after="0" w:line="63" w:lineRule="exact"/>
        <w:rPr>
          <w:rFonts w:ascii="Times New Roman" w:cs="Times New Roman" w:eastAsia="Times New Roman" w:hAnsi="Times New Roman"/>
          <w:sz w:val="15"/>
          <w:szCs w:val="15"/>
          <w:color w:val="auto"/>
        </w:rPr>
      </w:pPr>
    </w:p>
    <w:p>
      <w:pPr>
        <w:jc w:val="both"/>
        <w:ind w:left="1620" w:right="200" w:hanging="375"/>
        <w:spacing w:after="0" w:line="263" w:lineRule="auto"/>
        <w:tabs>
          <w:tab w:leader="none" w:pos="16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election of a director at a special meeting of stockholders, during the period not less than 120 nor more than 150 days prior to the date of the special meeting, or the 10th day following the day on which a notice of the date of the special meeting was mailed to the stockholders or the public disclosure of that date was made.</w:t>
      </w:r>
    </w:p>
    <w:p>
      <w:pPr>
        <w:spacing w:after="0" w:line="157"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 order to submit a nomination for our Board,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208</w:t>
      </w:r>
    </w:p>
    <w:p>
      <w:pPr>
        <w:sectPr>
          <w:pgSz w:w="11900" w:h="16838" w:orient="portrait"/>
          <w:cols w:equalWidth="0" w:num="1">
            <w:col w:w="10400"/>
          </w:cols>
          <w:pgMar w:left="320" w:top="419" w:right="117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Limitation of Liability of Directors and Officers</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Certificate of Incorporation provides that no director will be personally liable to us or our stockholders for monetary damages for breach of fiduciary duty as a director, except as required by applicable law, as in effect from time to time. 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w:t>
      </w:r>
    </w:p>
    <w:p>
      <w:pPr>
        <w:spacing w:after="0" w:line="78" w:lineRule="exact"/>
        <w:rPr>
          <w:sz w:val="20"/>
          <w:szCs w:val="20"/>
          <w:color w:val="auto"/>
        </w:rPr>
      </w:pPr>
    </w:p>
    <w:p>
      <w:pPr>
        <w:ind w:left="1620" w:hanging="375"/>
        <w:spacing w:after="0"/>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our company or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 or omission not in good faith or which involved intentional misconduct or a knowing violation of law;</w:t>
      </w:r>
    </w:p>
    <w:p>
      <w:pPr>
        <w:spacing w:after="0" w:line="113"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unlawful payments of dividends or unlawful stock repurchases or redemptions as provided in Section 174 of the Delaware General Corporation Law;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derived an improper personal benefit.</w:t>
      </w:r>
    </w:p>
    <w:p>
      <w:pPr>
        <w:spacing w:after="0" w:line="197" w:lineRule="exact"/>
        <w:rPr>
          <w:sz w:val="20"/>
          <w:szCs w:val="20"/>
          <w:color w:val="auto"/>
        </w:rPr>
      </w:pPr>
    </w:p>
    <w:p>
      <w:pPr>
        <w:ind w:left="760" w:right="320" w:firstLine="388"/>
        <w:spacing w:after="0" w:line="263" w:lineRule="auto"/>
        <w:rPr>
          <w:sz w:val="20"/>
          <w:szCs w:val="20"/>
          <w:color w:val="auto"/>
        </w:rPr>
      </w:pPr>
      <w:r>
        <w:rPr>
          <w:rFonts w:ascii="Times New Roman" w:cs="Times New Roman" w:eastAsia="Times New Roman" w:hAnsi="Times New Roman"/>
          <w:sz w:val="16"/>
          <w:szCs w:val="16"/>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157"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Our Certificate of Incorporation also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w:t>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Forum Selection</w:t>
      </w:r>
    </w:p>
    <w:p>
      <w:pPr>
        <w:spacing w:after="0" w:line="106" w:lineRule="exact"/>
        <w:rPr>
          <w:sz w:val="20"/>
          <w:szCs w:val="20"/>
          <w:color w:val="auto"/>
        </w:rPr>
      </w:pPr>
    </w:p>
    <w:p>
      <w:pPr>
        <w:ind w:left="760" w:right="300" w:firstLine="388"/>
        <w:spacing w:after="0" w:line="276" w:lineRule="auto"/>
        <w:rPr>
          <w:sz w:val="20"/>
          <w:szCs w:val="20"/>
          <w:color w:val="auto"/>
        </w:rPr>
      </w:pPr>
      <w:r>
        <w:rPr>
          <w:rFonts w:ascii="Times New Roman" w:cs="Times New Roman" w:eastAsia="Times New Roman" w:hAnsi="Times New Roman"/>
          <w:sz w:val="15"/>
          <w:szCs w:val="15"/>
          <w:color w:val="auto"/>
        </w:rPr>
        <w:t>Our Certificate of Incorporation provides that the Court of Chancery of the State of Delaware will be the sole and exclusive forum for the following types of actions or proceedings under Delaware statutory or common law: (i) any derivative action or proceeding brought on behalf of us;</w:t>
      </w:r>
    </w:p>
    <w:p>
      <w:pPr>
        <w:spacing w:after="0" w:line="1" w:lineRule="exact"/>
        <w:rPr>
          <w:sz w:val="20"/>
          <w:szCs w:val="20"/>
          <w:color w:val="auto"/>
        </w:rPr>
      </w:pPr>
    </w:p>
    <w:p>
      <w:pPr>
        <w:ind w:left="1000" w:hanging="231"/>
        <w:spacing w:after="0"/>
        <w:tabs>
          <w:tab w:leader="none" w:pos="100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fiduciary duty owed by any director, officer, or other employee of our company to us or our stockholders;</w:t>
      </w:r>
    </w:p>
    <w:p>
      <w:pPr>
        <w:spacing w:after="0" w:line="6" w:lineRule="exact"/>
        <w:rPr>
          <w:rFonts w:ascii="Times New Roman" w:cs="Times New Roman" w:eastAsia="Times New Roman" w:hAnsi="Times New Roman"/>
          <w:sz w:val="16"/>
          <w:szCs w:val="16"/>
          <w:color w:val="auto"/>
        </w:rPr>
      </w:pPr>
    </w:p>
    <w:p>
      <w:pPr>
        <w:ind w:left="1040" w:hanging="271"/>
        <w:spacing w:after="0"/>
        <w:tabs>
          <w:tab w:leader="none" w:pos="104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Delaware General Corporation Law or our Certificate of Incorporation and</w:t>
      </w:r>
    </w:p>
    <w:p>
      <w:pPr>
        <w:spacing w:after="0" w:line="6" w:lineRule="exact"/>
        <w:rPr>
          <w:rFonts w:ascii="Times New Roman" w:cs="Times New Roman" w:eastAsia="Times New Roman" w:hAnsi="Times New Roman"/>
          <w:sz w:val="16"/>
          <w:szCs w:val="16"/>
          <w:color w:val="auto"/>
        </w:rPr>
      </w:pPr>
    </w:p>
    <w:p>
      <w:pPr>
        <w:ind w:left="76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bylaws; or (iv) any action asserting a claim governed by the internal affairs doctrine. This provision would not apply to claims brought to enforce a duty or liability created by the Securities Exchange Act of 1934, as amended, or any other claim for which the federal courts have exclusive jurisdiction. Furthermore,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have consented to the foregoing forum selection provisions.</w:t>
      </w:r>
    </w:p>
    <w:p>
      <w:pPr>
        <w:spacing w:after="0" w:line="166"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5"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Certificate of Incorporation or Bylaws to be inapplicable or unenforceable in an action, we may incur additional costs associated with resolving such action in other jurisdictions.</w:t>
      </w:r>
    </w:p>
    <w:p>
      <w:pPr>
        <w:spacing w:after="0" w:line="161"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The choice of forum provisions may limit a stockholder’s ability to bring a claim in a judicial forum that it finds favorable for disputes with the company or its directors, officers or other employees, which may discourage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209</w:t>
      </w:r>
    </w:p>
    <w:p>
      <w:pPr>
        <w:sectPr>
          <w:pgSz w:w="11900" w:h="16838" w:orient="portrait"/>
          <w:cols w:equalWidth="0" w:num="1">
            <w:col w:w="10460"/>
          </w:cols>
          <w:pgMar w:left="320" w:top="419" w:right="111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such lawsuits against the company and its directors, officers, and other employees and result in increased costs for investors to bring a claim.</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Delaware Business Combination Statute</w:t>
      </w:r>
    </w:p>
    <w:p>
      <w:pPr>
        <w:spacing w:after="0" w:line="106"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73" w:lineRule="exact"/>
        <w:rPr>
          <w:sz w:val="20"/>
          <w:szCs w:val="20"/>
          <w:color w:val="auto"/>
        </w:rPr>
      </w:pPr>
    </w:p>
    <w:p>
      <w:pPr>
        <w:ind w:left="1620" w:right="260" w:hanging="375"/>
        <w:spacing w:after="0" w:line="278" w:lineRule="auto"/>
        <w:tabs>
          <w:tab w:leader="none" w:pos="1620"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the corporation had previously approved either the business combination or the transaction that resulted in the stockholder becoming an interested stockholder;</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that person owned at least 85% of the voting stock of the corporation outstanding at the time the transaction commenced, other than statutorily excluded shares; or</w:t>
      </w:r>
    </w:p>
    <w:p>
      <w:pPr>
        <w:spacing w:after="0" w:line="61"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transaction in which that person became an interested stockholder, the business combination is approved by the Board of the corporation and holders of at least two-thirds of the outstanding voting stock not owned by the interested stockholder.</w:t>
      </w:r>
    </w:p>
    <w:p>
      <w:pPr>
        <w:spacing w:after="0" w:line="145"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65"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Some Provisions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Certain provisions of our Certificate of Incorporation and Bylaws could make the following more difficult:</w:t>
      </w:r>
    </w:p>
    <w:p>
      <w:pPr>
        <w:spacing w:after="0" w:line="114" w:lineRule="exact"/>
        <w:rPr>
          <w:sz w:val="20"/>
          <w:szCs w:val="20"/>
          <w:color w:val="auto"/>
        </w:rPr>
      </w:pPr>
    </w:p>
    <w:p>
      <w:pPr>
        <w:ind w:left="1620" w:hanging="375"/>
        <w:spacing w:after="0"/>
        <w:tabs>
          <w:tab w:leader="none" w:pos="16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control of us by means of a proxy contest, tender offer, or otherwise;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our incumbent officers and directors.</w:t>
      </w:r>
    </w:p>
    <w:p>
      <w:pPr>
        <w:spacing w:after="0" w:line="19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106"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For additional information, see “Certain Relationships and Related Party Transactions—Stockholder and Registration Rights Agreement” beginning on page 203 of this Information Statement.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210</w:t>
      </w:r>
    </w:p>
    <w:p>
      <w:pPr>
        <w:sectPr>
          <w:pgSz w:w="11900" w:h="16838" w:orient="portrait"/>
          <w:cols w:equalWidth="0" w:num="1">
            <w:col w:w="10480"/>
          </w:cols>
          <w:pgMar w:left="320" w:top="419" w:right="109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transfer agent and registrar for our common stock will be Computershare.</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Stock Exchange Listing</w:t>
      </w:r>
    </w:p>
    <w:p>
      <w:pPr>
        <w:spacing w:after="0" w:line="104" w:lineRule="exact"/>
        <w:rPr>
          <w:sz w:val="20"/>
          <w:szCs w:val="20"/>
          <w:color w:val="auto"/>
        </w:rPr>
      </w:pPr>
    </w:p>
    <w:p>
      <w:pPr>
        <w:ind w:left="5500" w:right="2179" w:hanging="4350"/>
        <w:spacing w:after="0" w:line="449" w:lineRule="auto"/>
        <w:rPr>
          <w:sz w:val="20"/>
          <w:szCs w:val="20"/>
          <w:color w:val="auto"/>
        </w:rPr>
      </w:pPr>
      <w:r>
        <w:rPr>
          <w:rFonts w:ascii="Times New Roman" w:cs="Times New Roman" w:eastAsia="Times New Roman" w:hAnsi="Times New Roman"/>
          <w:sz w:val="16"/>
          <w:szCs w:val="16"/>
          <w:color w:val="auto"/>
        </w:rPr>
        <w:t>We intend to list our common stock on the Nasdaq Global Select Market under the ticker symbol “GRAL.” 211</w:t>
      </w:r>
    </w:p>
    <w:p>
      <w:pPr>
        <w:sectPr>
          <w:pgSz w:w="11900" w:h="16838" w:orient="portrait"/>
          <w:cols w:equalWidth="0" w:num="1">
            <w:col w:w="10139"/>
          </w:cols>
          <w:pgMar w:left="320" w:top="419" w:right="1440"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9"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have filed a Registration Statement on Form 10 with the SEC with respect to the shares of our common stock that Illumina’s stockholders will receive in the Distribution, as contemplated by this Information Statement. This Information Statement is a part of, and does not contain all the information set forth in, the Registration Statement and the other exhibits and schedules to the Registration Statement. For further information with respect to us and our common stock, please refer to the Registration Statement, including its other exhibits and schedules. Statements we make in this Information Statement relating to any contract or other document are not necessarily complete, and you should refer to the exhibits attached to the Registration Statement for copies of the actual contract or document.</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Spin-Off, we will become subject to the information and reporting requirements of the Securities Exchange Act of 1934, which we refer to as the “Exchange Act,” and, in accordance with the Exchange Act, we will file periodic reports,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electronically with the SEC will be available for inspection and copying at the SEC’s website.</w:t>
      </w:r>
    </w:p>
    <w:p>
      <w:pPr>
        <w:spacing w:after="0" w:line="165"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You can also find a copy of the Registration Statement and our annual report on Form 10-K, quarterly reports on Form 10-Q, current reports on Form 8-K and amendments to those reports, in each case, filed with or furnished to the SEC pursuant to the Exchange Act, on our website, https://grail.com, which we will make available free of charge as soon as reasonably practicable after we electronically file such material with, or furnish it to, the SEC.</w:t>
      </w:r>
    </w:p>
    <w:p>
      <w:pPr>
        <w:spacing w:after="0" w:line="159" w:lineRule="exact"/>
        <w:rPr>
          <w:sz w:val="20"/>
          <w:szCs w:val="20"/>
          <w:color w:val="auto"/>
        </w:rPr>
      </w:pPr>
    </w:p>
    <w:p>
      <w:pPr>
        <w:ind w:left="760" w:right="2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Information contained on, or connected to, any website we refer to in this Information Statement does not and will not constitute a part of this Information Statement or the Registration Statement of which this Information Statement is a part.</w:t>
      </w:r>
    </w:p>
    <w:p>
      <w:pPr>
        <w:spacing w:after="0" w:line="142"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We intend to furnish holders of our common stock with annual reports containing financial statements prepared in accordance with GAAP and audited and reported on, with an opinion expressed, by an independent registered public accounting firm.</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212</w:t>
      </w:r>
    </w:p>
    <w:p>
      <w:pPr>
        <w:sectPr>
          <w:pgSz w:w="11900" w:h="16838" w:orient="portrait"/>
          <w:cols w:equalWidth="0" w:num="1">
            <w:col w:w="10480"/>
          </w:cols>
          <w:pgMar w:left="320" w:top="419" w:right="109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51"/>
        </w:trPr>
        <w:tc>
          <w:tcPr>
            <w:tcW w:w="94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400" w:type="dxa"/>
            <w:vAlign w:val="bottom"/>
            <w:gridSpan w:val="9"/>
            <w:vMerge w:val="continue"/>
          </w:tcPr>
          <w:p>
            <w:pPr>
              <w:spacing w:after="0"/>
              <w:rPr>
                <w:sz w:val="12"/>
                <w:szCs w:val="12"/>
                <w:color w:val="auto"/>
              </w:rPr>
            </w:pPr>
          </w:p>
        </w:tc>
        <w:tc>
          <w:tcPr>
            <w:tcW w:w="280" w:type="dxa"/>
            <w:vAlign w:val="bottom"/>
            <w:tcBorders>
              <w:top w:val="single" w:sz="8" w:color="auto"/>
            </w:tcBorders>
          </w:tcPr>
          <w:p>
            <w:pPr>
              <w:ind w:left="60"/>
              <w:spacing w:after="0" w:line="147" w:lineRule="exact"/>
              <w:rPr>
                <w:sz w:val="20"/>
                <w:szCs w:val="20"/>
                <w:color w:val="auto"/>
              </w:rPr>
            </w:pPr>
            <w:r>
              <w:rPr>
                <w:rFonts w:ascii="Times New Roman" w:cs="Times New Roman" w:eastAsia="Times New Roman" w:hAnsi="Times New Roman"/>
                <w:sz w:val="16"/>
                <w:szCs w:val="16"/>
                <w:color w:val="auto"/>
                <w:w w:val="89"/>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w:t>
            </w:r>
          </w:p>
        </w:tc>
        <w:tc>
          <w:tcPr>
            <w:tcW w:w="56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F-3</w:t>
            </w:r>
          </w:p>
        </w:tc>
        <w:tc>
          <w:tcPr>
            <w:tcW w:w="0" w:type="dxa"/>
            <w:vAlign w:val="bottom"/>
          </w:tcPr>
          <w:p>
            <w:pPr>
              <w:spacing w:after="0"/>
              <w:rPr>
                <w:sz w:val="1"/>
                <w:szCs w:val="1"/>
                <w:color w:val="auto"/>
              </w:rPr>
            </w:pPr>
          </w:p>
        </w:tc>
      </w:tr>
      <w:tr>
        <w:trPr>
          <w:trHeight w:val="20"/>
        </w:trPr>
        <w:tc>
          <w:tcPr>
            <w:tcW w:w="1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F-4</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Comprehensive Loss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F-5</w:t>
            </w:r>
          </w:p>
        </w:tc>
        <w:tc>
          <w:tcPr>
            <w:tcW w:w="0" w:type="dxa"/>
            <w:vAlign w:val="bottom"/>
          </w:tcPr>
          <w:p>
            <w:pPr>
              <w:spacing w:after="0"/>
              <w:rPr>
                <w:sz w:val="1"/>
                <w:szCs w:val="1"/>
                <w:color w:val="auto"/>
              </w:rPr>
            </w:pPr>
          </w:p>
        </w:tc>
      </w:tr>
      <w:tr>
        <w:trPr>
          <w:trHeight w:val="170"/>
        </w:trPr>
        <w:tc>
          <w:tcPr>
            <w:tcW w:w="3120" w:type="dxa"/>
            <w:vAlign w:val="bottom"/>
            <w:tcBorders>
              <w:top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Member’s Equity</w:t>
            </w:r>
          </w:p>
        </w:tc>
        <w:tc>
          <w:tcPr>
            <w:tcW w:w="6280" w:type="dxa"/>
            <w:vAlign w:val="bottom"/>
            <w:gridSpan w:val="3"/>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F-6</w:t>
            </w:r>
          </w:p>
        </w:tc>
        <w:tc>
          <w:tcPr>
            <w:tcW w:w="0" w:type="dxa"/>
            <w:vAlign w:val="bottom"/>
          </w:tcPr>
          <w:p>
            <w:pPr>
              <w:spacing w:after="0"/>
              <w:rPr>
                <w:sz w:val="1"/>
                <w:szCs w:val="1"/>
                <w:color w:val="auto"/>
              </w:rPr>
            </w:pPr>
          </w:p>
        </w:tc>
      </w:tr>
      <w:tr>
        <w:trPr>
          <w:trHeight w:val="20"/>
        </w:trPr>
        <w:tc>
          <w:tcPr>
            <w:tcW w:w="25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tcBorders>
              <w:bottom w:val="single" w:sz="8" w:color="0000EE"/>
            </w:tcBorders>
            <w:gridSpan w:val="8"/>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Redeemable Convertible Preferred Stock and Stockholders’ Deficit</w:t>
            </w:r>
          </w:p>
        </w:tc>
        <w:tc>
          <w:tcPr>
            <w:tcW w:w="3340" w:type="dxa"/>
            <w:vAlign w:val="bottom"/>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F-7</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Cash Flows</w:t>
            </w:r>
          </w:p>
        </w:tc>
        <w:tc>
          <w:tcPr>
            <w:tcW w:w="6860" w:type="dxa"/>
            <w:vAlign w:val="bottom"/>
            <w:gridSpan w:val="6"/>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F-8</w:t>
            </w:r>
          </w:p>
        </w:tc>
        <w:tc>
          <w:tcPr>
            <w:tcW w:w="0" w:type="dxa"/>
            <w:vAlign w:val="bottom"/>
          </w:tcPr>
          <w:p>
            <w:pPr>
              <w:spacing w:after="0"/>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F-9</w:t>
            </w:r>
          </w:p>
        </w:tc>
        <w:tc>
          <w:tcPr>
            <w:tcW w:w="0" w:type="dxa"/>
            <w:vAlign w:val="bottom"/>
          </w:tcPr>
          <w:p>
            <w:pPr>
              <w:spacing w:after="0"/>
              <w:rPr>
                <w:sz w:val="1"/>
                <w:szCs w:val="1"/>
                <w:color w:val="auto"/>
              </w:rPr>
            </w:pPr>
          </w:p>
        </w:tc>
      </w:tr>
      <w:tr>
        <w:trPr>
          <w:trHeight w:val="337"/>
        </w:trPr>
        <w:tc>
          <w:tcPr>
            <w:tcW w:w="18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F-1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the Board of Directors of Illumina, Inc.</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4"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We have audited the accompanying consolidated financial statements of GRAIL, LLC (Successor), which comprise the consolidated balance sheets as of January 1, 2023 and January 2, 2022, and the related consolidated statements of operations and comprehensive loss, member’s equity and cash flows for the period from August 19, 2021 to January 2, 2022 and for the year ended January 1, 2023, and the related notes to the financial statements, and the consolidated financial statements of GRAIL, Inc. (Predecessor), which comprise the related consolidated statements of operations and comprehensive loss, redeemable convertible preferred stock and stockholders’ deficit and cash flows for the period from January 1, 2021 to August 18, 2021, and the related notes to the consolidated financial statements, collectively referred to as the consolidated financial statements. In our opinion the consolidated financial statements present fairly in all material respects, the financial position of the Successor at January 1, 2023 and January 2, 2022, and the results of operations and cash flows of the Successor for the period from August 19, 2021 to January 2, 2022 and for the year ended January 1, 2023 and of the Predecessor for the period from January 1, 2021 to August 18, 2021 in conformity with U.S. generally accepted accounting principles.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Basis for Opinion</w:t>
      </w:r>
    </w:p>
    <w:p>
      <w:pPr>
        <w:spacing w:after="0" w:line="102" w:lineRule="exact"/>
        <w:rPr>
          <w:sz w:val="20"/>
          <w:szCs w:val="20"/>
          <w:color w:val="auto"/>
        </w:rPr>
      </w:pPr>
    </w:p>
    <w:p>
      <w:pPr>
        <w:ind w:left="760" w:right="100"/>
        <w:spacing w:after="0" w:line="281" w:lineRule="auto"/>
        <w:rPr>
          <w:sz w:val="20"/>
          <w:szCs w:val="20"/>
          <w:color w:val="auto"/>
        </w:rPr>
      </w:pPr>
      <w:r>
        <w:rPr>
          <w:rFonts w:ascii="Times New Roman" w:cs="Times New Roman" w:eastAsia="Times New Roman" w:hAnsi="Times New Roman"/>
          <w:sz w:val="15"/>
          <w:szCs w:val="15"/>
          <w:color w:val="auto"/>
        </w:rPr>
        <w:t>These financial statements are the responsibility of the Predecessor’s and Successor’s management. Our responsibility is to express an opinion on the Predecessor’s and Successor’s financial statements based on our audits. We are a public accounting firm registered with the Public Company Accounting Oversight Board (United States) (PCAOB) and are required to be independent with respect to the Predecessor and Successor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left="760" w:right="60"/>
        <w:spacing w:after="0" w:line="263" w:lineRule="auto"/>
        <w:rPr>
          <w:sz w:val="20"/>
          <w:szCs w:val="20"/>
          <w:color w:val="auto"/>
        </w:rPr>
      </w:pPr>
      <w:r>
        <w:rPr>
          <w:rFonts w:ascii="Times New Roman" w:cs="Times New Roman" w:eastAsia="Times New Roman" w:hAnsi="Times New Roman"/>
          <w:sz w:val="16"/>
          <w:szCs w:val="16"/>
          <w:color w:val="auto"/>
        </w:rPr>
        <w:t>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Ernst &amp; Young LLP</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have served as the Company’s auditor since 2023.</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San Diego, California</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December 8, 2023</w:t>
      </w:r>
    </w:p>
    <w:p>
      <w:pPr>
        <w:spacing w:after="0" w:line="1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ectPr>
          <w:pgSz w:w="11900" w:h="16838" w:orient="portrait"/>
          <w:cols w:equalWidth="0" w:num="1">
            <w:col w:w="10480"/>
          </w:cols>
          <w:pgMar w:left="320" w:top="418" w:right="109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BALANCE SHEETS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7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r>
      <w:tr>
        <w:trPr>
          <w:trHeight w:val="170"/>
        </w:trPr>
        <w:tc>
          <w:tcPr>
            <w:tcW w:w="74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241,596</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221,155</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15,346</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6,761</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net—related parties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14,771</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2,904</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4,984</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2,770</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18,655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8,193</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829</w:t>
            </w:r>
          </w:p>
        </w:tc>
      </w:tr>
      <w:tr>
        <w:trPr>
          <w:trHeight w:val="194"/>
        </w:trPr>
        <w:tc>
          <w:tcPr>
            <w:tcW w:w="7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295,633</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242,733</w:t>
            </w: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91,501</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90,312</w:t>
            </w: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2,515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1,877</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104,707</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124,177</w:t>
            </w: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4,532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4,839</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2,935,556</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3,073,889</w:t>
            </w:r>
          </w:p>
        </w:tc>
        <w:tc>
          <w:tcPr>
            <w:tcW w:w="100" w:type="dxa"/>
            <w:vAlign w:val="bottom"/>
            <w:shd w:val="clear" w:color="auto" w:fill="CCEEFF"/>
          </w:tcPr>
          <w:p>
            <w:pPr>
              <w:spacing w:after="0"/>
              <w:rPr>
                <w:sz w:val="16"/>
                <w:szCs w:val="16"/>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1,497,402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6,197,833</w:t>
            </w: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6,140</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2,259</w:t>
            </w: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9,737,919</w:t>
            </w:r>
          </w:p>
        </w:tc>
        <w:tc>
          <w:tcPr>
            <w:tcW w:w="100" w:type="dxa"/>
            <w:vAlign w:val="bottom"/>
          </w:tcPr>
          <w:p>
            <w:pPr>
              <w:spacing w:after="0"/>
              <w:rPr>
                <w:sz w:val="16"/>
                <w:szCs w:val="16"/>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
        </w:trPr>
        <w:tc>
          <w:tcPr>
            <w:tcW w:w="7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15,189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17,647</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2,292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64,962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48,334</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2,517</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Incentive plan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35,935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11,073</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13,335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13,809</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3,112</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4,507</w:t>
            </w: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134,941</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97,887</w:t>
            </w: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82,675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96,747</w:t>
            </w: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71,075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110,138</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3,134</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2,624</w:t>
            </w:r>
          </w:p>
        </w:tc>
      </w:tr>
      <w:tr>
        <w:trPr>
          <w:trHeight w:val="194"/>
        </w:trPr>
        <w:tc>
          <w:tcPr>
            <w:tcW w:w="7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291,825</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307,396</w:t>
            </w: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10,955,907</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10,341,750</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894</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315</w:t>
            </w: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(6,310,640)</w:t>
            </w: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(911,542)</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4,646,161</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9,430,523</w:t>
            </w:r>
          </w:p>
        </w:tc>
        <w:tc>
          <w:tcPr>
            <w:tcW w:w="100" w:type="dxa"/>
            <w:vAlign w:val="bottom"/>
            <w:shd w:val="clear" w:color="auto" w:fill="CCEEFF"/>
          </w:tcPr>
          <w:p>
            <w:pPr>
              <w:spacing w:after="0"/>
              <w:rPr>
                <w:sz w:val="16"/>
                <w:szCs w:val="16"/>
                <w:color w:val="auto"/>
              </w:rPr>
            </w:pP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9,737,919</w:t>
            </w:r>
          </w:p>
        </w:tc>
        <w:tc>
          <w:tcPr>
            <w:tcW w:w="100" w:type="dxa"/>
            <w:vAlign w:val="bottom"/>
          </w:tcPr>
          <w:p>
            <w:pPr>
              <w:spacing w:after="0"/>
              <w:rPr>
                <w:sz w:val="16"/>
                <w:szCs w:val="16"/>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F-3</w:t>
      </w:r>
    </w:p>
    <w:p>
      <w:pPr>
        <w:sectPr>
          <w:pgSz w:w="11900" w:h="16838" w:orient="portrait"/>
          <w:cols w:equalWidth="0" w:num="1">
            <w:col w:w="10480"/>
          </w:cols>
          <w:pgMar w:left="320" w:top="419" w:right="109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8"/>
                <w:szCs w:val="8"/>
                <w:color w:val="auto"/>
              </w:rPr>
            </w:pPr>
          </w:p>
        </w:tc>
        <w:tc>
          <w:tcPr>
            <w:tcW w:w="130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ind w:right="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right w:val="single" w:sz="8" w:color="auto"/>
            </w:tcBorders>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81"/>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66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20" w:type="dxa"/>
            <w:vAlign w:val="bottom"/>
          </w:tcPr>
          <w:p>
            <w:pPr>
              <w:spacing w:after="0"/>
              <w:rPr>
                <w:sz w:val="13"/>
                <w:szCs w:val="13"/>
                <w:color w:val="auto"/>
              </w:rPr>
            </w:pPr>
          </w:p>
        </w:tc>
        <w:tc>
          <w:tcPr>
            <w:tcW w:w="1300" w:type="dxa"/>
            <w:vAlign w:val="bottom"/>
            <w:tcBorders>
              <w:right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60" w:type="dxa"/>
            <w:vAlign w:val="bottom"/>
            <w:tcBorders>
              <w:top w:val="single" w:sz="8" w:color="CCEEFF"/>
            </w:tcBorders>
            <w:shd w:val="clear" w:color="auto" w:fill="CCEEFF"/>
          </w:tcPr>
          <w:p>
            <w:pPr>
              <w:ind w:left="320"/>
              <w:spacing w:after="0" w:line="182" w:lineRule="exact"/>
              <w:rPr>
                <w:sz w:val="20"/>
                <w:szCs w:val="20"/>
                <w:color w:val="auto"/>
              </w:rPr>
            </w:pPr>
            <w:r>
              <w:rPr>
                <w:rFonts w:ascii="Times New Roman" w:cs="Times New Roman" w:eastAsia="Times New Roman" w:hAnsi="Times New Roman"/>
                <w:sz w:val="16"/>
                <w:szCs w:val="16"/>
                <w:color w:val="auto"/>
              </w:rPr>
              <w:t>Revenue</w:t>
            </w: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54,856</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12,052</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Revenue—related parties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381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12,433</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 (exclusive of amortization of acquired intangible assets)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33,739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5,288</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5,226</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revenue—related parties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795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44,630</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310,431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309,781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19,145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1,475</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100,512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478,071</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impairment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5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(5,442,890)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(928,154)</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(865)</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194"/>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(5,441,388)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(929,019)</w:t>
            </w: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42,290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17,477</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(5,399,098</w:t>
            </w:r>
          </w:p>
        </w:tc>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loss attributable to Class A and Class B common stockholders (Predecessor)</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74"/>
        </w:trPr>
        <w:tc>
          <w:tcPr>
            <w:tcW w:w="566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Weighted-average shares of Class A and Class B common stock used in</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computing net loss per share attributable to Class A and Class B common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stockholders (Predecessor):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149,574,238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w:t>
      </w:r>
    </w:p>
    <w:p>
      <w:pPr>
        <w:sectPr>
          <w:pgSz w:w="11900" w:h="16838" w:orient="portrait"/>
          <w:cols w:equalWidth="0" w:num="1">
            <w:col w:w="10480"/>
          </w:cols>
          <w:pgMar w:left="320" w:top="419" w:right="109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rPr>
                <w:sz w:val="1"/>
                <w:szCs w:val="1"/>
                <w:color w:val="auto"/>
              </w:rPr>
            </w:pPr>
          </w:p>
        </w:tc>
      </w:tr>
      <w:tr>
        <w:trPr>
          <w:trHeight w:val="101"/>
        </w:trPr>
        <w:tc>
          <w:tcPr>
            <w:tcW w:w="59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August 19, 2021 to</w:t>
            </w:r>
          </w:p>
        </w:tc>
        <w:tc>
          <w:tcPr>
            <w:tcW w:w="200" w:type="dxa"/>
            <w:vAlign w:val="bottom"/>
            <w:tcBorders>
              <w:right w:val="single" w:sz="8" w:color="auto"/>
            </w:tcBorders>
            <w:vMerge w:val="restart"/>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98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20" w:type="dxa"/>
            <w:vAlign w:val="bottom"/>
          </w:tcPr>
          <w:p>
            <w:pPr>
              <w:spacing w:after="0"/>
              <w:rPr>
                <w:sz w:val="13"/>
                <w:szCs w:val="13"/>
                <w:color w:val="auto"/>
              </w:rPr>
            </w:pPr>
          </w:p>
        </w:tc>
        <w:tc>
          <w:tcPr>
            <w:tcW w:w="122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9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(5,399,098)</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(911,542)</w:t>
            </w: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unrealized loss on marketable securities, net of tax</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income (loss) adjustment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(5,398,519)</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(911,227)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(337,035)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F-5</w:t>
      </w:r>
    </w:p>
    <w:p>
      <w:pPr>
        <w:sectPr>
          <w:pgSz w:w="11900" w:h="16838" w:orient="portrait"/>
          <w:cols w:equalWidth="0" w:num="1">
            <w:col w:w="10480"/>
          </w:cols>
          <w:pgMar w:left="320" w:top="419" w:right="109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MEMBER’S EQUITY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8"/>
              </w:rPr>
              <w:t>Member’s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12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1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August 19, 2021</w:t>
            </w: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9,745,477</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ind w:left="460"/>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ind w:right="2"/>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$ 9,745,477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(911,542)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(911,542)</w:t>
            </w: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639,188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639,188</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 to member, net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(42,915)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(42,915)</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2, 2022</w:t>
            </w: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10,341,750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w w:val="83"/>
              </w:rPr>
              <w:t>315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46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9,430,523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(5,399,098)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(5,399,098)</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9,884</w:t>
            </w: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604,273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604,273</w:t>
            </w:r>
          </w:p>
        </w:tc>
        <w:tc>
          <w:tcPr>
            <w:tcW w:w="0" w:type="dxa"/>
            <w:vAlign w:val="bottom"/>
          </w:tcPr>
          <w:p>
            <w:pPr>
              <w:spacing w:after="0"/>
              <w:rPr>
                <w:sz w:val="1"/>
                <w:szCs w:val="1"/>
                <w:color w:val="auto"/>
              </w:rPr>
            </w:pPr>
          </w:p>
        </w:tc>
      </w:tr>
      <w:tr>
        <w:trPr>
          <w:trHeight w:val="24"/>
        </w:trPr>
        <w:tc>
          <w:tcPr>
            <w:tcW w:w="5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10,955,907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894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9"/>
              </w:rPr>
              <w:t>(6,310,640)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$ 4,646,161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F-6</w:t>
      </w:r>
    </w:p>
    <w:p>
      <w:pPr>
        <w:sectPr>
          <w:pgSz w:w="11900" w:h="16838" w:orient="portrait"/>
          <w:cols w:equalWidth="0" w:num="1">
            <w:col w:w="10480"/>
          </w:cols>
          <w:pgMar w:left="320" w:top="419" w:right="109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CONSOLIDATED STATEMENTS OF REDEEMABLE CONVERTIBLE PREFERRED STOCK AND STOCKHOLDERS’ DEFICIT</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(PREDECESSOR)</w:t>
      </w:r>
    </w:p>
    <w:p>
      <w:pPr>
        <w:spacing w:after="0" w:line="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40" w:type="dxa"/>
            <w:vAlign w:val="bottom"/>
            <w:gridSpan w:val="9"/>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Redeemable Convertible Preferred 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9"/>
            <w:vMerge w:val="continue"/>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Preferred Series A</w:t>
            </w:r>
          </w:p>
        </w:tc>
        <w:tc>
          <w:tcPr>
            <w:tcW w:w="14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Preferred Series B</w:t>
            </w:r>
          </w:p>
        </w:tc>
        <w:tc>
          <w:tcPr>
            <w:tcW w:w="12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Preferred Series C</w:t>
            </w:r>
          </w:p>
        </w:tc>
        <w:tc>
          <w:tcPr>
            <w:tcW w:w="124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Preferred Series D</w:t>
            </w:r>
          </w:p>
        </w:tc>
        <w:tc>
          <w:tcPr>
            <w:tcW w:w="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Compre-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40" w:type="dxa"/>
            <w:vAlign w:val="bottom"/>
            <w:tcBorders>
              <w:right w:val="single" w:sz="8" w:color="auto"/>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93" w:lineRule="exact"/>
              <w:rPr>
                <w:sz w:val="20"/>
                <w:szCs w:val="20"/>
                <w:color w:val="auto"/>
              </w:rPr>
            </w:pPr>
            <w:r>
              <w:rPr>
                <w:rFonts w:ascii="Times New Roman" w:cs="Times New Roman" w:eastAsia="Times New Roman" w:hAnsi="Times New Roman"/>
                <w:sz w:val="10"/>
                <w:szCs w:val="10"/>
                <w:b w:val="1"/>
                <w:bCs w:val="1"/>
                <w:color w:val="auto"/>
              </w:rPr>
              <w:t>hensive</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rPr>
              <w:t>(Loss)</w:t>
            </w:r>
          </w:p>
        </w:tc>
        <w:tc>
          <w:tcPr>
            <w:tcW w:w="78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89"/>
        </w:trPr>
        <w:tc>
          <w:tcPr>
            <w:tcW w:w="940" w:type="dxa"/>
            <w:vAlign w:val="bottom"/>
            <w:tcBorders>
              <w:top w:val="single" w:sz="8" w:color="CCEEFF"/>
            </w:tcBorders>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121,672,294</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123</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$ 180,952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3,602</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(1,617,787)</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Issuance of</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shares upon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 of</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6,775,603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6</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5,972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options</w:t>
            </w:r>
          </w:p>
        </w:tc>
        <w:tc>
          <w:tcPr>
            <w:tcW w:w="6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Repurchases of</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early exercised</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Vesting of early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exercised</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5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(336,233)</w:t>
            </w: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Continuation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payment</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received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w w:val="98"/>
              </w:rPr>
              <w:t>from Illumina–</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245,000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related party</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Stock-based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31,647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Other</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comprehensive</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(802)</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9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August 18,</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128,427,897</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129</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$ 464,444</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2,800</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(1,954,185)</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-29845</wp:posOffset>
            </wp:positionV>
            <wp:extent cx="1778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-14605</wp:posOffset>
            </wp:positionV>
            <wp:extent cx="1778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-2372360</wp:posOffset>
            </wp:positionV>
            <wp:extent cx="1778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780" cy="7620"/>
                    </a:xfrm>
                    <a:prstGeom prst="rect">
                      <a:avLst/>
                    </a:prstGeom>
                    <a:noFill/>
                  </pic:spPr>
                </pic:pic>
              </a:graphicData>
            </a:graphic>
          </wp:anchor>
        </w:drawing>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F-7</w:t>
      </w:r>
    </w:p>
    <w:p>
      <w:pPr>
        <w:sectPr>
          <w:pgSz w:w="11900" w:h="16838" w:orient="portrait"/>
          <w:cols w:equalWidth="0" w:num="1">
            <w:col w:w="11340"/>
          </w:cols>
          <w:pgMar w:left="320" w:top="419" w:right="2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37"/>
        </w:trPr>
        <w:tc>
          <w:tcPr>
            <w:tcW w:w="58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ind w:left="4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r>
      <w:tr>
        <w:trPr>
          <w:trHeight w:val="93"/>
        </w:trPr>
        <w:tc>
          <w:tcPr>
            <w:tcW w:w="58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August 19,</w:t>
            </w: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center"/>
              <w:ind w:right="17"/>
              <w:spacing w:after="0" w:line="93" w:lineRule="exact"/>
              <w:rPr>
                <w:sz w:val="20"/>
                <w:szCs w:val="20"/>
                <w:color w:val="auto"/>
              </w:rPr>
            </w:pPr>
            <w:r>
              <w:rPr>
                <w:rFonts w:ascii="Times New Roman" w:cs="Times New Roman" w:eastAsia="Times New Roman" w:hAnsi="Times New Roman"/>
                <w:sz w:val="10"/>
                <w:szCs w:val="10"/>
                <w:b w:val="1"/>
                <w:bCs w:val="1"/>
                <w:color w:val="auto"/>
              </w:rPr>
              <w:t>January 1</w:t>
            </w:r>
          </w:p>
        </w:tc>
        <w:tc>
          <w:tcPr>
            <w:tcW w:w="100" w:type="dxa"/>
            <w:vAlign w:val="bottom"/>
          </w:tcPr>
          <w:p>
            <w:pPr>
              <w:spacing w:after="0"/>
              <w:rPr>
                <w:sz w:val="8"/>
                <w:szCs w:val="8"/>
                <w:color w:val="auto"/>
              </w:rPr>
            </w:pPr>
          </w:p>
        </w:tc>
      </w:tr>
      <w:tr>
        <w:trPr>
          <w:trHeight w:val="119"/>
        </w:trPr>
        <w:tc>
          <w:tcPr>
            <w:tcW w:w="5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w w:val="98"/>
              </w:rPr>
              <w:t>Year 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2021 to</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to</w:t>
            </w:r>
          </w:p>
        </w:tc>
      </w:tr>
      <w:tr>
        <w:trPr>
          <w:trHeight w:val="119"/>
        </w:trPr>
        <w:tc>
          <w:tcPr>
            <w:tcW w:w="5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w w:val="99"/>
              </w:rPr>
              <w:t>January 1,</w:t>
            </w:r>
          </w:p>
        </w:tc>
        <w:tc>
          <w:tcPr>
            <w:tcW w:w="60" w:type="dxa"/>
            <w:vAlign w:val="bottom"/>
          </w:tcPr>
          <w:p>
            <w:pPr>
              <w:spacing w:after="0"/>
              <w:rPr>
                <w:sz w:val="10"/>
                <w:szCs w:val="10"/>
                <w:color w:val="auto"/>
              </w:rPr>
            </w:pPr>
          </w:p>
        </w:tc>
        <w:tc>
          <w:tcPr>
            <w:tcW w:w="700" w:type="dxa"/>
            <w:vAlign w:val="bottom"/>
            <w:tcBorders>
              <w:right w:val="single" w:sz="8" w:color="auto"/>
            </w:tcBorders>
            <w:gridSpan w:val="3"/>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January 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August 18,</w:t>
            </w:r>
          </w:p>
        </w:tc>
      </w:tr>
      <w:tr>
        <w:trPr>
          <w:trHeight w:val="137"/>
        </w:trPr>
        <w:tc>
          <w:tcPr>
            <w:tcW w:w="584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100" w:type="dxa"/>
            <w:vAlign w:val="bottom"/>
            <w:tcBorders>
              <w:bottom w:val="single" w:sz="8" w:color="CCEEFF"/>
            </w:tcBorders>
          </w:tcPr>
          <w:p>
            <w:pPr>
              <w:spacing w:after="0"/>
              <w:rPr>
                <w:sz w:val="11"/>
                <w:szCs w:val="11"/>
                <w:color w:val="auto"/>
              </w:rPr>
            </w:pPr>
          </w:p>
        </w:tc>
      </w:tr>
      <w:tr>
        <w:trPr>
          <w:trHeight w:val="111"/>
        </w:trPr>
        <w:tc>
          <w:tcPr>
            <w:tcW w:w="58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84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(5,399,098)</w:t>
            </w:r>
          </w:p>
        </w:tc>
        <w:tc>
          <w:tcPr>
            <w:tcW w:w="180" w:type="dxa"/>
            <w:vAlign w:val="bottom"/>
            <w:gridSpan w:val="2"/>
          </w:tcPr>
          <w:p>
            <w:pPr>
              <w:jc w:val="right"/>
              <w:ind w:right="7"/>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(911,542)</w:t>
            </w:r>
          </w:p>
        </w:tc>
        <w:tc>
          <w:tcPr>
            <w:tcW w:w="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b w:val="1"/>
                <w:bCs w:val="1"/>
                <w:color w:val="auto"/>
              </w:rPr>
              <w:t>(336,233)</w:t>
            </w:r>
          </w:p>
        </w:tc>
      </w:tr>
      <w:tr>
        <w:trPr>
          <w:trHeight w:val="131"/>
        </w:trPr>
        <w:tc>
          <w:tcPr>
            <w:tcW w:w="58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Adjustments to reconcile net loss to net cash used by operating activities: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Amortization of intangibles assets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138,333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46,111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Depreciation</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16,430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5,422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6,916</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75,729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650,260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31,647</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Cash payments for equity awards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(41,009)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w w:val="94"/>
              </w:rPr>
              <w:t>(184,963)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Deferred income taxes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(39,063)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(17,477)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Amortization of premium on marketable securities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498</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Goodwill impairment</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4,700,431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Other</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1,398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w w:val="81"/>
              </w:rPr>
              <w:t>281</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(637)</w:t>
            </w:r>
          </w:p>
        </w:tc>
      </w:tr>
      <w:tr>
        <w:trPr>
          <w:trHeight w:val="165"/>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
        </w:trPr>
        <w:tc>
          <w:tcPr>
            <w:tcW w:w="5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Accounts receivable</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(8,584)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(6,089)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(672)</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Accounts receivable—related parties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(43)</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Supplies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(11,868)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(1,569)</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Supplies—related parties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(2,214)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(2,409)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(361)</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Operating lease right-of-use assets and liabilities, net</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4,924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1,412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19,859</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(11,287)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168</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Prepaid expenses and other current assets—related parties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w w:val="81"/>
              </w:rPr>
              <w:t>761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(706)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442</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Accounts payable</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(61,267)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62,531</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Accounts payable—related parties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2,331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(1,947)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1,980</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Accrued and other liabilities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13,956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(2,881)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13,335</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Accrued and other liabilities—related parties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(2,400)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(121)</w:t>
            </w:r>
          </w:p>
        </w:tc>
      </w:tr>
      <w:tr>
        <w:trPr>
          <w:trHeight w:val="139"/>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used by operating activities</w:t>
            </w:r>
          </w:p>
        </w:tc>
        <w:tc>
          <w:tcPr>
            <w:tcW w:w="15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(561,313)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6"/>
              </w:rPr>
              <w:t>(485,870)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(202,260)</w:t>
            </w:r>
          </w:p>
        </w:tc>
        <w:tc>
          <w:tcPr>
            <w:tcW w:w="100" w:type="dxa"/>
            <w:vAlign w:val="bottom"/>
          </w:tcPr>
          <w:p>
            <w:pPr>
              <w:spacing w:after="0"/>
              <w:rPr>
                <w:sz w:val="12"/>
                <w:szCs w:val="12"/>
                <w:color w:val="auto"/>
              </w:rPr>
            </w:pPr>
          </w:p>
        </w:tc>
      </w:tr>
      <w:tr>
        <w:trPr>
          <w:trHeight w:val="170"/>
        </w:trPr>
        <w:tc>
          <w:tcPr>
            <w:tcW w:w="5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5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(21,104)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(7,158)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(59,857)</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equipment—related parties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(1,755)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(818)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(2,093)</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Purchases of marketable securities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(159,411)</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400,367</w:t>
            </w:r>
          </w:p>
        </w:tc>
      </w:tr>
      <w:tr>
        <w:trPr>
          <w:trHeight w:val="135"/>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1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173,782</w:t>
            </w:r>
          </w:p>
        </w:tc>
        <w:tc>
          <w:tcPr>
            <w:tcW w:w="100" w:type="dxa"/>
            <w:vAlign w:val="bottom"/>
          </w:tcPr>
          <w:p>
            <w:pPr>
              <w:spacing w:after="0"/>
              <w:rPr>
                <w:sz w:val="11"/>
                <w:szCs w:val="11"/>
                <w:color w:val="auto"/>
              </w:rPr>
            </w:pP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cash provided by investing activities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(22,859)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(7,976)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352,788</w:t>
            </w:r>
          </w:p>
        </w:tc>
      </w:tr>
      <w:tr>
        <w:trPr>
          <w:trHeight w:val="149"/>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5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5"/>
        </w:trPr>
        <w:tc>
          <w:tcPr>
            <w:tcW w:w="58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5,978</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Repurchase of early exercised stock options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(170)</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early exercise of unvested stock options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continuation payment received from Illumina—related party</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245,000</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Cash funding received from Illumina</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609,000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774,000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Cash payments for acquisition consideration paid on behalf of Illumina</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w w:val="94"/>
              </w:rPr>
              <w:t>(625,749)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(4,183)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(4,320)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1" w:lineRule="exact"/>
              <w:rPr>
                <w:sz w:val="20"/>
                <w:szCs w:val="20"/>
                <w:color w:val="auto"/>
              </w:rPr>
            </w:pPr>
            <w:r>
              <w:rPr>
                <w:rFonts w:ascii="Times New Roman" w:cs="Times New Roman" w:eastAsia="Times New Roman" w:hAnsi="Times New Roman"/>
                <w:sz w:val="13"/>
                <w:szCs w:val="13"/>
                <w:color w:val="auto"/>
              </w:rPr>
              <w:t>—</w:t>
            </w:r>
          </w:p>
        </w:tc>
      </w:tr>
      <w:tr>
        <w:trPr>
          <w:trHeight w:val="139"/>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5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604,817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89"/>
              </w:rPr>
              <w:t>143,931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250,811</w:t>
            </w:r>
          </w:p>
        </w:tc>
        <w:tc>
          <w:tcPr>
            <w:tcW w:w="100" w:type="dxa"/>
            <w:vAlign w:val="bottom"/>
          </w:tcPr>
          <w:p>
            <w:pPr>
              <w:spacing w:after="0"/>
              <w:rPr>
                <w:sz w:val="12"/>
                <w:szCs w:val="12"/>
                <w:color w:val="auto"/>
              </w:rPr>
            </w:pP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(511)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(64)</w:t>
            </w:r>
          </w:p>
        </w:tc>
      </w:tr>
      <w:tr>
        <w:trPr>
          <w:trHeight w:val="135"/>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5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w w:val="86"/>
              </w:rPr>
              <w:t>(350,050)</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401,275</w:t>
            </w:r>
          </w:p>
        </w:tc>
        <w:tc>
          <w:tcPr>
            <w:tcW w:w="100" w:type="dxa"/>
            <w:vAlign w:val="bottom"/>
          </w:tcPr>
          <w:p>
            <w:pPr>
              <w:spacing w:after="0"/>
              <w:rPr>
                <w:sz w:val="11"/>
                <w:szCs w:val="11"/>
                <w:color w:val="auto"/>
              </w:rPr>
            </w:pP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cash equivalents and restricted cash—beginning of year</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225,994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576,044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174,769</w:t>
            </w:r>
          </w:p>
        </w:tc>
      </w:tr>
      <w:tr>
        <w:trPr>
          <w:trHeight w:val="135"/>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cash—end of year</w:t>
            </w:r>
          </w:p>
        </w:tc>
        <w:tc>
          <w:tcPr>
            <w:tcW w:w="15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89"/>
              </w:rPr>
              <w:t>225,994</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576,044</w:t>
            </w:r>
          </w:p>
        </w:tc>
        <w:tc>
          <w:tcPr>
            <w:tcW w:w="100" w:type="dxa"/>
            <w:vAlign w:val="bottom"/>
          </w:tcPr>
          <w:p>
            <w:pPr>
              <w:spacing w:after="0"/>
              <w:rPr>
                <w:sz w:val="11"/>
                <w:szCs w:val="11"/>
                <w:color w:val="auto"/>
              </w:rPr>
            </w:pPr>
          </w:p>
        </w:tc>
      </w:tr>
      <w:tr>
        <w:trPr>
          <w:trHeight w:val="20"/>
        </w:trPr>
        <w:tc>
          <w:tcPr>
            <w:tcW w:w="5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9"/>
        </w:trPr>
        <w:tc>
          <w:tcPr>
            <w:tcW w:w="58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Represented by:</w:t>
            </w:r>
          </w:p>
        </w:tc>
        <w:tc>
          <w:tcPr>
            <w:tcW w:w="1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8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Cash and cash equivalents</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241,596</w:t>
            </w:r>
          </w:p>
        </w:tc>
        <w:tc>
          <w:tcPr>
            <w:tcW w:w="180" w:type="dxa"/>
            <w:vAlign w:val="bottom"/>
            <w:gridSpan w:val="2"/>
          </w:tcPr>
          <w:p>
            <w:pPr>
              <w:jc w:val="right"/>
              <w:ind w:right="7"/>
              <w:spacing w:after="0" w:line="13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221,155</w:t>
            </w:r>
          </w:p>
        </w:tc>
        <w:tc>
          <w:tcPr>
            <w:tcW w:w="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571,205</w:t>
            </w: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Restricted cash</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4,532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4,839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4,839</w:t>
            </w:r>
          </w:p>
        </w:tc>
      </w:tr>
      <w:tr>
        <w:trPr>
          <w:trHeight w:val="135"/>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5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89"/>
              </w:rPr>
              <w:t>225,994</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$576,044</w:t>
            </w:r>
          </w:p>
        </w:tc>
        <w:tc>
          <w:tcPr>
            <w:tcW w:w="100" w:type="dxa"/>
            <w:vAlign w:val="bottom"/>
          </w:tcPr>
          <w:p>
            <w:pPr>
              <w:spacing w:after="0"/>
              <w:rPr>
                <w:sz w:val="11"/>
                <w:szCs w:val="11"/>
                <w:color w:val="auto"/>
              </w:rPr>
            </w:pPr>
          </w:p>
        </w:tc>
      </w:tr>
      <w:tr>
        <w:trPr>
          <w:trHeight w:val="20"/>
        </w:trPr>
        <w:tc>
          <w:tcPr>
            <w:tcW w:w="5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9"/>
        </w:trPr>
        <w:tc>
          <w:tcPr>
            <w:tcW w:w="58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Supplemental cashflow information:</w:t>
            </w:r>
          </w:p>
        </w:tc>
        <w:tc>
          <w:tcPr>
            <w:tcW w:w="1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8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7"/>
              <w:spacing w:after="0" w:line="13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878</w:t>
            </w: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Property and equipment included in accounts payable and accrued liabilities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(1,940)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(6,261)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(4,768)</w:t>
            </w:r>
          </w:p>
        </w:tc>
      </w:tr>
      <w:tr>
        <w:trPr>
          <w:trHeight w:val="131"/>
        </w:trPr>
        <w:tc>
          <w:tcPr>
            <w:tcW w:w="58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Operating cashflows from operating leases, net</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(17,536)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(6,379)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(6,626)</w:t>
            </w:r>
          </w:p>
        </w:tc>
      </w:tr>
    </w:tbl>
    <w:p>
      <w:pPr>
        <w:spacing w:after="0" w:line="7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F-8</w:t>
      </w:r>
    </w:p>
    <w:p>
      <w:pPr>
        <w:sectPr>
          <w:pgSz w:w="11900" w:h="16838" w:orient="portrait"/>
          <w:cols w:equalWidth="0" w:num="1">
            <w:col w:w="10480"/>
          </w:cols>
          <w:pgMar w:left="320" w:top="419" w:right="109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 ORGANIZATION AND DESCRIPTION OF BUSINESS</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GRAIL, LLC,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61"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On September 20, 2020, GRAIL, Inc., Illumina and its subsidiaries, SDG Ops, LLC, and SDG Ops, Inc., entered into an agreement and plan of merger (the “Merger Agreement”). On August 18, 2021 (the “Closing Date”), Illumina completed its acquisition of GRAIL, Inc. (the “Predecessor Company” or “Predecessor”). According to the terms and conditions of the Merger Agreement, SDG Ops, Inc. and GRAIL, Inc. merged, with GRAIL, Inc. surviving and becoming a wholly owned subsidiary of Illumina (the “First Merger”).</w:t>
      </w:r>
    </w:p>
    <w:p>
      <w:pPr>
        <w:spacing w:after="0" w:line="161"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Immediately following the First Merger and as part of the same overall transaction, GRAIL, Inc., as the surviving corporation, merged with SDG Ops, LLC (the “Second Merger”). According to the terms and conditions of the Merger Agreement, SDG Ops, LLC became the surviving corporation and was renamed GRAIL, LLC (the “Successor Company” or “Successor”). At the effective time of the First Merger (the “Effective Time”), each issued and outstanding share of Predecessor Class A Common Stock, par value $0.001 per share, Class B Common Stock, par value $0.001 per share, Series A Preferred Stock, par value $0.001 per share, Series B Preferred Stock, par value $0.001 per share, Series C Preferred Stock, par value $0.001 per share, and Series D Preferred Stock, par value $0.001 per share, of GRAIL (collectively, the “GRAIL Stock,” subject to limited exceptions, including shares with respect to which dissenters’ rights were validly exercised in accordance with Delaware law) was converted into each holder’s elected merger consideration.</w:t>
      </w:r>
    </w:p>
    <w:p>
      <w:pPr>
        <w:spacing w:after="0" w:line="168"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Prior to the Closing Date, references to the “Company” or “GRAIL” within these consolidated financial statements refer to GRAIL, Inc., and its consolidated subsidiaries, while references to the “Company” or “GRAIL” on or after the Closing Date refer to GRAIL, LLC and its consolidated subsidiaries.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accompanying consolidated financial statements of the Company as of January 1, 2023 and January 2, 2022, and for the year ended January 1,</w:t>
      </w:r>
    </w:p>
    <w:p>
      <w:pPr>
        <w:spacing w:after="0" w:line="35"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15"/>
          <w:szCs w:val="15"/>
          <w:color w:val="auto"/>
        </w:rPr>
        <w:t>2023 and the period from August 19, 2021 to January 2, 2022 (the “Successor,” or the “Post-Combination” period), reflect the basis applied by Illumina in connection with its accounting for the acquisition of GRAIL as a business combination (“pushdown accounting”), and for the period from January 1, 2021 to August 18, 2021 (the “Predecessor” or the “Pre-Combination” period), reflect the activity of the Predecessor Company. Due to the application of pushdown accounting, the Successor periods have been clearly distinguished from the Predecessor period as these periods are not comparable.</w:t>
      </w:r>
    </w:p>
    <w:p>
      <w:pPr>
        <w:spacing w:after="0" w:line="150"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“12. Legal and Regulatory Proceedings” for additional details.</w:t>
      </w:r>
    </w:p>
    <w:p>
      <w:pPr>
        <w:spacing w:after="0" w:line="1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480"/>
          </w:cols>
          <w:pgMar w:left="320" w:top="419" w:right="109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Our Ability to Continue as a Going Concern</w:t>
      </w:r>
    </w:p>
    <w:p>
      <w:pPr>
        <w:spacing w:after="0" w:line="199"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$241.6 million of cash and cash equivalents as of January 1, 2023.</w:t>
      </w:r>
    </w:p>
    <w:p>
      <w:pPr>
        <w:spacing w:after="0" w:line="16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believe that our existing cash and cash equivalents, in addition to the funding that Illumina is required to provide, will be sufficient to meet our working capital and capital expenditure needs for at least the next 12 months, as of the date these consolidated financial statements were filed.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104" w:lineRule="exact"/>
        <w:rPr>
          <w:sz w:val="20"/>
          <w:szCs w:val="20"/>
          <w:color w:val="auto"/>
        </w:rPr>
      </w:pPr>
    </w:p>
    <w:p>
      <w:pPr>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References to 2022 refer to the fiscal year ended January 1, 2023, which was 52 weeks. References to 2021 refer either to the Predecessor period from January 1, 2021 to August 18, 2021, or the Successor period from August 19, 2021 to January 2, 2022.</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Basis of Presentation and Principles of Consolidation</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accompanying consolidated financial statements represent the historical operations of the standalone GRAIL legal entity and in the Successor periods include purchase accounting adjustments and certain tax adjustments as if GRAIL filed a separate income tax return and was not included in Illumina’s consolidated return. All revenues and costs as well as assets and liabilities directly associated with the business activity of the Company are included in the consolidated financial statements. Assets and liabilities were reflected at fair value under the new basis of accounting established at the Closing Date.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Management considered the need to allocate any shared costs incurred by the parent, Illumina, to the accompanying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in the Successor periods. However, amounts recognized in the Successor periods by the Company are not necessarily representative of the amounts that would have been reflected in the financial statements had the Company operated independently of the parent. Related party transactions with Illumina are discussed further in Note “9 Related-Party Transactions.”</w:t>
      </w:r>
    </w:p>
    <w:p>
      <w:pPr>
        <w:spacing w:after="0" w:line="165" w:lineRule="exact"/>
        <w:rPr>
          <w:sz w:val="20"/>
          <w:szCs w:val="20"/>
          <w:color w:val="auto"/>
        </w:rPr>
      </w:pPr>
    </w:p>
    <w:p>
      <w:pPr>
        <w:jc w:val="both"/>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United States Generally Accepted Accounting Principles (“U.S. GAAP”) and include the accounts of GRAIL and its wholly owned subsidiaries. All intercompany balances have been eliminated in consolidation.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04" w:lineRule="exact"/>
        <w:rPr>
          <w:sz w:val="20"/>
          <w:szCs w:val="20"/>
          <w:color w:val="auto"/>
        </w:rPr>
      </w:pPr>
    </w:p>
    <w:p>
      <w:pPr>
        <w:jc w:val="both"/>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The preparation of the consolidated financial statements in accordance with U.S. GAAP requires management to make estimates and assumptions that affect the amounts of assets and liabilities, disclosure of contingent assets and liabilities, and the reported amounts of revenues and expenses in the consolidated financial statements and accompanying notes. The Company bases its estimates on historical experience and other market-</w:t>
      </w:r>
    </w:p>
    <w:p>
      <w:pPr>
        <w:spacing w:after="0" w:line="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480"/>
          </w:cols>
          <w:pgMar w:left="320" w:top="419" w:right="109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1" w:lineRule="auto"/>
        <w:rPr>
          <w:sz w:val="20"/>
          <w:szCs w:val="20"/>
          <w:color w:val="auto"/>
        </w:rPr>
      </w:pPr>
      <w:r>
        <w:rPr>
          <w:rFonts w:ascii="Times New Roman" w:cs="Times New Roman" w:eastAsia="Times New Roman" w:hAnsi="Times New Roman"/>
          <w:sz w:val="15"/>
          <w:szCs w:val="15"/>
          <w:color w:val="auto"/>
        </w:rPr>
        <w:t>specific or other relevant assumptions that it believes to be reasonable under the circumstances. On an ongoing basis, management evaluates its estimates, including, but not limited to, those related to estimation of variable consideration, estimation of credit losses, standalone selling price included in contracts with multiple performance obligations, measure of progress toward the completion and satisfaction of performance obligations, accrued clinical studies and research and development expenses, stock-based compensation expense, measurement of liability-classified awards, valuation of goodwill and intangible assets, useful lives of intangible assets and property and equipment, determination of incremental borrowing rate for operating leases, contingencies, and the provision for income taxes, among others. These estimates generally involve complex issues and require judgments, involve the analysis of historical results and prediction of future trends, can require extended periods of time to resolve and are subject to change from period to period. Actual results could differ from those estimates, and such differences could be material to the consolidated financial statements.</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104" w:lineRule="exact"/>
        <w:rPr>
          <w:sz w:val="20"/>
          <w:szCs w:val="20"/>
          <w:color w:val="auto"/>
        </w:rPr>
      </w:pPr>
    </w:p>
    <w:p>
      <w:pPr>
        <w:ind w:left="760" w:right="360" w:firstLine="388"/>
        <w:spacing w:after="0" w:line="263"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and cash equivalents. The Company is exposed to credit risk in the event of a default by the financial institutions holding its cash and cash equivalents to the extent recorded in the consolidated balance sheets.</w:t>
      </w:r>
    </w:p>
    <w:p>
      <w:pPr>
        <w:spacing w:after="0" w:line="157"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of January 1, 2023, the Company had approximately $241.6 million of cash deposits and cash equivalents (“Funds”) in accounts with Silicon Valley Bank (“SVB” or the “Bank”). The majority of the funds held in the SVB accounts were invested in money market securities issued by another large U.S. bank. The SVB accounts served as sweep accounts to settle end-of-day cash transactions.</w:t>
      </w:r>
    </w:p>
    <w:p>
      <w:pPr>
        <w:spacing w:after="0" w:line="157"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On March 10, 2023, at the direction of the Federal Deposit Insurance Corporation (the “FDIC”) and in coordination with the California Department of Financial Protection and Innovation, SVB was declared insolvent, was closed and the FDIC was appointed as the receiver of the Bank. The FDIC completed its resolution of SVB in a manner that fully protected all depositors, and on Monday, March 13, 2023, it stated that depositors will have access to all of their funds. The Company had full control and access to these funds as of March 13, 2023. There was no impact to the day-to-day operations of the Company and it did not experience any losses on any deposits processed by SVB. Subsequently, the Company’s management has outlined a plan that follows a diversified strategy when it comes to deposit and lending institutions, allowing it to reduce risk and ensure ongoing access to its funds.</w:t>
      </w:r>
    </w:p>
    <w:p>
      <w:pPr>
        <w:spacing w:after="0" w:line="166"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Company’s investment policy limits investments to certain types of securities issued by the U.S. government and its agencies and institutions with investment-grade credit ratings and places restrictions on maturities and concentration by type and issuer. As of January 1, 2023, the Company had no off-balance sheet concentrations of credit risk.</w:t>
      </w:r>
    </w:p>
    <w:p>
      <w:pPr>
        <w:spacing w:after="0" w:line="157" w:lineRule="exact"/>
        <w:rPr>
          <w:sz w:val="20"/>
          <w:szCs w:val="20"/>
          <w:color w:val="auto"/>
        </w:rPr>
      </w:pPr>
    </w:p>
    <w:p>
      <w:pPr>
        <w:ind w:left="760" w:right="260" w:firstLine="388"/>
        <w:spacing w:after="0" w:line="289" w:lineRule="auto"/>
        <w:rPr>
          <w:sz w:val="20"/>
          <w:szCs w:val="20"/>
          <w:color w:val="auto"/>
        </w:rPr>
      </w:pPr>
      <w:r>
        <w:rPr>
          <w:rFonts w:ascii="Times New Roman" w:cs="Times New Roman" w:eastAsia="Times New Roman" w:hAnsi="Times New Roman"/>
          <w:sz w:val="15"/>
          <w:szCs w:val="15"/>
          <w:color w:val="auto"/>
        </w:rPr>
        <w:t>The Company is subject to credit risk related to its accounts receivable. Accounts receivable primarily arise from testing services in the United States and are primarily with biopharmaceutical companies, employers, healthcare organizations, concierge medicine practices, life insurance companies, and individuals. The Company does not require collateral. Accounts receivable are recorded net of the allowance for credit losses.</w:t>
      </w:r>
    </w:p>
    <w:p>
      <w:pPr>
        <w:spacing w:after="0" w:line="138"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The Company had sales to a single customer that accounted for approximately 21% and 38% of total sales, for the year ended January 1, 2023 and period from August 19, 2021 to January 2, 2022, respectively. No single customer accounted for more than 10% of net sales for the period from January 1 to August 18, 2021.</w:t>
      </w:r>
    </w:p>
    <w:p>
      <w:pPr>
        <w:spacing w:after="0" w:line="157"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Amounts due from this same single customer represented approximately 45% and 68% of total accounts receivable as of January 1, 2023 and January 2, 2022, respectively.</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480"/>
          </w:cols>
          <w:pgMar w:left="320" w:top="419" w:right="109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Risks and Uncertainties</w:t>
      </w:r>
    </w:p>
    <w:p>
      <w:pPr>
        <w:spacing w:after="0" w:line="104"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Company is subject to risks and uncertainties common to emerging and commercial-stage healthcare companies, including, but not limited to, the Company’s operation in a dynamic and highly regulated industry, its ability to successfully commercialize products, its ability to drive industry education and awareness of its products and multi-cancer early detection generally, difficulties or delays in clinical studies, delays in planned commercial launches, complex regulatory regimes, regulatory implications and issues, including approvals, recommendations, coverage and reimbursement determinations, its ability to establish and maintain strategic relationships and key third-party vendors and providers, developments involving the Company’s infrastructure and platform, dependence on key personnel, and other factors. Any of these factors and other factors could negatively impact operating results.</w:t>
      </w:r>
    </w:p>
    <w:p>
      <w:pPr>
        <w:spacing w:after="0" w:line="166"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The Company’s first commercial product, Galleri, was commercially launched in mid-2021. As a result, the Company has a limited history as a commercial-stage company and this product has not and may not generate revenues sufficient to fund operations. The Company is subject to risks and uncertainties regarding its need for, and ability to obtain, additional financing.</w:t>
      </w: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104"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Cash and cash equivalents consist of cash on deposit with banks denominated in U.S. Dollars and British Pounds. To be considered cash equivalents, all investments purchased must be highly liquid and have an original maturity date of three months or less. As of January 1, 2023 and January 2, 2022, the Company’s cash equivalents were held in money market funds, a marketable security, totaling $236.0 million and $214.1 million, respectively. Cash equivalents held in money market funds were categorized as Level 1 investments within the fair value hierarchy.</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Restricted Cash</w:t>
      </w:r>
    </w:p>
    <w:p>
      <w:pPr>
        <w:spacing w:after="0" w:line="104"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Restricted cash is comprised of cash that is restricted as to withdrawal or use related to letters of credit for the Company’s operating lease agreements.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Accounts Receivable, Net</w:t>
      </w:r>
    </w:p>
    <w:p>
      <w:pPr>
        <w:spacing w:after="0" w:line="104"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Accounts receivable represent unconditional rights to consideration from customers. Accounts receivable are regularly evaluated for collectability and estimated allowance is determined for potential credit losses based on management’s best estimates. As of January 1, 2023, and January 2, 2022, the Company had $1.3 million and $0.1 million of allowance for credit losses, respectively.</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Supplies</w:t>
      </w:r>
    </w:p>
    <w:p>
      <w:pPr>
        <w:spacing w:after="0" w:line="104"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Supplies consists of materials and reagents consumed in the performance of testing services. The Company periodically analyzes supply levels and expiration dates, and writes down supply that has become obsolete or that has a cost basis in excess of expected sales requirements as cost of revenue. The Company records an allowance for excess or obsolete supplies using an estimate based on historical trends and evaluation of near-term expirations. Cost of revenue—related parties represents the costs of supplies purchased from related parties used in the generation of revenue from all customers.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Fair Value of Financial Instruments</w:t>
      </w:r>
    </w:p>
    <w:p>
      <w:pPr>
        <w:spacing w:after="0" w:line="104"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The fair value of financial assets and liabilities is determined using the fair value hierarchy established in Accounting Standards Codification (“ASC”) Topic 820, Fair Value Measurement (“ASC 820”). ASC 820</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F-12</w:t>
      </w:r>
    </w:p>
    <w:p>
      <w:pPr>
        <w:sectPr>
          <w:pgSz w:w="11900" w:h="16838" w:orient="portrait"/>
          <w:cols w:equalWidth="0" w:num="1">
            <w:col w:w="10460"/>
          </w:cols>
          <w:pgMar w:left="320" w:top="419" w:right="111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identifies fair value as the exchange price, or exit price, representing the amount that would be received to sell an asset or paid to transfer a liability in an orderly transaction between market participants. The hierarchy describes three levels of inputs that may be used to measure fair value, as follows: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Level 1 —Observable inputs, such as quoted prices in active markets for identical assets and liabilities.</w:t>
      </w:r>
    </w:p>
    <w:p>
      <w:pPr>
        <w:spacing w:after="0" w:line="197" w:lineRule="exact"/>
        <w:rPr>
          <w:sz w:val="20"/>
          <w:szCs w:val="20"/>
          <w:color w:val="auto"/>
        </w:rPr>
      </w:pPr>
    </w:p>
    <w:p>
      <w:pPr>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Level 2 —Observable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Level 3 —Unobservable inputs that are supported by little or no market activity and that are significant to the fair value of the assets or liabilities.</w:t>
      </w:r>
    </w:p>
    <w:p>
      <w:pPr>
        <w:spacing w:after="0" w:line="208"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w:t>
      </w:r>
    </w:p>
    <w:p>
      <w:pPr>
        <w:spacing w:after="0" w:line="145"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carrying amounts for financial instruments such as accounts receivable, net, accounts receivable, net—related parties, prepaid expenses and other current assets, prepaid expenses and other current assets—related parties, accounts payable, accounts payable—related parties, accrued liabilities and accrued liabilities—related parties’ approximate fair value due to their short-term nature.</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Property and equipment, net is stated at cost less accumulated depreciation and amortization. Depreciation is calculated using the straight-line method over the estimated useful lives of the assets. Leasehold improvements are amortized using the straight-line method over the shorter of the lease term or the useful life of the improvements. Repair expenses and maintenance costs are expensed as incurred. When an item is sold or disposed of, the cost and related accumulated depreciation or amortization is eliminated and the resulting gain or loss, if any, is recorded in the consolidated statements of operations.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estimated useful lives of the major classes of property and equipment are generally as follows:</w:t>
      </w:r>
    </w:p>
    <w:p>
      <w:pPr>
        <w:spacing w:after="0" w:line="197"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Useful Life</w:t>
            </w:r>
          </w:p>
        </w:tc>
      </w:tr>
      <w:tr>
        <w:trPr>
          <w:trHeight w:val="153"/>
        </w:trPr>
        <w:tc>
          <w:tcPr>
            <w:tcW w:w="55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Years)</w:t>
            </w:r>
          </w:p>
        </w:tc>
      </w:tr>
      <w:tr>
        <w:trPr>
          <w:trHeight w:val="182"/>
        </w:trPr>
        <w:tc>
          <w:tcPr>
            <w:tcW w:w="55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Laboratory equipment</w:t>
            </w:r>
          </w:p>
        </w:tc>
        <w:tc>
          <w:tcPr>
            <w:tcW w:w="10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3 to 5</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Lease Term</w:t>
            </w:r>
          </w:p>
        </w:tc>
      </w:tr>
    </w:tbl>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104"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Leases are classified as operating or financing at lease inception and as necessary at modification. Leased assets represent the Company’s right to use an underlying asset for the lease term and lease liabilities represent its obligation to make lease payments arising from the lease.</w:t>
      </w:r>
    </w:p>
    <w:p>
      <w:pPr>
        <w:spacing w:after="0" w:line="145"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Operating leases are included in operating lease right-of-use (“ROU”) assets and operating lease liabilities in the consolidated balance sheets. Operating lease ROU assets and liabilities are recognized at the lease commencement date based on the present value of lease payments over the lease term. When readily</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460"/>
          </w:cols>
          <w:pgMar w:left="320" w:top="419" w:right="111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2" w:lineRule="auto"/>
        <w:rPr>
          <w:sz w:val="20"/>
          <w:szCs w:val="20"/>
          <w:color w:val="auto"/>
        </w:rPr>
      </w:pPr>
      <w:r>
        <w:rPr>
          <w:rFonts w:ascii="Times New Roman" w:cs="Times New Roman" w:eastAsia="Times New Roman" w:hAnsi="Times New Roman"/>
          <w:sz w:val="16"/>
          <w:szCs w:val="16"/>
          <w:color w:val="auto"/>
        </w:rPr>
        <w:t>determinable, the Company uses the rate implicit in the lease to discount lease payments; however, when the rate is not readily determinable, the Company uses the incremental borrowing rate based on the information available at the commencement date. The incremental borrowing rate is the rate of interest that a company would have to pay to borrow an amount equal to the lease payments on a collateralized basis over a similar term and in a similar economic environment. The Company’s weighted average remaining lease term is approximately 7.8 years and 8.3 years as of January 1, 2023 and January 2, 2022, respectively. The Company’s weighted average discount rate for operating leases is 2.1% and 2.0% as of January 1, 2023 and January 2, 2022, respectively, which were based on Illumina’s incremental borrowing rate as GRAIL was a wholly owned subsidiary. The operating lease ROU asset also includes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w:t>
      </w:r>
    </w:p>
    <w:p>
      <w:pPr>
        <w:spacing w:after="0" w:line="16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For each lease, the determined lease term is based on a noncancellable period, including any rent-free periods provided by the lessor, and may include options to extend or terminate the lease when it is reasonably certain that the Company will exercise that option. Lease cost for lease payments is recognized on a straight-line basis over the lease term. Certain lease agreements contain lease and non-lease components. The Company accounts for non-lease components as part of the lease component to which they relate.</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Company does not recognize ROU assets and lease liabilities for short-term leases, which have a lease term of twelve months or less and do not include an option to purchase the underlying asset that the Company is reasonably certain to exercise.</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Intangible Assets</w:t>
      </w:r>
    </w:p>
    <w:p>
      <w:pPr>
        <w:spacing w:after="0" w:line="104"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identified in the Acquisition include GRAIL trade names, developed technology, and GRAIL in-process research and development (“IPR&amp;D”) and were measured at fair value as of the Closing Date. Goodwill represents the excess of purchase price paid cost over fair value of the net identifiable assets acquired.</w:t>
      </w:r>
    </w:p>
    <w:p>
      <w:pPr>
        <w:spacing w:after="0" w:line="157"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Company’s trade names, GRAIL and Galleri, have brand recognition in the market related to the services GRAIL provides customers and the research and development activities GRAIL performs. GRAIL’s developed technology includes intangible assets related to Galleri, its multi-cancer early detection test that was launched as a laboratory-developed test (“LDT”) in 2021, as well as a diagnostic aid for cancer (“DAC”) test. The developed technology underpins both Galleri, designed as a cancer screening test for asymptomatic individuals over 50 years of age, and DAC that is being designed to accelerate diagnostic resolution for patients for whom there is a clinical suspicion of cancer. The cost of identifiable intangible assets with finite lives, such as trade names and developed technology assets, are amortized on a straight-line basis over the assets’ respective estimated useful lives of 9 years and 18 years, respectively.</w:t>
      </w:r>
    </w:p>
    <w:p>
      <w:pPr>
        <w:spacing w:after="0" w:line="166"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Company’s IPR&amp;D includes assets related to GRAIL’s development of a minimal residual disease (“MRD”) test, a post-diagnostic test, that is currently under development. IPR&amp;D is considered indefinite lived and therefore is not amortized until completed and placed into service, at which point it will begin to be amortized over its estimated useful life or expensed upon abandonment of the associated research and development efforts.</w:t>
      </w:r>
    </w:p>
    <w:p>
      <w:pPr>
        <w:spacing w:after="0" w:line="157"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While goodwill and IPR&amp;D are not amortized, they are reviewed for impairment at least annually or more frequently if events or circumstances indicate a potential for impairment. Goodwill and IPR&amp;D are considered impaired if the carrying value of the reporting unit or IPR&amp;D asset exceeds its respective fair value.</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We perform our goodwill impairment analysis at the reporting unit level. We have one reporting unit, which aligns with our reporting structure and availability of discrete financial information. During the goodwill</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480"/>
          </w:cols>
          <w:pgMar w:left="320" w:top="419" w:right="109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impairment review, we assess qualitative factors to determine whether it is more likely than not that the fair value of our reporting unit is less than the carrying amount, including goodwill. If we determine that it is not more likely than not that the fair value of our reporting unit is less than the carrying amount, no additional assessment is necessary. If the carrying amount of the reporting unit exceeds its fair value, we record an impairment loss based on the excess. We may elect to bypass the qualitative assessment in a period and proceed to perform the quantitative goodwill impairment test.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Impairment of Long-Lived Assets</w:t>
      </w:r>
    </w:p>
    <w:p>
      <w:pPr>
        <w:spacing w:after="0" w:line="104"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Long-lived assets, other than goodwill and IPR&amp;D (as described above), are evaluated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Should impairment exist, the impairment would be measured as the amount by which the carrying amount of the assets exceeds the fair value of those assets.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Segments</w:t>
      </w:r>
    </w:p>
    <w:p>
      <w:pPr>
        <w:spacing w:after="0" w:line="104"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Company operates and manages its business as one reportable operating segment which provides multi-cancer early detection testing and services. The chief operating decision maker reviews financial information on an aggregate basis for the purposes of evaluating financial performance and allocating the company resources. Substantially all of the Company’s long-lived assets are located in the United States.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Revenue is accounted for in accordance with Topic 606, which provides for a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Revenues are derived from screening and development services.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Screening Revenue</w:t>
      </w:r>
    </w:p>
    <w:p>
      <w:pPr>
        <w:spacing w:after="0" w:line="102"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The Company recognizes screening revenue from the sale of cancer screening testing services for patients. Patients obtain tests via their employers, healthcare systems, payors, concierge medicine practices, life insurance providers or directly via telemedicine. Patients receive the multi-cancer early detection kit after the order is placed and complete the blood draw. The specimen is then sent to the Company’s lab, the test is processed, and the result is electronically delivered to the patients’ physician. The test price is based on the negotiated contractual rate with the Company’s direct customers, otherwise the Company’s standard list price applies. The Company identifies each sale of its test to a customer as a single performance obligation; therefore, revenue is recognized at the point of time when the test result report is delivered. Invoices are generally due within 30 days of receipt.</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the Company has concluded that an implied contract exists, however the transaction price for the implied contract represents variable consideration as there are situations in which the Company is not expected to collect the full invoiced amounts from self-pay patients due to price concessions. The Company utilizes the expected value approach to estimate the transaction price and applies a constraint for such variable consideration, on a portfolio basis. The Company monitors the estimated amounts to be collected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collection period and compares it with the estimated variable consideration for each portfolio and any difference is recognized as an adjustment to estimated revenue after the expected collection period, subject to assessment of the risk of future revenue reversal.</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F-15</w:t>
      </w:r>
    </w:p>
    <w:p>
      <w:pPr>
        <w:sectPr>
          <w:pgSz w:w="11900" w:h="16838" w:orient="portrait"/>
          <w:cols w:equalWidth="0" w:num="1">
            <w:col w:w="10440"/>
          </w:cols>
          <w:pgMar w:left="320" w:top="419" w:right="113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Development Services</w:t>
      </w:r>
    </w:p>
    <w:p>
      <w:pPr>
        <w:spacing w:after="0" w:line="102"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Development services revenue includes development activities performed in partnership with biopharmaceutical companies. The Company’s targeted methylation-based technology enables development of products and services to optimize treatment once a cancer has been diagnosed. Biopharmaceutical partners engage the Company to run pilots and research studies to evaluate and learn about the technology’s application. The Company evaluates the terms and conditions included within its development services contracts with biopharmaceutical customers to ensure appropriate revenue recognition, including whether services are considered distinct performance obligations. The Company first identifies material promises under the contract and then evaluates whether these promises are capable of being distinct within the context of the contract. In assessing whether a promised service is capable of being distinct, the Company considers whether the customer could benefit from the service either on its own or together with other resources that are readily available to the customer, including factors such as the research, development, and commercialization capabilities of a third party as well as the availability of the associated expertise in the general marketplace. For contracts with multiple performance obligations, the transaction price is allocated to the separate performance obligations on a relative standalone selling price basis. The Company determines the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72"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Biopharmaceutical partners engage the Company to run pilot and research studies by sending patient samples and comparing the Company’s test result to their expected result for evaluation of performance and application. The Company recognizes revenue as performance obligations are completed.</w:t>
      </w:r>
    </w:p>
    <w:p>
      <w:pPr>
        <w:spacing w:after="0" w:line="157"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and the Company may enter into development service agreements related to clinical trial and companion diagnostic device development and regulatory submissions for the developed product(s). These agreements typically have multiple commitments of services and therefore have longer performance periods. The Company uses an input method based on costs incurred to measure its progress toward the completion and satisfaction of the performance obligations. The Company assesses the changes to the total expected cost estimates as well as any incremental fees negotiated resulting from changes to the scope of the original contract in determining the revenue recognized at each reporting period. Invoices are generally due within 60 days.</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102"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Deferred revenue, which is a contract liability, consists primarily of payments received in advance of revenue recognition from contracts with customers. For example, pre-payments received from patients for screening testing services and development services and other contracts with biopharmaceutical customers often contain upfront payments which results in the recording of deferred revenue to the extent cash is received prior to the Company’s performance of the related development services. Contract liabilities are relieved as the Company performs its obligations under the contract and revenue is recognized. Deferred revenue was $0.6 million and $1.8 million as of January 1, 2023 and January 2, 2022, respectively, all of which is considered short-term and was recorded within other current liabilities on the accompanying consolidated balance sheets. We did not have deferred revenue prior to the year ended January 2, 2022, as we first began providing services to customers in the year ended January 2, 2022.</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F-16</w:t>
      </w:r>
    </w:p>
    <w:p>
      <w:pPr>
        <w:sectPr>
          <w:pgSz w:w="11900" w:h="16838" w:orient="portrait"/>
          <w:cols w:equalWidth="0" w:num="1">
            <w:col w:w="10460"/>
          </w:cols>
          <w:pgMar w:left="320" w:top="419" w:right="111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Cost of screening revenue generally consists of cost of materials, direct and indirect labor including salaries and wages, bonus, benefits and stock-based compensation, amortization of GRAIL intangible assets, royalty expenses primarily owed under the supply and commercialization agreement with Illumina in the Predecessor period and the Chinese University of Hong Kong in both the Predecessor and Successor periods, third-party support services, shipping and logistics costs, depreciation of equipment and allocated overhead expenses associated with processing specimens received from customers. The royalty obligation under the supply and commercialization agreement with Illumina is currently suspended in the Successor periods. Allocated overhead expenses include rent expenses, amortization of leasehold improvements and information technology costs.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w:t>
      </w:r>
    </w:p>
    <w:p>
      <w:pPr>
        <w:spacing w:after="0" w:line="104"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Cost of development services revenue generally consists of direct and indirect labor including salaries and wages, bonus, benefits and stock-based compensation, cost of materials and patient sample acquisition, amortization of GRAIL intangible assets, royalty expenses primarily owed under the supply and commercialization agreement with Illumina in the Predecessor period, depreciation of equipment, and allocated overhead expenses associated with processing development samples received from biopharmaceutical customers. The royalty obligation under the supply and commercialization agreement with Illumina is currently suspended in the Successor periods. Allocated overhead expenses include rent expense, amortization of leasehold improvements, and information technology costs.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Accrued Clinical Studies and Research and Development Expenses</w:t>
      </w:r>
    </w:p>
    <w:p>
      <w:pPr>
        <w:spacing w:after="0" w:line="104" w:lineRule="exact"/>
        <w:rPr>
          <w:sz w:val="20"/>
          <w:szCs w:val="20"/>
          <w:color w:val="auto"/>
        </w:rPr>
      </w:pPr>
    </w:p>
    <w:p>
      <w:pPr>
        <w:ind w:left="760" w:right="100" w:firstLine="388"/>
        <w:spacing w:after="0" w:line="274" w:lineRule="auto"/>
        <w:rPr>
          <w:sz w:val="20"/>
          <w:szCs w:val="20"/>
          <w:color w:val="auto"/>
        </w:rPr>
      </w:pPr>
      <w:r>
        <w:rPr>
          <w:rFonts w:ascii="Times New Roman" w:cs="Times New Roman" w:eastAsia="Times New Roman" w:hAnsi="Times New Roman"/>
          <w:sz w:val="15"/>
          <w:szCs w:val="15"/>
          <w:color w:val="auto"/>
        </w:rPr>
        <w:t>Estimates of unbilled costs of research and development activities for clinical studies conducted by third-party service providers are accrued. The estimated costs of research and development activities are recorded based upon the estimated amount of services provided. These costs are included in accrued liabilities and accrued liabilities—related parties in the consolidated balance sheets and within research and development and research and development—related parties expenses in the consolidated statements of operations. These costs are a significant component of research and development expenses. The costs are accrued based on factors such as estimates of the work completed and in accordance with agreements established with third-party service providers. The judgments and estimates in determining the accrued liabilities balance are assessed in each reporting period.</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include costs incurred to develop the Company’s technology (prior to establishing technological feasibility), collect clinical samples, and conduct clinical studies to develop and support the Company’s multi-cancer tests. These costs consist of personnel costs, including salaries, benefits, and stock-based compensation expense associated with the research and development personnel, laboratory supplies, consulting costs, costs associated with setting up and conducting clinical studies at domestic and international sites, and allocated overhead expenses including rent, information technology, and equipment depreciation. Both internal and external research and development costs are expensed in the periods in which they are incurred. Research and development—related parties expenses are further discussed in note “9. Related-Party Transactions.” Nonrefundable advance payments for goods and services that will be used or rendered in future research and development activities are deferred and recognized as expense in the period in which the related goods are delivered, or services are performed.</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Advertising Costs</w:t>
      </w:r>
    </w:p>
    <w:p>
      <w:pPr>
        <w:spacing w:after="0" w:line="104" w:lineRule="exact"/>
        <w:rPr>
          <w:sz w:val="20"/>
          <w:szCs w:val="20"/>
          <w:color w:val="auto"/>
        </w:rPr>
      </w:pPr>
    </w:p>
    <w:p>
      <w:pPr>
        <w:ind w:left="760" w:right="600" w:firstLine="388"/>
        <w:spacing w:after="0" w:line="313" w:lineRule="auto"/>
        <w:rPr>
          <w:sz w:val="20"/>
          <w:szCs w:val="20"/>
          <w:color w:val="auto"/>
        </w:rPr>
      </w:pPr>
      <w:r>
        <w:rPr>
          <w:rFonts w:ascii="Times New Roman" w:cs="Times New Roman" w:eastAsia="Times New Roman" w:hAnsi="Times New Roman"/>
          <w:sz w:val="15"/>
          <w:szCs w:val="15"/>
          <w:color w:val="auto"/>
        </w:rPr>
        <w:t>Advertising costs are expensed as incurred. Advertising costs were $24.5 million for the year ended January 1, 2023 and $3.0 million and $4.6 million for the period from August 19, 2021 to January 2, 2022, and the period from January 1, 2021 to August 18, 2021, respectively.</w:t>
      </w:r>
    </w:p>
    <w:p>
      <w:pPr>
        <w:spacing w:after="0" w:line="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480"/>
          </w:cols>
          <w:pgMar w:left="320" w:top="419" w:right="109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 Expense</w:t>
      </w:r>
    </w:p>
    <w:p>
      <w:pPr>
        <w:spacing w:after="0" w:line="104"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Employee stock-based compensation expense includes expenses related to Cash-Based Equity Awards, restricted stock units, and performance stock options.</w:t>
      </w:r>
    </w:p>
    <w:p>
      <w:pPr>
        <w:spacing w:after="0" w:line="14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Our Cash-Based Equity Awards are classified as liability awards, as such awards may be settled in cash. The value of the awards is determined using a calculation and based on advice from independent valuation experts. The fair value of the awards is recorded over the respective vesting periods of the awards, with recognition of a corresponding liability recorded in incentive plan liabilities in the consolidated balance sheets. The awards are remeasured at each reporting date until the awards are settled, with changes in fair value recognized in stock-based compensation expense.</w:t>
      </w:r>
    </w:p>
    <w:p>
      <w:pPr>
        <w:spacing w:after="0" w:line="161"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Acquisition, Illumina issued equity awards to GRAIL employees in exchange for any of their remaining outstanding and unvested GRAIL equity awards (the “Replacement Awards”). The awards consist of restricted stock units and performance stock options that are issued as shares of Illumina common stock at vesting.</w:t>
      </w:r>
    </w:p>
    <w:p>
      <w:pPr>
        <w:spacing w:after="0" w:line="157"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fair value of restricted stock is determined by the closing market price of Illumina’s common stock on the date of grant. Stock-based compensation expense is recognized based on the fair value on a straight-line basis over the requisite service periods of the awards.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fair value of performance stock options with service conditions is determined using the Black-Scholes-Merton option-pricing model. The model assumptions include expected volatility, term, dividends, and the risk-free interest rate. The expected volatility is generally determined by weighing the historical and implied volatility of Illumina’s common stock. The historical volatility is generally commensurate with the estimated expected term, adjusted for the impact of unusual fluctuations and other relevant factors. The implied volatility is calculated from the implied market volatility of exchange-traded call options on Illumina’s common stock. The expected term is generally based on historical forfeiture experience, exercise activity, and on the terms and conditions of the stock awards. Given that Illumina has never declared or paid cash dividends on the Illumina common stock, the expected dividend yield is determined to be 0%. Illumina does not anticipate paying cash dividends in the near future. The risk-free interest rate is based upon U.S. Treasury securities with remaining terms similar to the expected term of the stock-based awards. The fair value of the awards begins to be recognized when it is probable that the performance-based condition will be met.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Forfeitures are accounted for, as incurred, as a reversal of stock-based compensation expense related to awards that will not vest.</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the Predecessor period, stock-based compensation expense for awards containing both performance and market-based conditions was recorded using the accelerated attribution method. Management used the Monte Carlo simulation to determine the fair value at the grant date and recognized stock-based compensation expense over the derived service period when it became probable that the performance-based condition will be met. Under the Monte Carlo simulation, stock returns were simulated to estimate the payouts established by the vesting conditions of the awards and an estimated time that the awards will vest. The assumptions used in the Monte Carlo simulation included: the fair value of common stock, estimating the length of time employees will retain their vested stock options before exercising them (expected term), the estimated volatility of the common stock price over the expected term (expected volatility), the risk-free interest rate and expected dividends.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Defined Contribution Plan</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Company sponsors a defined contribution plan under Section 401(k) (the “401(k) Plan”) of the Internal Revenue Code covering eligible employees. Employer contributions made to the 401(k) Plan are voluntary and are determined annually by the board of directors on an individual basis subject to the maximum allowable amount under federal tax regulations. The Company has not made contributions to the 401(k) Plan since inception of the plan.</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F-18</w:t>
      </w:r>
    </w:p>
    <w:p>
      <w:pPr>
        <w:sectPr>
          <w:pgSz w:w="11900" w:h="16838" w:orient="portrait"/>
          <w:cols w:equalWidth="0" w:num="1">
            <w:col w:w="10460"/>
          </w:cols>
          <w:pgMar w:left="320" w:top="419" w:right="111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Provision for (Benefit from) Income Taxes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Upon closing of the merger, as a single member limited liability company wholly owned by Illumina, GRAIL, LLC is no longer subject to U.S. income tax as a separate entity for the Successor periods ended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various tax attributes, such as net operating losses and tax credits, are also presented on a separate return basis. For income tax purposes, since GRAIL, LLC is not a separate taxpayer and merely a disregarded entity of Illumina, these U.S. tax attributes, including net operating losses and tax credits, are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6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The provision for income taxes is computed using the asset and liability method, under which deferred tax assets and liabilities are recognized for the expected future tax consequences of temporary differences between the financial reporting and tax bases of assets and liabilities, and for the expected future tax benefit to be derived from tax loss and credit carryforwards. Deferred tax assets and liabilities are determined using the enacted tax rates in effect for the years in which those tax assets are expected to be realized. The effect of a change in tax rates on deferred tax assets and liabilities is recognized in the provision for income taxes in the period that includes the enactment date.</w:t>
      </w:r>
    </w:p>
    <w:p>
      <w:pPr>
        <w:spacing w:after="0" w:line="16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Deferred tax assets are regularly assessed to determine the likelihood they will be recovered from future taxable income. A valuation allowance is established when we believe it is more likely than not the future realization of all or some of a deferred tax asset will not be achieved. In evaluating the ability to recover deferred tax assets within the jurisdiction in which they arise, we consider all available positive and negative evidence. Factors reviewed include the cumulative pre-tax book income for the past three years, scheduled reversals of deferred tax liabilities, history of earnings and reliable forecasting, projections of pre-tax book income over the foreseeable future, and the impact of any feasible and prudent tax planning strategies.</w:t>
      </w:r>
    </w:p>
    <w:p>
      <w:pPr>
        <w:spacing w:after="0" w:line="165"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impact of a tax position is recognized in the consolidated financial statements only if that position is more likely than not of being sustained upon examination by taxing authorities, based on the technical merits of the position. Any interest and penalties related to uncertain tax positions will be reflected in income tax expense (benefit).</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104" w:lineRule="exact"/>
        <w:rPr>
          <w:sz w:val="20"/>
          <w:szCs w:val="20"/>
          <w:color w:val="auto"/>
        </w:rPr>
      </w:pPr>
    </w:p>
    <w:p>
      <w:pPr>
        <w:ind w:left="760" w:right="100" w:firstLine="388"/>
        <w:spacing w:after="0" w:line="273" w:lineRule="auto"/>
        <w:rPr>
          <w:sz w:val="20"/>
          <w:szCs w:val="20"/>
          <w:color w:val="auto"/>
        </w:rPr>
      </w:pPr>
      <w:r>
        <w:rPr>
          <w:rFonts w:ascii="Times New Roman" w:cs="Times New Roman" w:eastAsia="Times New Roman" w:hAnsi="Times New Roman"/>
          <w:sz w:val="15"/>
          <w:szCs w:val="15"/>
          <w:color w:val="auto"/>
        </w:rPr>
        <w:t>The functional currencies of foreign subsidiaries are the British Pound and the Hong Kong Dollar. Adjustments resulting from translating the financial statements of the United Kingdom and Hong Kong subsidiaries into U.S. Dollars are recorded as a component of other comprehensive loss in the consolidated statements of comprehensive loss. Monetary assets and liabilities denominated in a foreign currency are translated into U.S. Dollars at the exchange rate on the balance sheet date. Revenues and expenses are translated at the weighted-average exchange rates during the period. Equity transactions are translated using historical exchange rates. Gains and losses resulting from translation of foreign currency monetary transactions are reported in other income (expense), net in the consolidated statements of operations and comprehensive loss. Gains and losses resulting from foreign currency transactions that are deemed to be of a long-term investment nature are reported as a separate component of other comprehensive loss.</w:t>
      </w:r>
    </w:p>
    <w:p>
      <w:pPr>
        <w:spacing w:after="0" w:line="9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F-19</w:t>
      </w:r>
    </w:p>
    <w:p>
      <w:pPr>
        <w:sectPr>
          <w:pgSz w:w="11900" w:h="16838" w:orient="portrait"/>
          <w:cols w:equalWidth="0" w:num="1">
            <w:col w:w="10460"/>
          </w:cols>
          <w:pgMar w:left="320" w:top="418" w:right="111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3. GRAIL ACQUISITION, GOODWILL AND INTANGIBLE ASSETS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GRAIL Acquisition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 August 18, 2021, Illumina completed its acquisition of GRAIL, Inc. The total purchase price consisted of the following:</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2,861,837</w:t>
            </w:r>
          </w:p>
        </w:tc>
        <w:tc>
          <w:tcPr>
            <w:tcW w:w="60" w:type="dxa"/>
            <w:vAlign w:val="bottom"/>
            <w:shd w:val="clear" w:color="auto" w:fill="CCEEFF"/>
          </w:tcPr>
          <w:p>
            <w:pPr>
              <w:spacing w:after="0"/>
              <w:rPr>
                <w:sz w:val="16"/>
                <w:szCs w:val="16"/>
                <w:color w:val="auto"/>
              </w:rPr>
            </w:pP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common stock issued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4,975,416</w:t>
            </w:r>
          </w:p>
        </w:tc>
        <w:tc>
          <w:tcPr>
            <w:tcW w:w="6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contingent consideration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757,140</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previously held investment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1,149,374</w:t>
            </w:r>
          </w:p>
        </w:tc>
        <w:tc>
          <w:tcPr>
            <w:tcW w:w="6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preexisting relationships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1,710</w:t>
            </w:r>
          </w:p>
        </w:tc>
      </w:tr>
      <w:tr>
        <w:trPr>
          <w:trHeight w:val="194"/>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9,745,477</w:t>
            </w:r>
          </w:p>
        </w:tc>
        <w:tc>
          <w:tcPr>
            <w:tcW w:w="6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Acquisition accelerated the vesting of certain outstanding and unvested equity awards of GRAIL. Refer to note “8. Stock Incentive Awards” for further details on the accelerated vesting of the equity awards.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fair values of GRAIL, Inc.’s assets acquired and liabilities assumed were:</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571,205</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89,486</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121,104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Goodwill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6,197,833</w:t>
            </w:r>
          </w:p>
        </w:tc>
        <w:tc>
          <w:tcPr>
            <w:tcW w:w="10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3,120,000</w:t>
            </w:r>
          </w:p>
        </w:tc>
        <w:tc>
          <w:tcPr>
            <w:tcW w:w="100" w:type="dxa"/>
            <w:vAlign w:val="bottom"/>
            <w:shd w:val="clear" w:color="auto" w:fill="CCEEFF"/>
          </w:tcPr>
          <w:p>
            <w:pPr>
              <w:spacing w:after="0"/>
              <w:rPr>
                <w:sz w:val="16"/>
                <w:szCs w:val="16"/>
                <w:color w:val="auto"/>
              </w:rPr>
            </w:pP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20,172</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 net (1)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(127,614)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(97,333)</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(149,376)</w:t>
            </w:r>
          </w:p>
        </w:tc>
      </w:tr>
      <w:tr>
        <w:trPr>
          <w:trHeight w:val="194"/>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net assets acquired</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9,745,477</w:t>
            </w:r>
          </w:p>
        </w:tc>
        <w:tc>
          <w:tcPr>
            <w:tcW w:w="10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1140" w:right="80" w:hanging="371"/>
        <w:spacing w:after="0" w:line="263" w:lineRule="auto"/>
        <w:tabs>
          <w:tab w:leader="none" w:pos="114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adjustments were made to deferred tax liability, net, as a result of re-calculating the provision on a stand-alone basis as compared to Illumina’s consolidated reporting, resulting in an increase in goodwill and an increase in deferred tax liability, net, as compared to that calculated by Illumina.</w:t>
      </w:r>
    </w:p>
    <w:p>
      <w:pPr>
        <w:spacing w:after="0" w:line="157"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transaction costs associated with the Acquisition consisted primarily of legal, regulatory, and financial advisory fees of approximately $82.3 million, which were expensed as incurred as general and administrative expense in 2021.</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Unaudited Pro Forma Financial Information</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following unaudited pro forma financial information summarizes the combined results of operations of GRAIL as if the Acquisition had been completed on January 1, 2021.</w:t>
      </w:r>
    </w:p>
    <w:p>
      <w:pPr>
        <w:spacing w:after="0" w:line="145"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0" w:type="dxa"/>
            <w:vAlign w:val="bottom"/>
          </w:tcPr>
          <w:p>
            <w:pPr>
              <w:spacing w:after="0"/>
              <w:rPr>
                <w:sz w:val="1"/>
                <w:szCs w:val="1"/>
                <w:color w:val="auto"/>
              </w:rPr>
            </w:pPr>
          </w:p>
        </w:tc>
      </w:tr>
      <w:tr>
        <w:trPr>
          <w:trHeight w:val="153"/>
        </w:trPr>
        <w:tc>
          <w:tcPr>
            <w:tcW w:w="56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Revenue (1)</w:t>
            </w:r>
          </w:p>
        </w:tc>
        <w:tc>
          <w:tcPr>
            <w:tcW w:w="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14,612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(1,318,098)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64770</wp:posOffset>
            </wp:positionV>
            <wp:extent cx="680085"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13" w:lineRule="exact"/>
        <w:rPr>
          <w:sz w:val="20"/>
          <w:szCs w:val="20"/>
          <w:color w:val="auto"/>
        </w:rPr>
      </w:pPr>
    </w:p>
    <w:p>
      <w:pPr>
        <w:ind w:left="1140" w:hanging="371"/>
        <w:spacing w:after="0"/>
        <w:tabs>
          <w:tab w:leader="none" w:pos="114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revenue—related parties.</w:t>
      </w:r>
    </w:p>
    <w:p>
      <w:pPr>
        <w:spacing w:after="0" w:line="197"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unaudited pro forma financial information is presented for information purposes only and is not indicative of the results of operations that would have been achieved had the Acquisition been completed on January 1, 2021. In addition, the unaudited pro forma financial information is not a projection of future</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F-20</w:t>
      </w:r>
    </w:p>
    <w:p>
      <w:pPr>
        <w:sectPr>
          <w:pgSz w:w="11900" w:h="16838" w:orient="portrait"/>
          <w:cols w:equalWidth="0" w:num="1">
            <w:col w:w="10420"/>
          </w:cols>
          <w:pgMar w:left="320" w:top="419" w:right="115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results of operations of the Company. The unaudited pro forma financial information includes adjustments to reflect incremental amortization expense of the identifiable intangible assets acquired and the related tax effect.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Goodwill Impairment</w:t>
      </w:r>
    </w:p>
    <w:p>
      <w:pPr>
        <w:spacing w:after="0" w:line="104"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excess of purchase price paid over fair value of the net identifiable assets acquired and is primarily attributable to assembled workforce, expanded market opportunities, and expected synergies to be achieved. Goodwill is not deductible for tax purposes.</w:t>
      </w:r>
    </w:p>
    <w:p>
      <w:pPr>
        <w:spacing w:after="0" w:line="145"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22.0%. These estimates and assumptions represent a Level 3 measurement because they include unobservable inputs that are supported by little or no market activity and reflect self-determined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w:t>
      </w:r>
    </w:p>
    <w:p>
      <w:pPr>
        <w:spacing w:after="0" w:line="158"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The Company recognized a goodwill impairment of $4.7 billion as a result of the impairment assessment, primarily due to the negative impact of capital market conditions and a higher discount rate selected for the fair value calculation.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recognized as part of the Acquisition include developed technologies, trade name and IPR&amp;D that were measured at fair value as of the Closing Date. The following roll-forward indicates the fair values assigned to identifiable assets from the Acquisition and the resulting amortization:</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6"/>
              </w:rPr>
              <w:t>In-process</w:t>
            </w:r>
          </w:p>
        </w:tc>
        <w:tc>
          <w:tcPr>
            <w:tcW w:w="20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Developed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Research and</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Trade Name</w:t>
            </w:r>
          </w:p>
        </w:tc>
        <w:tc>
          <w:tcPr>
            <w:tcW w:w="200" w:type="dxa"/>
            <w:vAlign w:val="bottom"/>
          </w:tcPr>
          <w:p>
            <w:pPr>
              <w:spacing w:after="0"/>
              <w:rPr>
                <w:sz w:val="11"/>
                <w:szCs w:val="11"/>
                <w:color w:val="auto"/>
              </w:rPr>
            </w:pPr>
          </w:p>
        </w:tc>
        <w:tc>
          <w:tcPr>
            <w:tcW w:w="940" w:type="dxa"/>
            <w:vAlign w:val="bottom"/>
            <w:gridSpan w:val="3"/>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Development</w:t>
            </w:r>
          </w:p>
        </w:tc>
        <w:tc>
          <w:tcPr>
            <w:tcW w:w="200" w:type="dxa"/>
            <w:vAlign w:val="bottom"/>
          </w:tcPr>
          <w:p>
            <w:pPr>
              <w:spacing w:after="0"/>
              <w:rPr>
                <w:sz w:val="11"/>
                <w:szCs w:val="11"/>
                <w:color w:val="auto"/>
              </w:rPr>
            </w:pPr>
          </w:p>
        </w:tc>
        <w:tc>
          <w:tcPr>
            <w:tcW w:w="8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0" w:type="dxa"/>
            <w:vAlign w:val="bottom"/>
          </w:tcPr>
          <w:p>
            <w:pPr>
              <w:spacing w:after="0"/>
              <w:rPr>
                <w:sz w:val="1"/>
                <w:szCs w:val="1"/>
                <w:color w:val="auto"/>
              </w:rPr>
            </w:pPr>
          </w:p>
        </w:tc>
      </w:tr>
      <w:tr>
        <w:trPr>
          <w:trHeight w:val="153"/>
        </w:trPr>
        <w:tc>
          <w:tcPr>
            <w:tcW w:w="4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1"/>
              </w:rPr>
              <w:t>Technologies</w:t>
            </w:r>
          </w:p>
        </w:tc>
        <w:tc>
          <w:tcPr>
            <w:tcW w:w="9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(IPR&amp;D)</w:t>
            </w:r>
          </w:p>
        </w:tc>
        <w:tc>
          <w:tcPr>
            <w:tcW w:w="20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0" w:type="dxa"/>
            <w:vAlign w:val="bottom"/>
          </w:tcPr>
          <w:p>
            <w:pPr>
              <w:spacing w:after="0"/>
              <w:rPr>
                <w:sz w:val="1"/>
                <w:szCs w:val="1"/>
                <w:color w:val="auto"/>
              </w:rPr>
            </w:pPr>
          </w:p>
        </w:tc>
      </w:tr>
      <w:tr>
        <w:trPr>
          <w:trHeight w:val="170"/>
        </w:trPr>
        <w:tc>
          <w:tcPr>
            <w:tcW w:w="46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Beginning balance as of August 19, 2021</w:t>
            </w: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Gross carrying amount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7"/>
              </w:rPr>
              <w:t>$2,410,000</w:t>
            </w:r>
          </w:p>
        </w:tc>
        <w:tc>
          <w:tcPr>
            <w:tcW w:w="4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670,000</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$3,120,000</w:t>
            </w: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w:t>
            </w:r>
          </w:p>
        </w:tc>
        <w:tc>
          <w:tcPr>
            <w:tcW w:w="11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(44,630)</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(1,481)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(46,111)</w:t>
            </w:r>
          </w:p>
        </w:tc>
        <w:tc>
          <w:tcPr>
            <w:tcW w:w="0" w:type="dxa"/>
            <w:vAlign w:val="bottom"/>
          </w:tcPr>
          <w:p>
            <w:pPr>
              <w:spacing w:after="0"/>
              <w:rPr>
                <w:sz w:val="1"/>
                <w:szCs w:val="1"/>
                <w:color w:val="auto"/>
              </w:rPr>
            </w:pPr>
          </w:p>
        </w:tc>
      </w:tr>
      <w:tr>
        <w:trPr>
          <w:trHeight w:val="194"/>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2, 2022</w:t>
            </w:r>
          </w:p>
        </w:tc>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2,365,370</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38,519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3,073,889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w:t>
            </w:r>
          </w:p>
        </w:tc>
        <w:tc>
          <w:tcPr>
            <w:tcW w:w="11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1, 2023</w:t>
            </w:r>
          </w:p>
        </w:tc>
        <w:tc>
          <w:tcPr>
            <w:tcW w:w="20" w:type="dxa"/>
            <w:vAlign w:val="bottom"/>
            <w:tcBorders>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4"/>
              </w:rPr>
              <w:t>$</w:t>
            </w:r>
            <w:r>
              <w:rPr>
                <w:rFonts w:ascii="Times New Roman" w:cs="Times New Roman" w:eastAsia="Times New Roman" w:hAnsi="Times New Roman"/>
                <w:sz w:val="16"/>
                <w:szCs w:val="16"/>
                <w:b w:val="1"/>
                <w:bCs w:val="1"/>
                <w:color w:val="auto"/>
                <w:w w:val="94"/>
              </w:rPr>
              <w:t>2,231,481</w:t>
            </w:r>
          </w:p>
        </w:tc>
        <w:tc>
          <w:tcPr>
            <w:tcW w:w="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34,075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2,935,556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760" w:right="360" w:firstLine="388"/>
        <w:spacing w:after="0" w:line="289" w:lineRule="auto"/>
        <w:rPr>
          <w:sz w:val="20"/>
          <w:szCs w:val="20"/>
          <w:color w:val="auto"/>
        </w:rPr>
      </w:pPr>
      <w:r>
        <w:rPr>
          <w:rFonts w:ascii="Times New Roman" w:cs="Times New Roman" w:eastAsia="Times New Roman" w:hAnsi="Times New Roman"/>
          <w:sz w:val="15"/>
          <w:szCs w:val="15"/>
          <w:color w:val="auto"/>
        </w:rPr>
        <w:t>The fair values of the developed technologies, trade name and IPR&amp;D were estimated using an income approach, under which an intangible asset’s fair value is equal to the present value of future economic benefits to be derived from ownership of the asset. The estimated fair values were developed by discounting future net cash flows to their present value at market-based rates of return and inclusive of an assumption for technology</w:t>
      </w:r>
    </w:p>
    <w:p>
      <w:pPr>
        <w:spacing w:after="0" w:line="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F-21</w:t>
      </w:r>
    </w:p>
    <w:p>
      <w:pPr>
        <w:sectPr>
          <w:pgSz w:w="11900" w:h="16838" w:orient="portrait"/>
          <w:cols w:equalWidth="0" w:num="1">
            <w:col w:w="10480"/>
          </w:cols>
          <w:pgMar w:left="320" w:top="419" w:right="109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6"/>
          <w:szCs w:val="16"/>
          <w:color w:val="auto"/>
        </w:rPr>
        <w:t>obsolescence.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developed technology and trade name assets are amortized on a straight-line basis over their estimated useful lives. As of January 1, 2023, the research and development project had not been completed or abandoned. The IPR&amp;D intangible asset is not currently subject to amortization.</w:t>
      </w:r>
    </w:p>
    <w:p>
      <w:pPr>
        <w:spacing w:after="0" w:line="165" w:lineRule="exact"/>
        <w:rPr>
          <w:sz w:val="20"/>
          <w:szCs w:val="20"/>
          <w:color w:val="auto"/>
        </w:rPr>
      </w:pPr>
    </w:p>
    <w:p>
      <w:pPr>
        <w:ind w:left="760" w:firstLine="388"/>
        <w:spacing w:after="0" w:line="271" w:lineRule="auto"/>
        <w:rPr>
          <w:sz w:val="20"/>
          <w:szCs w:val="20"/>
          <w:color w:val="auto"/>
        </w:rPr>
      </w:pPr>
      <w:r>
        <w:rPr>
          <w:rFonts w:ascii="Times New Roman" w:cs="Times New Roman" w:eastAsia="Times New Roman" w:hAnsi="Times New Roman"/>
          <w:sz w:val="15"/>
          <w:szCs w:val="15"/>
          <w:color w:val="auto"/>
        </w:rPr>
        <w:t>In conjunction with the goodwill impairment assessment, the IPR&amp;D intangible asset was evaluated for potential impairment. The evaluation and assessment for a potential impairment of the IPR&amp;D intangible asset was performed by comparing its carrying value to the assessed estimated fair value, which was determined by the income approach, using a discounted cash flow model. Estimates and assumptions used in the income approach included projected cash flows and a discount rate. These estimates and assumptions represent a Level 3 measurement because they include unobservable inputs that are supported by little or no market activity and reflect self-determined and judgmental factors for these assumptions in measuring a fair value. Based on our impairment test, the carrying value of the IPR&amp;D intangible asset did not exceed its estimated fair value. As a result, no impairment for the IPR&amp;D intangible asset was recorded. A recoverability test for the definite-lived intangible assets, which includes developed technology and trade name, was also performed. Based on the assessment performed, no impairment was noted for the definite-lived intangibles.</w:t>
      </w:r>
    </w:p>
    <w:p>
      <w:pPr>
        <w:spacing w:after="0" w:line="155" w:lineRule="exact"/>
        <w:rPr>
          <w:sz w:val="20"/>
          <w:szCs w:val="20"/>
          <w:color w:val="auto"/>
        </w:rPr>
      </w:pPr>
    </w:p>
    <w:p>
      <w:pPr>
        <w:ind w:left="760" w:right="460" w:firstLine="388"/>
        <w:spacing w:after="0" w:line="313" w:lineRule="auto"/>
        <w:rPr>
          <w:sz w:val="20"/>
          <w:szCs w:val="20"/>
          <w:color w:val="auto"/>
        </w:rPr>
      </w:pPr>
      <w:r>
        <w:rPr>
          <w:rFonts w:ascii="Times New Roman" w:cs="Times New Roman" w:eastAsia="Times New Roman" w:hAnsi="Times New Roman"/>
          <w:sz w:val="15"/>
          <w:szCs w:val="15"/>
          <w:color w:val="auto"/>
        </w:rPr>
        <w:t>The estimated future annual amortization of finite-lived intangible assets is shown in the following table. Actual amortization expense to be reported in future periods could differ from these estimates as a result of acquisitions, divestitures, and asset impairments, among other factors.</w:t>
      </w:r>
    </w:p>
    <w:p>
      <w:pPr>
        <w:spacing w:after="0" w:line="121"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38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86"/>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right w:val="single" w:sz="8" w:color="CCEE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138,333</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1,573,891</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2,265,556</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4. REVENUE RECOGNITION</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6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900" w:type="dxa"/>
            <w:vAlign w:val="bottom"/>
            <w:gridSpan w:val="7"/>
          </w:tcPr>
          <w:p>
            <w:pPr>
              <w:ind w:left="400"/>
              <w:spacing w:after="0"/>
              <w:rPr>
                <w:sz w:val="20"/>
                <w:szCs w:val="20"/>
                <w:color w:val="auto"/>
              </w:rPr>
            </w:pPr>
            <w:r>
              <w:rPr>
                <w:rFonts w:ascii="Times New Roman" w:cs="Times New Roman" w:eastAsia="Times New Roman" w:hAnsi="Times New Roman"/>
                <w:sz w:val="16"/>
                <w:szCs w:val="16"/>
                <w:color w:val="auto"/>
                <w:w w:val="99"/>
              </w:rPr>
              <w:t>The following table presents our customer revenues disaggregated by revenue source: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920" w:type="dxa"/>
            <w:vAlign w:val="bottom"/>
            <w:tcBorders>
              <w:top w:val="single" w:sz="8" w:color="auto"/>
            </w:tcBorders>
            <w:gridSpan w:val="3"/>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3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68"/>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640" w:type="dxa"/>
            <w:vAlign w:val="bottom"/>
            <w:gridSpan w:val="3"/>
            <w:vMerge w:val="restart"/>
          </w:tcPr>
          <w:p>
            <w:pPr>
              <w:ind w:left="78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304"/>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3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4640" w:type="dxa"/>
            <w:vAlign w:val="bottom"/>
            <w:gridSpan w:val="3"/>
            <w:vMerge w:val="continue"/>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4"/>
              </w:rPr>
              <w:t>January 2, 2022</w:t>
            </w:r>
          </w:p>
        </w:tc>
        <w:tc>
          <w:tcPr>
            <w:tcW w:w="3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left="485"/>
              <w:spacing w:after="0"/>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384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Screening</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39,123</w:t>
            </w:r>
          </w:p>
        </w:tc>
        <w:tc>
          <w:tcPr>
            <w:tcW w:w="4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7,074</w:t>
            </w:r>
          </w:p>
        </w:tc>
        <w:tc>
          <w:tcPr>
            <w:tcW w:w="3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1,953</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Screening—related parties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3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Development services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3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38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55,550</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12,433</w:t>
            </w:r>
          </w:p>
        </w:tc>
        <w:tc>
          <w:tcPr>
            <w:tcW w:w="3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All of the Company’s revenues were generated in the United States.</w:t>
      </w:r>
    </w:p>
    <w:p>
      <w:pPr>
        <w:spacing w:after="0" w:line="1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F-22</w:t>
      </w:r>
    </w:p>
    <w:p>
      <w:pPr>
        <w:sectPr>
          <w:pgSz w:w="11900" w:h="16838" w:orient="portrait"/>
          <w:cols w:equalWidth="0" w:num="1">
            <w:col w:w="10480"/>
          </w:cols>
          <w:pgMar w:left="320" w:top="419" w:right="109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5. BALANCE SHEET COMPONENTS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present financial information of certain consolidated balance sheets components: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40" w:type="dxa"/>
            <w:vAlign w:val="bottom"/>
          </w:tcPr>
          <w:p>
            <w:pPr>
              <w:spacing w:after="0"/>
              <w:rPr>
                <w:sz w:val="12"/>
                <w:szCs w:val="12"/>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2,</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2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and maintenance</w:t>
            </w:r>
          </w:p>
        </w:tc>
        <w:tc>
          <w:tcPr>
            <w:tcW w:w="2340" w:type="dxa"/>
            <w:vAlign w:val="bottom"/>
            <w:gridSpan w:val="5"/>
          </w:tcPr>
          <w:p>
            <w:pPr>
              <w:ind w:left="224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6"/>
                <w:szCs w:val="16"/>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1,676</w:t>
            </w:r>
          </w:p>
        </w:tc>
        <w:tc>
          <w:tcPr>
            <w:tcW w:w="440" w:type="dxa"/>
            <w:vAlign w:val="bottom"/>
          </w:tcPr>
          <w:p>
            <w:pPr>
              <w:spacing w:after="0"/>
              <w:rPr>
                <w:sz w:val="16"/>
                <w:szCs w:val="16"/>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5,975</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3,280</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747</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other</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6,119</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3,104</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3,056</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Indirect taxes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prepaid expenses and other current assets</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$ 18,655</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8,193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180" w:type="dxa"/>
            <w:vAlign w:val="bottom"/>
          </w:tcPr>
          <w:p>
            <w:pPr>
              <w:spacing w:after="0"/>
              <w:rPr>
                <w:sz w:val="24"/>
                <w:szCs w:val="24"/>
                <w:color w:val="auto"/>
              </w:rPr>
            </w:pPr>
          </w:p>
        </w:tc>
        <w:tc>
          <w:tcPr>
            <w:tcW w:w="114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2,</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300" w:type="dxa"/>
            <w:vAlign w:val="bottom"/>
            <w:gridSpan w:val="4"/>
          </w:tcPr>
          <w:p>
            <w:pPr>
              <w:ind w:left="2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36,740</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w w:val="99"/>
              </w:rPr>
              <w:t>$ 13,246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5,213</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3,414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2,044</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55,384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55,183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10,219</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22,099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180" w:type="dxa"/>
            <w:vAlign w:val="bottom"/>
          </w:tcPr>
          <w:p>
            <w:pPr>
              <w:spacing w:after="0"/>
              <w:rPr>
                <w:sz w:val="16"/>
                <w:szCs w:val="16"/>
                <w:color w:val="auto"/>
              </w:rPr>
            </w:pPr>
          </w:p>
        </w:tc>
        <w:tc>
          <w:tcPr>
            <w:tcW w:w="62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109,848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95,481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8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(18,347)</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(5,169)</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2180" w:type="dxa"/>
            <w:vAlign w:val="bottom"/>
          </w:tcPr>
          <w:p>
            <w:pPr>
              <w:spacing w:after="0"/>
              <w:rPr>
                <w:sz w:val="16"/>
                <w:szCs w:val="16"/>
                <w:color w:val="auto"/>
              </w:rPr>
            </w:pPr>
          </w:p>
        </w:tc>
        <w:tc>
          <w:tcPr>
            <w:tcW w:w="1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91,501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$ 90,312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2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2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3,171</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(656)</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218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4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2,</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2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3320" w:type="dxa"/>
            <w:vAlign w:val="bottom"/>
            <w:gridSpan w:val="10"/>
          </w:tcPr>
          <w:p>
            <w:pPr>
              <w:jc w:val="right"/>
              <w:ind w:right="440"/>
              <w:spacing w:after="0"/>
              <w:rPr>
                <w:sz w:val="20"/>
                <w:szCs w:val="20"/>
                <w:color w:val="auto"/>
              </w:rPr>
            </w:pPr>
            <w:r>
              <w:rPr>
                <w:rFonts w:ascii="Times New Roman" w:cs="Times New Roman" w:eastAsia="Times New Roman" w:hAnsi="Times New Roman"/>
                <w:sz w:val="16"/>
                <w:szCs w:val="16"/>
                <w:color w:val="auto"/>
              </w:rPr>
              <w:t>$ 38,169</w:t>
            </w:r>
          </w:p>
        </w:tc>
        <w:tc>
          <w:tcPr>
            <w:tcW w:w="6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$ 26,565</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and professional expenses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4,195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Accrued clinical studies expenses</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6,109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1,865</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 expenses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6,204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8,549</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Accrued marketing</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1,662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other expenses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8,623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7,988</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w:t>
            </w:r>
          </w:p>
        </w:tc>
        <w:tc>
          <w:tcPr>
            <w:tcW w:w="2300" w:type="dxa"/>
            <w:vAlign w:val="bottom"/>
            <w:gridSpan w:val="4"/>
          </w:tcPr>
          <w:p>
            <w:pPr>
              <w:spacing w:after="0"/>
              <w:rPr>
                <w:sz w:val="16"/>
                <w:szCs w:val="16"/>
                <w:color w:val="auto"/>
              </w:rPr>
            </w:pPr>
          </w:p>
        </w:tc>
        <w:tc>
          <w:tcPr>
            <w:tcW w:w="5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$ 64,962</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$ 48,334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Accrued liabilities—related parties</w:t>
            </w:r>
          </w:p>
        </w:tc>
        <w:tc>
          <w:tcPr>
            <w:tcW w:w="2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Accrued purchases</w:t>
            </w:r>
          </w:p>
        </w:tc>
        <w:tc>
          <w:tcPr>
            <w:tcW w:w="23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to Illumina</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liabilities—related parties</w:t>
            </w:r>
          </w:p>
        </w:tc>
        <w:tc>
          <w:tcPr>
            <w:tcW w:w="2300" w:type="dxa"/>
            <w:vAlign w:val="bottom"/>
            <w:gridSpan w:val="4"/>
          </w:tcPr>
          <w:p>
            <w:pPr>
              <w:spacing w:after="0"/>
              <w:rPr>
                <w:sz w:val="16"/>
                <w:szCs w:val="16"/>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2,517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80" w:type="dxa"/>
            <w:vAlign w:val="bottom"/>
          </w:tcPr>
          <w:p>
            <w:pPr>
              <w:spacing w:after="0"/>
              <w:rPr>
                <w:sz w:val="24"/>
                <w:szCs w:val="24"/>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F-23</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19" w:right="1440"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6. LEASES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Company has entered into operating leases for facilities and equipment used for research and development. Operating leases have remaining lease terms which range from 1 year to 11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the Company. The Company also has variable lease payments that are primarily comprised of common area maintenance and utility charges.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cost components of lease costs are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320" w:type="dxa"/>
            <w:vAlign w:val="bottom"/>
            <w:tcBorders>
              <w:top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3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68"/>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304"/>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3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4240" w:type="dxa"/>
            <w:vAlign w:val="bottom"/>
            <w:gridSpan w:val="3"/>
            <w:vMerge w:val="continue"/>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3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6"/>
          </w:tcPr>
          <w:p>
            <w:pPr>
              <w:jc w:val="center"/>
              <w:ind w:left="409"/>
              <w:spacing w:after="0"/>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384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Operating lease costs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23,055</w:t>
            </w: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7,747</w:t>
            </w:r>
          </w:p>
        </w:tc>
        <w:tc>
          <w:tcPr>
            <w:tcW w:w="360" w:type="dxa"/>
            <w:vAlign w:val="bottom"/>
            <w:tcBorders>
              <w:top w:val="single" w:sz="8" w:color="CCEEFF"/>
              <w:right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7,287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4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36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26,134</w:t>
            </w:r>
          </w:p>
        </w:tc>
        <w:tc>
          <w:tcPr>
            <w:tcW w:w="460" w:type="dxa"/>
            <w:vAlign w:val="bottom"/>
          </w:tcPr>
          <w:p>
            <w:pPr>
              <w:spacing w:after="0"/>
              <w:rPr>
                <w:sz w:val="16"/>
                <w:szCs w:val="16"/>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9,075</w:t>
            </w:r>
          </w:p>
        </w:tc>
        <w:tc>
          <w:tcPr>
            <w:tcW w:w="3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60" w:type="dxa"/>
            <w:vAlign w:val="bottom"/>
            <w:gridSpan w:val="2"/>
          </w:tcPr>
          <w:p>
            <w:pPr>
              <w:spacing w:after="0"/>
              <w:rPr>
                <w:sz w:val="3"/>
                <w:szCs w:val="3"/>
                <w:color w:val="auto"/>
              </w:rPr>
            </w:pPr>
          </w:p>
        </w:tc>
        <w:tc>
          <w:tcPr>
            <w:tcW w:w="3100" w:type="dxa"/>
            <w:vAlign w:val="bottom"/>
            <w:gridSpan w:val="2"/>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6420" w:type="dxa"/>
            <w:vAlign w:val="bottom"/>
            <w:gridSpan w:val="9"/>
          </w:tcPr>
          <w:p>
            <w:pPr>
              <w:jc w:val="right"/>
              <w:ind w:right="124"/>
              <w:spacing w:after="0"/>
              <w:rPr>
                <w:sz w:val="20"/>
                <w:szCs w:val="20"/>
                <w:color w:val="auto"/>
              </w:rPr>
            </w:pPr>
            <w:r>
              <w:rPr>
                <w:rFonts w:ascii="Times New Roman" w:cs="Times New Roman" w:eastAsia="Times New Roman" w:hAnsi="Times New Roman"/>
                <w:sz w:val="16"/>
                <w:szCs w:val="16"/>
                <w:color w:val="auto"/>
                <w:w w:val="98"/>
              </w:rPr>
              <w:t>Future undiscounted lease payments under operating leases as of January 1, 2023 were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0" w:type="dxa"/>
            <w:vAlign w:val="bottom"/>
          </w:tcPr>
          <w:p>
            <w:pPr>
              <w:spacing w:after="0"/>
              <w:rPr>
                <w:sz w:val="24"/>
                <w:szCs w:val="24"/>
                <w:color w:val="auto"/>
              </w:rPr>
            </w:pPr>
          </w:p>
        </w:tc>
        <w:tc>
          <w:tcPr>
            <w:tcW w:w="38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4"/>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gridSpan w:val="2"/>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$ 17,140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17,714</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15,384</w:t>
            </w:r>
          </w:p>
        </w:tc>
        <w:tc>
          <w:tcPr>
            <w:tcW w:w="8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13,672</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7,640</w:t>
            </w:r>
          </w:p>
        </w:tc>
        <w:tc>
          <w:tcPr>
            <w:tcW w:w="8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47,916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$119,466</w:t>
            </w:r>
          </w:p>
        </w:tc>
        <w:tc>
          <w:tcPr>
            <w:tcW w:w="8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Tenant improvement allowance*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384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$ 96,010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960" w:right="180" w:hanging="191"/>
        <w:spacing w:after="0" w:line="278" w:lineRule="auto"/>
        <w:tabs>
          <w:tab w:leader="none" w:pos="960" w:val="left"/>
        </w:tabs>
        <w:numPr>
          <w:ilvl w:val="0"/>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improvement allowance is estimated to be received as follows: approximately $1.8 million in 2023, $0.9 million in 2024, and $9.1 million thereafter.</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7. COMMITMENTS AND CONTINGENCIES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future non-lease commitments over the next five years and thereafter were as follows:</w:t>
      </w:r>
    </w:p>
    <w:p>
      <w:pPr>
        <w:spacing w:after="0" w:line="21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As of January 1, 2023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380" w:type="dxa"/>
            <w:vAlign w:val="bottom"/>
          </w:tcPr>
          <w:p>
            <w:pPr>
              <w:spacing w:after="0"/>
              <w:rPr>
                <w:sz w:val="8"/>
                <w:szCs w:val="8"/>
                <w:color w:val="auto"/>
              </w:rPr>
            </w:pPr>
          </w:p>
        </w:tc>
        <w:tc>
          <w:tcPr>
            <w:tcW w:w="1180" w:type="dxa"/>
            <w:vAlign w:val="bottom"/>
            <w:gridSpan w:val="3"/>
          </w:tcPr>
          <w:p>
            <w:pPr>
              <w:jc w:val="right"/>
              <w:ind w:right="40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Purchase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Royalties</w:t>
            </w:r>
          </w:p>
        </w:tc>
        <w:tc>
          <w:tcPr>
            <w:tcW w:w="380" w:type="dxa"/>
            <w:vAlign w:val="bottom"/>
          </w:tcPr>
          <w:p>
            <w:pPr>
              <w:spacing w:after="0"/>
              <w:rPr>
                <w:sz w:val="13"/>
                <w:szCs w:val="13"/>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3"/>
              </w:rPr>
              <w:t>Commitments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Borders>
              <w:top w:val="single" w:sz="8" w:color="CCEEFF"/>
            </w:tcBorders>
            <w:shd w:val="clear" w:color="auto" w:fill="CCEEFF"/>
          </w:tcPr>
          <w:p>
            <w:pPr>
              <w:jc w:val="center"/>
              <w:ind w:right="1221"/>
              <w:spacing w:after="0" w:line="182" w:lineRule="exact"/>
              <w:rPr>
                <w:sz w:val="20"/>
                <w:szCs w:val="20"/>
                <w:color w:val="auto"/>
              </w:rPr>
            </w:pPr>
            <w:r>
              <w:rPr>
                <w:rFonts w:ascii="Times New Roman" w:cs="Times New Roman" w:eastAsia="Times New Roman" w:hAnsi="Times New Roman"/>
                <w:sz w:val="16"/>
                <w:szCs w:val="16"/>
                <w:color w:val="auto"/>
                <w:w w:val="99"/>
              </w:rPr>
              <w:t>2023</w:t>
            </w:r>
          </w:p>
        </w:tc>
        <w:tc>
          <w:tcPr>
            <w:tcW w:w="1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1,075</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15,889</w:t>
            </w: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16,964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tcPr>
          <w:p>
            <w:pPr>
              <w:jc w:val="center"/>
              <w:ind w:right="1221"/>
              <w:spacing w:after="0"/>
              <w:rPr>
                <w:sz w:val="20"/>
                <w:szCs w:val="20"/>
                <w:color w:val="auto"/>
              </w:rPr>
            </w:pPr>
            <w:r>
              <w:rPr>
                <w:rFonts w:ascii="Times New Roman" w:cs="Times New Roman" w:eastAsia="Times New Roman" w:hAnsi="Times New Roman"/>
                <w:sz w:val="16"/>
                <w:szCs w:val="16"/>
                <w:color w:val="auto"/>
                <w:w w:val="99"/>
              </w:rPr>
              <w:t>2024</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17,921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18,996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shd w:val="clear" w:color="auto" w:fill="CCEEFF"/>
          </w:tcPr>
          <w:p>
            <w:pPr>
              <w:jc w:val="center"/>
              <w:ind w:right="1221"/>
              <w:spacing w:after="0"/>
              <w:rPr>
                <w:sz w:val="20"/>
                <w:szCs w:val="20"/>
                <w:color w:val="auto"/>
              </w:rPr>
            </w:pPr>
            <w:r>
              <w:rPr>
                <w:rFonts w:ascii="Times New Roman" w:cs="Times New Roman" w:eastAsia="Times New Roman" w:hAnsi="Times New Roman"/>
                <w:sz w:val="16"/>
                <w:szCs w:val="16"/>
                <w:color w:val="auto"/>
                <w:w w:val="99"/>
              </w:rPr>
              <w:t>2025</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1,075</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20,034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tcPr>
          <w:p>
            <w:pPr>
              <w:jc w:val="center"/>
              <w:ind w:right="1221"/>
              <w:spacing w:after="0"/>
              <w:rPr>
                <w:sz w:val="20"/>
                <w:szCs w:val="20"/>
                <w:color w:val="auto"/>
              </w:rPr>
            </w:pPr>
            <w:r>
              <w:rPr>
                <w:rFonts w:ascii="Times New Roman" w:cs="Times New Roman" w:eastAsia="Times New Roman" w:hAnsi="Times New Roman"/>
                <w:sz w:val="16"/>
                <w:szCs w:val="16"/>
                <w:color w:val="auto"/>
                <w:w w:val="99"/>
              </w:rPr>
              <w:t>2026</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21,167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22,242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shd w:val="clear" w:color="auto" w:fill="CCEEFF"/>
          </w:tcPr>
          <w:p>
            <w:pPr>
              <w:jc w:val="center"/>
              <w:ind w:right="1221"/>
              <w:spacing w:after="0"/>
              <w:rPr>
                <w:sz w:val="20"/>
                <w:szCs w:val="20"/>
                <w:color w:val="auto"/>
              </w:rPr>
            </w:pPr>
            <w:r>
              <w:rPr>
                <w:rFonts w:ascii="Times New Roman" w:cs="Times New Roman" w:eastAsia="Times New Roman" w:hAnsi="Times New Roman"/>
                <w:sz w:val="16"/>
                <w:szCs w:val="16"/>
                <w:color w:val="auto"/>
                <w:w w:val="99"/>
              </w:rPr>
              <w:t>2027</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1,075</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16,339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tcPr>
          <w:p>
            <w:pPr>
              <w:jc w:val="center"/>
              <w:ind w:right="1181"/>
              <w:spacing w:after="0"/>
              <w:rPr>
                <w:sz w:val="20"/>
                <w:szCs w:val="20"/>
                <w:color w:val="auto"/>
              </w:rPr>
            </w:pPr>
            <w:r>
              <w:rPr>
                <w:rFonts w:ascii="Times New Roman" w:cs="Times New Roman" w:eastAsia="Times New Roman" w:hAnsi="Times New Roman"/>
                <w:sz w:val="16"/>
                <w:szCs w:val="16"/>
                <w:color w:val="auto"/>
                <w:w w:val="95"/>
              </w:rPr>
              <w:t>Thereafter</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4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8,900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91,350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100,250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4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F-24</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9" w:right="119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Minimum Royalty Commitments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w:t>
      </w:r>
    </w:p>
    <w:p>
      <w:pPr>
        <w:spacing w:after="0" w:line="197" w:lineRule="exact"/>
        <w:rPr>
          <w:sz w:val="20"/>
          <w:szCs w:val="20"/>
          <w:color w:val="auto"/>
        </w:rPr>
      </w:pPr>
    </w:p>
    <w:p>
      <w:pPr>
        <w:jc w:val="both"/>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table above includes minimum annual royalty payments but does not include royalties that would be payable on net sales of Galleri, and any future products, pursuant to existing agreements and licenses with Illumina, the Chinese University of Hong Kong, and other third parties in excess of minimum annual royalty payments.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104" w:lineRule="exact"/>
        <w:rPr>
          <w:sz w:val="20"/>
          <w:szCs w:val="20"/>
          <w:color w:val="auto"/>
        </w:rPr>
      </w:pPr>
    </w:p>
    <w:p>
      <w:pPr>
        <w:jc w:val="both"/>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purchase commitments primarily relate to contractual commitments for future use of web services, laboratory supplies and marketing events in the normal course of business.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Intellectual Property</w:t>
      </w:r>
    </w:p>
    <w:p>
      <w:pPr>
        <w:spacing w:after="0" w:line="199"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The Company entered into an agreement with a third party for exclusive option rights to certain intellectual property. The Company exercised those option rights to license intellectual property in December 2022. Under the terms of the agreement, the Company may be obligated to make future milestone payments if certain milestone events, such as new product launches or expansion into new regions, are achieved with respect to products covered by the licensed intellectual property. No such milestones were achieved or probable of achievement as of January 1, 2023.</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Company has agreed to indemnify its directors and officers for certain events or occurrences while the director or officer is (or was) serving in such capacity. The indemnification period covers all pertinent events and occurrences during the director’s or officer’s service. The maximum potential amount of future payments the Company could be required to make under the applicable indemnification agreements is not specified in the agreements.</w:t>
      </w:r>
    </w:p>
    <w:p>
      <w:pPr>
        <w:spacing w:after="0" w:line="13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the Company’s technology. The term of these indemnification agreements is generally perpetual after the execution of the agreement. The maximum potential amount of future payments that the Company could be required to make under these arrangements is not determinable. The Company has not incurred costs to defend lawsuits or settle claims related to these indemnification agreements. As a result, the Company believes the estimated fair value of these agreements is minimal.</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480"/>
          </w:cols>
          <w:pgMar w:left="320" w:top="419" w:right="109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8. STOCK INCENTIVE AWARDS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04"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Stock-based compensation expense, which includes expense for both equity and liability-classified awards, reported in our consolidated statements of operations was as follows: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4"/>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vMerge w:val="continue"/>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2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color w:val="auto"/>
              </w:rPr>
              <w:t>(in thousands)</w:t>
            </w:r>
          </w:p>
        </w:tc>
        <w:tc>
          <w:tcPr>
            <w:tcW w:w="4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42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 to</w:t>
            </w:r>
          </w:p>
        </w:tc>
        <w:tc>
          <w:tcPr>
            <w:tcW w:w="38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24"/>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28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2023 (1)</w:t>
            </w:r>
          </w:p>
        </w:tc>
        <w:tc>
          <w:tcPr>
            <w:tcW w:w="160" w:type="dxa"/>
            <w:vAlign w:val="bottom"/>
          </w:tcPr>
          <w:p>
            <w:pPr>
              <w:spacing w:after="0"/>
              <w:rPr>
                <w:sz w:val="13"/>
                <w:szCs w:val="13"/>
                <w:color w:val="auto"/>
              </w:rPr>
            </w:pPr>
          </w:p>
        </w:tc>
        <w:tc>
          <w:tcPr>
            <w:tcW w:w="14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 (2)</w:t>
            </w:r>
          </w:p>
        </w:tc>
        <w:tc>
          <w:tcPr>
            <w:tcW w:w="78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388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Cost of revenue (exclusive of amortization of acquired</w:t>
            </w:r>
          </w:p>
        </w:tc>
        <w:tc>
          <w:tcPr>
            <w:tcW w:w="4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right w:val="single" w:sz="8" w:color="auto"/>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3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957</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150</w:t>
            </w:r>
          </w:p>
        </w:tc>
        <w:tc>
          <w:tcPr>
            <w:tcW w:w="8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34,859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189,767</w:t>
            </w:r>
          </w:p>
        </w:tc>
        <w:tc>
          <w:tcPr>
            <w:tcW w:w="38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11,232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75,419</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28,681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384,924</w:t>
            </w:r>
          </w:p>
        </w:tc>
        <w:tc>
          <w:tcPr>
            <w:tcW w:w="38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 before taxes</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75,729</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650,260</w:t>
            </w:r>
          </w:p>
        </w:tc>
        <w:tc>
          <w:tcPr>
            <w:tcW w:w="38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31,647</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income tax benefits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(18,046)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(155,510)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 net of taxes</w:t>
            </w:r>
          </w:p>
        </w:tc>
        <w:tc>
          <w:tcPr>
            <w:tcW w:w="420" w:type="dxa"/>
            <w:vAlign w:val="bottom"/>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57,683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494,750</w:t>
            </w:r>
          </w:p>
        </w:tc>
        <w:tc>
          <w:tcPr>
            <w:tcW w:w="38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24,040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40" w:hanging="371"/>
        <w:spacing w:after="0"/>
        <w:tabs>
          <w:tab w:leader="none" w:pos="114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$65.8 million related to the Cash-Based Equity Awards and $9.9 million related to the Replacement Awards.</w:t>
      </w:r>
    </w:p>
    <w:p>
      <w:pPr>
        <w:spacing w:after="0" w:line="23" w:lineRule="exact"/>
        <w:rPr>
          <w:rFonts w:ascii="Times New Roman" w:cs="Times New Roman" w:eastAsia="Times New Roman" w:hAnsi="Times New Roman"/>
          <w:sz w:val="16"/>
          <w:szCs w:val="16"/>
          <w:color w:val="auto"/>
        </w:rPr>
      </w:pPr>
    </w:p>
    <w:p>
      <w:pPr>
        <w:ind w:left="1140" w:right="540" w:hanging="371"/>
        <w:spacing w:after="0" w:line="256" w:lineRule="auto"/>
        <w:tabs>
          <w:tab w:leader="none" w:pos="114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$11.1 million related to the Cash-Based Equity Awards, $24.1 million related to the Replacement Awards and $615.0 million of accelerated equity awards attributable to the Post-Combination period.</w:t>
      </w:r>
    </w:p>
    <w:p>
      <w:pPr>
        <w:spacing w:after="0" w:line="254"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Liability-Classified Awards</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Established following the Acquisition, a cash-based equity incentive award (the “Cash-Based Equity Award”) was adopted to provide GRAIL, LLC employees with dollar-denominated long-term incentive awards that increase or decrease in value based on corresponding changes in GRAIL’s calculated equity value, similar to a dollar-denominated restricted stock unit award determined in accordance with the award agreement. The Company uses independent valuation experts and analyses to value the awards, which requires various assumptions to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Cash-Based Equity Awards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August 19, 2021</w:t>
            </w:r>
          </w:p>
        </w:tc>
        <w:tc>
          <w:tcPr>
            <w:tcW w:w="0" w:type="dxa"/>
            <w:vAlign w:val="bottom"/>
          </w:tcPr>
          <w:p>
            <w:pPr>
              <w:spacing w:after="0"/>
              <w:rPr>
                <w:sz w:val="1"/>
                <w:szCs w:val="1"/>
                <w:color w:val="auto"/>
              </w:rPr>
            </w:pPr>
          </w:p>
        </w:tc>
      </w:tr>
      <w:tr>
        <w:trPr>
          <w:trHeight w:val="131"/>
        </w:trPr>
        <w:tc>
          <w:tcPr>
            <w:tcW w:w="4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4720" w:type="dxa"/>
            <w:vAlign w:val="bottom"/>
            <w:vMerge w:val="continue"/>
          </w:tcPr>
          <w:p>
            <w:pPr>
              <w:spacing w:after="0"/>
              <w:rPr>
                <w:sz w:val="13"/>
                <w:szCs w:val="13"/>
                <w:color w:val="auto"/>
              </w:rPr>
            </w:pPr>
          </w:p>
        </w:tc>
        <w:tc>
          <w:tcPr>
            <w:tcW w:w="1680" w:type="dxa"/>
            <w:vAlign w:val="bottom"/>
            <w:gridSpan w:val="3"/>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82"/>
        </w:trPr>
        <w:tc>
          <w:tcPr>
            <w:tcW w:w="4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Beginning balance</w:t>
            </w: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184,532</w:t>
            </w:r>
          </w:p>
        </w:tc>
        <w:tc>
          <w:tcPr>
            <w:tcW w:w="8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CEEFF"/>
          </w:tcPr>
          <w:p>
            <w:pPr>
              <w:jc w:val="right"/>
              <w:ind w:right="3"/>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168,065</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217,776</w:t>
            </w:r>
          </w:p>
        </w:tc>
        <w:tc>
          <w:tcPr>
            <w:tcW w:w="0" w:type="dxa"/>
            <w:vAlign w:val="bottom"/>
          </w:tcPr>
          <w:p>
            <w:pPr>
              <w:spacing w:after="0"/>
              <w:rPr>
                <w:sz w:val="1"/>
                <w:szCs w:val="1"/>
                <w:color w:val="auto"/>
              </w:rPr>
            </w:pPr>
          </w:p>
        </w:tc>
      </w:tr>
      <w:tr>
        <w:trPr>
          <w:trHeight w:val="19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Cancelled</w:t>
            </w: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(40,937)</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(41,898)</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Vested and paid in cash</w:t>
            </w:r>
          </w:p>
        </w:tc>
        <w:tc>
          <w:tcPr>
            <w:tcW w:w="80" w:type="dxa"/>
            <w:vAlign w:val="bottom"/>
          </w:tcPr>
          <w:p>
            <w:pPr>
              <w:spacing w:after="0"/>
              <w:rPr>
                <w:sz w:val="16"/>
                <w:szCs w:val="16"/>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(41,009)</w:t>
            </w:r>
          </w:p>
        </w:tc>
        <w:tc>
          <w:tcPr>
            <w:tcW w:w="2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22,708</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8,654</w:t>
            </w:r>
          </w:p>
        </w:tc>
        <w:tc>
          <w:tcPr>
            <w:tcW w:w="0" w:type="dxa"/>
            <w:vAlign w:val="bottom"/>
          </w:tcPr>
          <w:p>
            <w:pPr>
              <w:spacing w:after="0"/>
              <w:rPr>
                <w:sz w:val="1"/>
                <w:szCs w:val="1"/>
                <w:color w:val="auto"/>
              </w:rPr>
            </w:pPr>
          </w:p>
        </w:tc>
      </w:tr>
      <w:tr>
        <w:trPr>
          <w:trHeight w:val="194"/>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balance</w:t>
            </w: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6"/>
              </w:rPr>
              <w:t>$293,359</w:t>
            </w:r>
          </w:p>
        </w:tc>
        <w:tc>
          <w:tcPr>
            <w:tcW w:w="8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184,532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Company’s estimated incentive plan liabilities as of January 1, 2023 and January 2, 2022 were $35.9 million and $11.1 million, respectively. As of January 1, 2023, approximately $257.4 million of total unrecognized compensation cost related to awards issued to date was expected to be recognized over a weighted-average period of approximately 3.1 years.</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360"/>
          </w:cols>
          <w:pgMar w:left="320" w:top="419" w:right="121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January 1, 2023, it was not probable that the performance conditions associated with the award will be achieved and, therefore, no stock-based compensation expense, or corresponding liability, has been recognized in the consolidated financial statements to date.</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Accelerated Awards at Acquisition and Replacement Awards</w:t>
      </w:r>
    </w:p>
    <w:p>
      <w:pPr>
        <w:spacing w:after="0" w:line="104"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Acquisition, the vesting of certain outstanding and unvested equity awards was accelerated. The fair value of the accelerated awards attributable to the Post-Combination period and recognized in connection with this event was $615.0 million.</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Illumina issued Replacement Awards to GRAIL employees in exchange for any of their remaining outstanding and unvested GRAIL equity awards as of the Closing Date. The Replacement Awards, granted under Illumina’s 2015 Stock and Incentive Compensation Plan (the 2015 Stock Plan), consist of restricted stock units and performance stock options that are issued as shares of Illumina common stock at vesting. RSUs generally vest over a two-year period with equal vesting quarterly. The terms of the Replacement Awards are substantially similar to the former GRAIL equity awards for which they were exchanged. The fair value of the Replacement Awards was $47.5 million, all of which is attributable to Post-Combination service, and will be recognized as stock-based compensation expense over the remaining vesting period subsequent to the acquisition. The weighted-average acquisition-date fair value of the replacement performance stock options was determined using the Black-Scholes option pricing model with the following assumptions: (i) market price of $510.61 per share, which was the closing price of Illumina’s common stock on the Closing Date;</w:t>
      </w:r>
    </w:p>
    <w:p>
      <w:pPr>
        <w:spacing w:after="0" w:line="1" w:lineRule="exact"/>
        <w:rPr>
          <w:sz w:val="20"/>
          <w:szCs w:val="20"/>
          <w:color w:val="auto"/>
        </w:rPr>
      </w:pPr>
    </w:p>
    <w:p>
      <w:pPr>
        <w:jc w:val="both"/>
        <w:ind w:left="760" w:right="40" w:firstLine="9"/>
        <w:spacing w:after="0" w:line="252" w:lineRule="auto"/>
        <w:tabs>
          <w:tab w:leader="none" w:pos="993"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weighted-average expected term ranging from 1.6 years to 2.2 years; (iii) weighted-average risk-free interest rate ranging from 0.17% to 0.28%; (iv) weighted-average annualized volatility ranging from 40% to 43%; and (v) no dividend yield. The weighted-average acquisition-date fair value per share of the replaced performance stock options was $424.39.</w:t>
      </w:r>
    </w:p>
    <w:p>
      <w:pPr>
        <w:spacing w:after="0" w:line="165"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As of January 1, 2023, approximately $4.3 million of total unrecognized compensation cost related to restricted stock and performance stock options was expected to be recognized over a weighted-average period of approximately 3.1 years.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Replacement award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4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Grant-Date Fair</w:t>
            </w:r>
          </w:p>
        </w:tc>
        <w:tc>
          <w:tcPr>
            <w:tcW w:w="0" w:type="dxa"/>
            <w:vAlign w:val="bottom"/>
          </w:tcPr>
          <w:p>
            <w:pPr>
              <w:spacing w:after="0"/>
              <w:rPr>
                <w:sz w:val="1"/>
                <w:szCs w:val="1"/>
                <w:color w:val="auto"/>
              </w:rPr>
            </w:pPr>
          </w:p>
        </w:tc>
      </w:tr>
      <w:tr>
        <w:trPr>
          <w:trHeight w:val="153"/>
        </w:trPr>
        <w:tc>
          <w:tcPr>
            <w:tcW w:w="3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380" w:type="dxa"/>
            <w:vAlign w:val="bottom"/>
          </w:tcPr>
          <w:p>
            <w:pPr>
              <w:spacing w:after="0"/>
              <w:rPr>
                <w:sz w:val="13"/>
                <w:szCs w:val="13"/>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Stock Units</w:t>
            </w:r>
          </w:p>
        </w:tc>
        <w:tc>
          <w:tcPr>
            <w:tcW w:w="420" w:type="dxa"/>
            <w:vAlign w:val="bottom"/>
          </w:tcPr>
          <w:p>
            <w:pPr>
              <w:spacing w:after="0"/>
              <w:rPr>
                <w:sz w:val="13"/>
                <w:szCs w:val="13"/>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Value per Share</w:t>
            </w:r>
          </w:p>
        </w:tc>
        <w:tc>
          <w:tcPr>
            <w:tcW w:w="0" w:type="dxa"/>
            <w:vAlign w:val="bottom"/>
          </w:tcPr>
          <w:p>
            <w:pPr>
              <w:spacing w:after="0"/>
              <w:rPr>
                <w:sz w:val="1"/>
                <w:szCs w:val="1"/>
                <w:color w:val="auto"/>
              </w:rPr>
            </w:pPr>
          </w:p>
        </w:tc>
      </w:tr>
      <w:tr>
        <w:trPr>
          <w:trHeight w:val="123"/>
        </w:trPr>
        <w:tc>
          <w:tcPr>
            <w:tcW w:w="3400" w:type="dxa"/>
            <w:vAlign w:val="bottom"/>
            <w:tcBorders>
              <w:bottom w:val="single" w:sz="8" w:color="CCEEFF"/>
            </w:tcBorders>
            <w:vMerge w:val="continue"/>
          </w:tcPr>
          <w:p>
            <w:pPr>
              <w:spacing w:after="0"/>
              <w:rPr>
                <w:sz w:val="10"/>
                <w:szCs w:val="10"/>
                <w:color w:val="auto"/>
              </w:rPr>
            </w:pPr>
          </w:p>
        </w:tc>
        <w:tc>
          <w:tcPr>
            <w:tcW w:w="138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9"/>
              </w:rPr>
              <w:t>RSU</w:t>
            </w:r>
          </w:p>
        </w:tc>
        <w:tc>
          <w:tcPr>
            <w:tcW w:w="50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143"/>
              <w:spacing w:after="0" w:line="123" w:lineRule="exact"/>
              <w:rPr>
                <w:sz w:val="20"/>
                <w:szCs w:val="20"/>
                <w:color w:val="auto"/>
              </w:rPr>
            </w:pPr>
            <w:r>
              <w:rPr>
                <w:rFonts w:ascii="Times New Roman" w:cs="Times New Roman" w:eastAsia="Times New Roman" w:hAnsi="Times New Roman"/>
                <w:sz w:val="13"/>
                <w:szCs w:val="13"/>
                <w:b w:val="1"/>
                <w:bCs w:val="1"/>
                <w:color w:val="auto"/>
                <w:w w:val="99"/>
              </w:rPr>
              <w:t>RSU</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4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1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Awarded</w:t>
            </w:r>
          </w:p>
        </w:tc>
        <w:tc>
          <w:tcPr>
            <w:tcW w:w="25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59</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3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138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the beginning of January 2, 2022</w:t>
            </w:r>
          </w:p>
        </w:tc>
        <w:tc>
          <w:tcPr>
            <w:tcW w:w="13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47</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(39)</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Cancelled</w:t>
            </w:r>
          </w:p>
        </w:tc>
        <w:tc>
          <w:tcPr>
            <w:tcW w:w="2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201"/>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13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50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510.61</w:t>
            </w:r>
          </w:p>
        </w:tc>
        <w:tc>
          <w:tcPr>
            <w:tcW w:w="0" w:type="dxa"/>
            <w:vAlign w:val="bottom"/>
          </w:tcPr>
          <w:p>
            <w:pPr>
              <w:spacing w:after="0"/>
              <w:rPr>
                <w:sz w:val="1"/>
                <w:szCs w:val="1"/>
                <w:color w:val="auto"/>
              </w:rPr>
            </w:pPr>
          </w:p>
        </w:tc>
      </w:tr>
      <w:tr>
        <w:trPr>
          <w:trHeight w:val="315"/>
        </w:trPr>
        <w:tc>
          <w:tcPr>
            <w:tcW w:w="3400" w:type="dxa"/>
            <w:vAlign w:val="bottom"/>
          </w:tcPr>
          <w:p>
            <w:pPr>
              <w:spacing w:after="0"/>
              <w:rPr>
                <w:sz w:val="24"/>
                <w:szCs w:val="24"/>
                <w:color w:val="auto"/>
              </w:rPr>
            </w:pPr>
          </w:p>
        </w:tc>
        <w:tc>
          <w:tcPr>
            <w:tcW w:w="2500" w:type="dxa"/>
            <w:vAlign w:val="bottom"/>
            <w:gridSpan w:val="3"/>
          </w:tcPr>
          <w:p>
            <w:pPr>
              <w:jc w:val="right"/>
              <w:ind w:right="2060"/>
              <w:spacing w:after="0"/>
              <w:rPr>
                <w:sz w:val="20"/>
                <w:szCs w:val="20"/>
                <w:color w:val="auto"/>
              </w:rPr>
            </w:pPr>
            <w:r>
              <w:rPr>
                <w:rFonts w:ascii="Times New Roman" w:cs="Times New Roman" w:eastAsia="Times New Roman" w:hAnsi="Times New Roman"/>
                <w:sz w:val="16"/>
                <w:szCs w:val="16"/>
                <w:color w:val="auto"/>
              </w:rPr>
              <w:t>F-27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19" w:right="111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Pre-tax intrinsic value and fair value of vested restricted stock was as follows: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8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r>
      <w:tr>
        <w:trPr>
          <w:trHeight w:val="182"/>
        </w:trPr>
        <w:tc>
          <w:tcPr>
            <w:tcW w:w="48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Pre-tax intrinsic value of outstanding restricted stock</w:t>
            </w: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488</w:t>
            </w:r>
          </w:p>
        </w:tc>
        <w:tc>
          <w:tcPr>
            <w:tcW w:w="7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17,746</w:t>
            </w:r>
          </w:p>
        </w:tc>
        <w:tc>
          <w:tcPr>
            <w:tcW w:w="60" w:type="dxa"/>
            <w:vAlign w:val="bottom"/>
            <w:tcBorders>
              <w:top w:val="single" w:sz="8" w:color="CCEEFF"/>
            </w:tcBorders>
            <w:shd w:val="clear" w:color="auto" w:fill="CCEEFF"/>
          </w:tcPr>
          <w:p>
            <w:pPr>
              <w:spacing w:after="0"/>
              <w:rPr>
                <w:sz w:val="15"/>
                <w:szCs w:val="15"/>
                <w:color w:val="auto"/>
              </w:rPr>
            </w:pPr>
          </w:p>
        </w:tc>
      </w:tr>
      <w:tr>
        <w:trPr>
          <w:trHeight w:val="207"/>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restricted stock vested</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10,967</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2,838</w:t>
            </w:r>
          </w:p>
        </w:tc>
      </w:tr>
    </w:tbl>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Performance Stock Options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46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53"/>
        </w:trPr>
        <w:tc>
          <w:tcPr>
            <w:tcW w:w="4560" w:type="dxa"/>
            <w:vAlign w:val="bottom"/>
            <w:vMerge w:val="continue"/>
          </w:tcPr>
          <w:p>
            <w:pPr>
              <w:spacing w:after="0"/>
              <w:rPr>
                <w:sz w:val="13"/>
                <w:szCs w:val="13"/>
                <w:color w:val="auto"/>
              </w:rPr>
            </w:pPr>
          </w:p>
        </w:tc>
        <w:tc>
          <w:tcPr>
            <w:tcW w:w="130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w w:val="96"/>
              </w:rPr>
              <w:t>Stock Options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182"/>
        </w:trPr>
        <w:tc>
          <w:tcPr>
            <w:tcW w:w="45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780" w:type="dxa"/>
            <w:vAlign w:val="bottom"/>
            <w:tcBorders>
              <w:top w:val="single" w:sz="8" w:color="auto"/>
            </w:tcBorders>
            <w:shd w:val="clear" w:color="auto" w:fill="CCEEFF"/>
          </w:tcPr>
          <w:p>
            <w:pPr>
              <w:jc w:val="right"/>
              <w:ind w:right="5"/>
              <w:spacing w:after="0" w:line="18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center"/>
              <w:ind w:left="503"/>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500" w:type="dxa"/>
            <w:vAlign w:val="bottom"/>
          </w:tcPr>
          <w:p>
            <w:pPr>
              <w:spacing w:after="0"/>
              <w:rPr>
                <w:sz w:val="16"/>
                <w:szCs w:val="16"/>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left="403"/>
              <w:spacing w:after="0"/>
              <w:rPr>
                <w:sz w:val="20"/>
                <w:szCs w:val="20"/>
                <w:color w:val="auto"/>
              </w:rPr>
            </w:pPr>
            <w:r>
              <w:rPr>
                <w:rFonts w:ascii="Times New Roman" w:cs="Times New Roman" w:eastAsia="Times New Roman" w:hAnsi="Times New Roman"/>
                <w:sz w:val="16"/>
                <w:szCs w:val="16"/>
                <w:color w:val="auto"/>
                <w:w w:val="99"/>
              </w:rPr>
              <w:t>86.73</w:t>
            </w:r>
          </w:p>
        </w:tc>
        <w:tc>
          <w:tcPr>
            <w:tcW w:w="0" w:type="dxa"/>
            <w:vAlign w:val="bottom"/>
          </w:tcPr>
          <w:p>
            <w:pPr>
              <w:spacing w:after="0"/>
              <w:rPr>
                <w:sz w:val="1"/>
                <w:szCs w:val="1"/>
                <w:color w:val="auto"/>
              </w:rPr>
            </w:pPr>
          </w:p>
        </w:tc>
      </w:tr>
      <w:tr>
        <w:trPr>
          <w:trHeight w:val="19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(21)</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6"/>
                <w:szCs w:val="16"/>
                <w:color w:val="auto"/>
                <w:w w:val="99"/>
              </w:rPr>
              <w:t>86.72</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Cancelled</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(10)</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left="403"/>
              <w:spacing w:after="0"/>
              <w:rPr>
                <w:sz w:val="20"/>
                <w:szCs w:val="20"/>
                <w:color w:val="auto"/>
              </w:rPr>
            </w:pPr>
            <w:r>
              <w:rPr>
                <w:rFonts w:ascii="Times New Roman" w:cs="Times New Roman" w:eastAsia="Times New Roman" w:hAnsi="Times New Roman"/>
                <w:sz w:val="16"/>
                <w:szCs w:val="16"/>
                <w:color w:val="auto"/>
                <w:w w:val="99"/>
              </w:rPr>
              <w:t>89.63</w:t>
            </w:r>
          </w:p>
        </w:tc>
        <w:tc>
          <w:tcPr>
            <w:tcW w:w="0" w:type="dxa"/>
            <w:vAlign w:val="bottom"/>
          </w:tcPr>
          <w:p>
            <w:pPr>
              <w:spacing w:after="0"/>
              <w:rPr>
                <w:sz w:val="1"/>
                <w:szCs w:val="1"/>
                <w:color w:val="auto"/>
              </w:rPr>
            </w:pPr>
          </w:p>
        </w:tc>
      </w:tr>
      <w:tr>
        <w:trPr>
          <w:trHeight w:val="19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the beginning of January 2,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6"/>
                <w:szCs w:val="16"/>
                <w:color w:val="auto"/>
                <w:w w:val="99"/>
              </w:rPr>
              <w:t>85.54</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2"/>
          </w:tcPr>
          <w:p>
            <w:pPr>
              <w:jc w:val="center"/>
              <w:ind w:left="403"/>
              <w:spacing w:after="0"/>
              <w:rPr>
                <w:sz w:val="20"/>
                <w:szCs w:val="20"/>
                <w:color w:val="auto"/>
              </w:rPr>
            </w:pPr>
            <w:r>
              <w:rPr>
                <w:rFonts w:ascii="Times New Roman" w:cs="Times New Roman" w:eastAsia="Times New Roman" w:hAnsi="Times New Roman"/>
                <w:sz w:val="16"/>
                <w:szCs w:val="16"/>
                <w:b w:val="1"/>
                <w:bCs w:val="1"/>
                <w:color w:val="auto"/>
                <w:w w:val="99"/>
              </w:rPr>
              <w:t>85.54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There were no outstanding performance stock options exercisable as of January 1, 2023. The aggregate intrinsic value of performance stock options outstanding as of January 1, 2023 and January 2, 2022 was $3.3 million and $6.3 million, respectively. The total intrinsic value of performance stock options exercised was $6.3 million in 2021. Outstanding performance stock options, in general, have contractual terms of ten years from the respective grant dates. The performance stock options generally vest monthly over three years upon the achievement of Company-specified performance targets and subject to continued service through the applicable vesting date.</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Predecessor Period Awards</w:t>
      </w:r>
    </w:p>
    <w:p>
      <w:pPr>
        <w:spacing w:after="0" w:line="104"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During the Predecessor period, the Company granted awards under the GRAIL, Inc. 2016 Amended Equity Incentive Plan (the “2016 Plan”) as well as incentive awards not under the 2016 Plan (the “Non-Plan Equity Incentive Awards”). The Company’s 2016 Plan allowed for the grant of awards in the form of: (i) incentive stock options, (ii) nonqualified stock options; (iii) stock appreciation rights; (iv) RSAs; (v) RSUs; and (vi) unrestricted stock. Directors, employees, and consultants were eligible to participate in the 2016 Plan.</w:t>
      </w:r>
    </w:p>
    <w:p>
      <w:pPr>
        <w:spacing w:after="0" w:line="161"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Acquisition, a portion of the unvested stock options and RSUs under the 2016 Plan and Non-Plan Equity Incentive Awards were accelerated and vested. GRAIL, Inc.’s 2016 Plan and Non-Plan Equity Incentive Awards were then cancelled, with any remaining unvested equity awards replaced with equity awards issued by Illumina. Refer to the Replacement Awards section of this disclosure for a further discussion of these Replacement Awards.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F-28</w:t>
      </w:r>
    </w:p>
    <w:p>
      <w:pPr>
        <w:sectPr>
          <w:pgSz w:w="11900" w:h="16838" w:orient="portrait"/>
          <w:cols w:equalWidth="0" w:num="1">
            <w:col w:w="10460"/>
          </w:cols>
          <w:pgMar w:left="320" w:top="418" w:right="111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 Option Activity</w:t>
      </w:r>
      <w:r>
        <w:rPr>
          <w:rFonts w:ascii="Times New Roman" w:cs="Times New Roman" w:eastAsia="Times New Roman" w:hAnsi="Times New Roman"/>
          <w:sz w:val="16"/>
          <w:szCs w:val="16"/>
          <w:color w:val="auto"/>
        </w:rPr>
        <w:t>—A summary of all stock option activity for the 2016 Plan is as follows: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10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280" w:type="dxa"/>
            <w:vAlign w:val="bottom"/>
          </w:tcPr>
          <w:p>
            <w:pPr>
              <w:spacing w:after="0"/>
              <w:rPr>
                <w:sz w:val="11"/>
                <w:szCs w:val="11"/>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6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 except years and per share data)</w:t>
            </w: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Term (in</w:t>
            </w: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53"/>
        </w:trPr>
        <w:tc>
          <w:tcPr>
            <w:tcW w:w="4720" w:type="dxa"/>
            <w:vAlign w:val="bottom"/>
            <w:gridSpan w:val="2"/>
            <w:vMerge w:val="continue"/>
          </w:tcPr>
          <w:p>
            <w:pPr>
              <w:spacing w:after="0"/>
              <w:rPr>
                <w:sz w:val="13"/>
                <w:szCs w:val="13"/>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3"/>
                <w:szCs w:val="13"/>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2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81,813</w:t>
            </w: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1.89</w:t>
            </w:r>
          </w:p>
        </w:tc>
        <w:tc>
          <w:tcPr>
            <w:tcW w:w="5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8.73</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$537,108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Awards Authorized</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1.57</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1.90</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August 18, 2021 cancelled in connection with the</w:t>
            </w:r>
          </w:p>
        </w:tc>
        <w:tc>
          <w:tcPr>
            <w:tcW w:w="68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77,335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1.91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8.12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 Activity</w:t>
      </w:r>
      <w:r>
        <w:rPr>
          <w:rFonts w:ascii="Times New Roman" w:cs="Times New Roman" w:eastAsia="Times New Roman" w:hAnsi="Times New Roman"/>
          <w:sz w:val="16"/>
          <w:szCs w:val="16"/>
          <w:color w:val="auto"/>
        </w:rPr>
        <w:t>—A summary of all restricted stock unit activity for the 2016 Plan is as follows:</w:t>
      </w:r>
    </w:p>
    <w:p>
      <w:pPr>
        <w:spacing w:after="0" w:line="201"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 Grant</w:t>
            </w:r>
          </w:p>
        </w:tc>
        <w:tc>
          <w:tcPr>
            <w:tcW w:w="0" w:type="dxa"/>
            <w:vAlign w:val="bottom"/>
          </w:tcPr>
          <w:p>
            <w:pPr>
              <w:spacing w:after="0"/>
              <w:rPr>
                <w:sz w:val="1"/>
                <w:szCs w:val="1"/>
                <w:color w:val="auto"/>
              </w:rPr>
            </w:pPr>
          </w:p>
        </w:tc>
      </w:tr>
      <w:tr>
        <w:trPr>
          <w:trHeight w:val="131"/>
        </w:trPr>
        <w:tc>
          <w:tcPr>
            <w:tcW w:w="49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11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 Units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53"/>
        </w:trPr>
        <w:tc>
          <w:tcPr>
            <w:tcW w:w="4960" w:type="dxa"/>
            <w:vAlign w:val="bottom"/>
            <w:vMerge w:val="continue"/>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3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82"/>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18,768</w:t>
            </w: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2.71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13,427</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9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(8,898)</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(485)</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172"/>
        </w:trPr>
        <w:tc>
          <w:tcPr>
            <w:tcW w:w="49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Unvested balance as of August 18, 2021 cancelled in</w:t>
            </w: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connection with the Acquisition</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22,812</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9. RELATED-PARTY TRANSACTIONS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Illumina Purchases and Sales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As discussed in note “1. Organization and Description of Business,” GRAIL and Illumina entered into the Merger Agreement on September 20, 2020, and on August 18, 2021, Illumina completed its acquisition of GRAIL, Inc. Prior to the Acquisition, Illumina held a 12% stake in the Company. Illumina is both a customer of the Company and a major supplier of the Company’s reagents and capital equipment. Goods and services transactions with Illumina are invoiced and paid when due.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Goods and services transactions with Illumina have been reflected in the consolidated financial statements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2"/>
                <w:szCs w:val="12"/>
                <w:color w:val="auto"/>
              </w:rPr>
            </w:pPr>
          </w:p>
        </w:tc>
        <w:tc>
          <w:tcPr>
            <w:tcW w:w="160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8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53"/>
        </w:trPr>
        <w:tc>
          <w:tcPr>
            <w:tcW w:w="4680" w:type="dxa"/>
            <w:vAlign w:val="bottom"/>
            <w:vMerge w:val="continue"/>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82"/>
        </w:trPr>
        <w:tc>
          <w:tcPr>
            <w:tcW w:w="46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Accounts receivable, net—related parties</w:t>
            </w: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213</w:t>
            </w:r>
          </w:p>
        </w:tc>
        <w:tc>
          <w:tcPr>
            <w:tcW w:w="9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Supplies—related parties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w:t>
            </w:r>
          </w:p>
        </w:tc>
        <w:tc>
          <w:tcPr>
            <w:tcW w:w="9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2,770</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9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305"/>
        </w:trPr>
        <w:tc>
          <w:tcPr>
            <w:tcW w:w="4680" w:type="dxa"/>
            <w:vAlign w:val="bottom"/>
          </w:tcPr>
          <w:p>
            <w:pPr>
              <w:ind w:left="3540"/>
              <w:spacing w:after="0"/>
              <w:rPr>
                <w:sz w:val="20"/>
                <w:szCs w:val="20"/>
                <w:color w:val="auto"/>
              </w:rPr>
            </w:pPr>
            <w:r>
              <w:rPr>
                <w:rFonts w:ascii="Times New Roman" w:cs="Times New Roman" w:eastAsia="Times New Roman" w:hAnsi="Times New Roman"/>
                <w:sz w:val="16"/>
                <w:szCs w:val="16"/>
                <w:color w:val="auto"/>
              </w:rPr>
              <w:t>F-29</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320" w:top="418" w:right="127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46"/>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580" w:type="dxa"/>
            <w:vAlign w:val="bottom"/>
            <w:tcBorders>
              <w:top w:val="single" w:sz="8" w:color="auto"/>
            </w:tcBorders>
            <w:gridSpan w:val="3"/>
          </w:tcPr>
          <w:p>
            <w:pPr>
              <w:ind w:left="56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 to</w:t>
            </w:r>
          </w:p>
        </w:tc>
        <w:tc>
          <w:tcPr>
            <w:tcW w:w="220" w:type="dxa"/>
            <w:vAlign w:val="bottom"/>
            <w:tcBorders>
              <w:right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80" w:type="dxa"/>
            <w:vAlign w:val="bottom"/>
            <w:gridSpan w:val="2"/>
            <w:vMerge w:val="continue"/>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5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220" w:type="dxa"/>
            <w:vAlign w:val="bottom"/>
            <w:tcBorders>
              <w:right w:val="single" w:sz="8" w:color="auto"/>
            </w:tcBorders>
          </w:tcPr>
          <w:p>
            <w:pPr>
              <w:spacing w:after="0"/>
              <w:rPr>
                <w:sz w:val="13"/>
                <w:szCs w:val="13"/>
                <w:color w:val="auto"/>
              </w:rPr>
            </w:pPr>
          </w:p>
        </w:tc>
        <w:tc>
          <w:tcPr>
            <w:tcW w:w="1660" w:type="dxa"/>
            <w:vAlign w:val="bottom"/>
            <w:gridSpan w:val="4"/>
          </w:tcPr>
          <w:p>
            <w:pPr>
              <w:ind w:left="740"/>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Revenue—related parties</w:t>
            </w: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694</w:t>
            </w:r>
          </w:p>
        </w:tc>
        <w:tc>
          <w:tcPr>
            <w:tcW w:w="5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381</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revenue—related parties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20" w:type="dxa"/>
            <w:vAlign w:val="bottom"/>
            <w:tcBorders>
              <w:right w:val="single" w:sz="8" w:color="auto"/>
            </w:tcBorders>
          </w:tcPr>
          <w:p>
            <w:pPr>
              <w:spacing w:after="0"/>
              <w:rPr>
                <w:sz w:val="16"/>
                <w:szCs w:val="16"/>
                <w:color w:val="auto"/>
              </w:rPr>
            </w:pP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expenses—Research and development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parties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22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expenses—General and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administrative—related parties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right w:val="single" w:sz="8" w:color="auto"/>
            </w:tcBorders>
          </w:tcPr>
          <w:p>
            <w:pPr>
              <w:spacing w:after="0"/>
              <w:rPr>
                <w:sz w:val="17"/>
                <w:szCs w:val="17"/>
                <w:color w:val="auto"/>
              </w:rPr>
            </w:pP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accordance with the terms of the Merger Agreement, the Company received continuation payments of $35.0 million per month from the signing of the Merger Agreement until Closing, which were recorded as additional paid-in capital. During the Predecessor period from January 1, 2021 to August 18, 2021, the Company received total continuation payments from Illumina of $245.0 million.</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Contributions from (Distribution to) Member, Net</w:t>
      </w:r>
    </w:p>
    <w:p>
      <w:pPr>
        <w:spacing w:after="0" w:line="10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The following related party transactions between the Company and Illumina have been included in these consolidated financial statements. As there is no intercompany loan agreement between Illumina and GRAIL and because these transactions have no history of being settled, the total net effect of these transactions are reflected in the consolidated statements of cash flows as cash provided by (or used by) financing activity and in the consolidated balance sheets as contribution from (distribution to) member, net, in member’s equity. The following table presents the components of the net transfers to and from Illumina:</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540" w:type="dxa"/>
            <w:vAlign w:val="bottom"/>
          </w:tcPr>
          <w:p>
            <w:pPr>
              <w:spacing w:after="0"/>
              <w:rPr>
                <w:sz w:val="13"/>
                <w:szCs w:val="1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r>
      <w:tr>
        <w:trPr>
          <w:trHeight w:val="182"/>
        </w:trPr>
        <w:tc>
          <w:tcPr>
            <w:tcW w:w="42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Cash funding received from Illumina</w:t>
            </w:r>
          </w:p>
        </w:tc>
        <w:tc>
          <w:tcPr>
            <w:tcW w:w="5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609,000</w:t>
            </w:r>
          </w:p>
        </w:tc>
        <w:tc>
          <w:tcPr>
            <w:tcW w:w="7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174,000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90"/>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Cash funding received from Illumina at acquisition</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600,000</w:t>
            </w:r>
          </w:p>
        </w:tc>
      </w:tr>
      <w:tr>
        <w:trPr>
          <w:trHeight w:val="174"/>
        </w:trPr>
        <w:tc>
          <w:tcPr>
            <w:tcW w:w="42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Cash payments for acquisition consideration on behalf of</w:t>
            </w: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9"/>
        </w:trPr>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Illumina</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(625,749)</w:t>
            </w:r>
          </w:p>
        </w:tc>
      </w:tr>
      <w:tr>
        <w:trPr>
          <w:trHeight w:val="20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 for equity awards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(184,963)</w:t>
            </w:r>
          </w:p>
        </w:tc>
      </w:tr>
      <w:tr>
        <w:trPr>
          <w:trHeight w:val="19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(4,183)</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(4,320)</w:t>
            </w:r>
          </w:p>
        </w:tc>
      </w:tr>
      <w:tr>
        <w:trPr>
          <w:trHeight w:val="190"/>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(544)</w:t>
            </w:r>
          </w:p>
        </w:tc>
        <w:tc>
          <w:tcPr>
            <w:tcW w:w="2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(1,883)</w:t>
            </w:r>
          </w:p>
        </w:tc>
      </w:tr>
      <w:tr>
        <w:trPr>
          <w:trHeight w:val="24"/>
        </w:trPr>
        <w:tc>
          <w:tcPr>
            <w:tcW w:w="4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contribution from (distribution to) member, net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604,273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(42,915)</w:t>
            </w:r>
          </w:p>
        </w:tc>
      </w:tr>
      <w:tr>
        <w:trPr>
          <w:trHeight w:val="20"/>
        </w:trPr>
        <w:tc>
          <w:tcPr>
            <w:tcW w:w="4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Dr. Klausner Consulting Agreement</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Effective May 2016, the Company entered into a consulting agreement for advisory consulting services with Richard Klausner, M.D., a member of the board of directors of the Company at that time. The compensation under the consulting agreement consisted of options to purchase Class A common stock and reimbursement of certain out-of-pocket expenses. The Company granted options to purchase shares of Class A common stock under the consulting agreement in 2016, 2018, and 2020. In accordance with the terms of the Merger Agreement, all awards granted to Dr. Klauser became fully vested upon the closing of the transaction, which is also when Dr. Klauser stopped providing directorship and consulting services to the Company and ceased to be a related party of the Company. Stock-based compensation expense of $0.4 million related to the consulting agreement is included in research and development—related parties for the Predecessor period from January 1, 2021 to August 18, 2021.</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460"/>
          </w:cols>
          <w:pgMar w:left="320" w:top="419" w:right="111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Agilent Relationship</w:t>
      </w:r>
    </w:p>
    <w:p>
      <w:pPr>
        <w:spacing w:after="0" w:line="104" w:lineRule="exact"/>
        <w:rPr>
          <w:sz w:val="20"/>
          <w:szCs w:val="20"/>
          <w:color w:val="auto"/>
        </w:rPr>
      </w:pPr>
    </w:p>
    <w:p>
      <w:pPr>
        <w:jc w:val="both"/>
        <w:ind w:left="760" w:right="240" w:firstLine="388"/>
        <w:spacing w:after="0" w:line="277" w:lineRule="auto"/>
        <w:rPr>
          <w:sz w:val="20"/>
          <w:szCs w:val="20"/>
          <w:color w:val="auto"/>
        </w:rPr>
      </w:pPr>
      <w:r>
        <w:rPr>
          <w:rFonts w:ascii="Times New Roman" w:cs="Times New Roman" w:eastAsia="Times New Roman" w:hAnsi="Times New Roman"/>
          <w:sz w:val="15"/>
          <w:szCs w:val="15"/>
          <w:color w:val="auto"/>
        </w:rPr>
        <w:t>From June 2019 through October 2021, Mr. Hans Bishop served as the Company’s chief executive officer, during which time Mr. Bishop also served on the board of directors of Agilent Technologies, Inc. (“Agilent”), a supplier to the Company. Transactions with Agilent during the period of time Mr. Bishop held an officer role at the Company are reflected in the consolidated financial statements as related party transactions. Related party expenses of $0.1 million and $0.2 million are included in research and development—related parties in the periods of August 19, 2021 to January 2, 2022 and January 1, 2021 to August 19, 2021, respectively. Agilent was no longer a related party as of the year ended January 1, 2023.</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Twist Bioscience Relationship</w:t>
      </w:r>
    </w:p>
    <w:p>
      <w:pPr>
        <w:spacing w:after="0" w:line="104" w:lineRule="exact"/>
        <w:rPr>
          <w:sz w:val="20"/>
          <w:szCs w:val="20"/>
          <w:color w:val="auto"/>
        </w:rPr>
      </w:pPr>
    </w:p>
    <w:p>
      <w:pPr>
        <w:jc w:val="both"/>
        <w:ind w:left="760" w:right="100" w:firstLine="388"/>
        <w:spacing w:after="0" w:line="277" w:lineRule="auto"/>
        <w:rPr>
          <w:sz w:val="20"/>
          <w:szCs w:val="20"/>
          <w:color w:val="auto"/>
        </w:rPr>
      </w:pPr>
      <w:r>
        <w:rPr>
          <w:rFonts w:ascii="Times New Roman" w:cs="Times New Roman" w:eastAsia="Times New Roman" w:hAnsi="Times New Roman"/>
          <w:sz w:val="15"/>
          <w:szCs w:val="15"/>
          <w:color w:val="auto"/>
        </w:rPr>
        <w:t>Mr. Robert Ragusa was appointed as the Company’s chief executive officer in October 2021. Mr. Ragusa also serves on the board of directors of Twist, a supplier to the Company. Transactions with Twist beginning when Mr. Ragusa became the Company’s chief executive officer are reflected in the consolidated financial statements as related party transactions. Related party expenses of $0.4 million and $0.1 million are included in research and development—related parties in the year ended January 1, 2023 and the period of August 19, 2021 to January 2, 2022, respectively. Accrued liabilities with Twist of $0.1 million and $0.1 million are included in accrued liabilities—related parties as of January 1, 2023 and January 2, 2022, respectively.</w:t>
      </w:r>
    </w:p>
    <w:p>
      <w:pPr>
        <w:spacing w:after="0" w:line="2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10. NET LOSS PER SHARE ATTRIBUTABLE TO COMMON STOCKHOLDERS</w:t>
      </w:r>
    </w:p>
    <w:p>
      <w:pPr>
        <w:spacing w:after="0" w:line="104"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Acquisition, each issued and outstanding share of GRAIL Stock was converted into the elected merger consideration. As the Successor Company is a single-member limited liability company wholly owned by Illumina, a separate calculation of net loss per share is not included for the year ended January 1, 2023 and for the period ended January 2, 2022.</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For the Predecessor period from January 1, 2021 to August 18, 2021, basic and diluted net loss per share attributable to common stockholders were presented in conformity with the two-class method required for participating securities. All series of its redeemable convertible preferred stock and early exercised stock options and restricted stock awards were determined to be participating securities. Under the two-class method, the net loss attributable to common stockholders was not allocated to the redeemable convertible preferred stock as the holders of the redeemable convertible preferred stock did not have a contractual obligation to share in losses. The Company had two classes of common stock, Class A and Class B, with voting rights of 1:1 and 10:1, respectively. The shares of Class B common stock were convertible into shares of Class A common stock at a ratio of 0.44 shares of Class A common stock to 0.42 shares of Class B common stock, but were otherwise obligated to share in losses equitably.</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Basic net loss per share attributable to common stockholders was calculated by dividing the net loss adjusted to include deemed dividends paid to the holders of the preferred stock and accretion to the redemption value of the redeemable common stock awards, to the extent both impact accumulated deficit, by the weighted-average number of shares of common stock outstanding during the period, less shares subject to repurchase. Diluted net loss per share attributable to common stockholders was the same as basic net loss per share, since the effects of potentially dilutive securities were anti-dilutive given the net loss attributable to common stockholders for each period presented.</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F-31</w:t>
      </w:r>
    </w:p>
    <w:p>
      <w:pPr>
        <w:sectPr>
          <w:pgSz w:w="11900" w:h="16838" w:orient="portrait"/>
          <w:cols w:equalWidth="0" w:num="1">
            <w:col w:w="10440"/>
          </w:cols>
          <w:pgMar w:left="320" w:top="418" w:right="113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presents the calculation of the Predecessor’s basic and diluted net loss per share attributable to common stockholders: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4"/>
          </w:tcPr>
          <w:p>
            <w:pPr>
              <w:jc w:val="right"/>
              <w:ind w:right="32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 August 18, 2021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0" w:type="dxa"/>
            <w:vAlign w:val="bottom"/>
          </w:tcPr>
          <w:p>
            <w:pPr>
              <w:spacing w:after="0"/>
              <w:rPr>
                <w:sz w:val="1"/>
                <w:szCs w:val="1"/>
                <w:color w:val="auto"/>
              </w:rPr>
            </w:pPr>
          </w:p>
        </w:tc>
      </w:tr>
      <w:tr>
        <w:trPr>
          <w:trHeight w:val="170"/>
        </w:trPr>
        <w:tc>
          <w:tcPr>
            <w:tcW w:w="49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 common shares outstanding:</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Weighted average shares of common stock—basic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 average shares used in earnings per common share—</w:t>
            </w:r>
          </w:p>
        </w:tc>
        <w:tc>
          <w:tcPr>
            <w:tcW w:w="2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70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119" w:firstLine="388"/>
        <w:spacing w:after="0" w:line="263" w:lineRule="auto"/>
        <w:rPr>
          <w:sz w:val="20"/>
          <w:szCs w:val="20"/>
          <w:color w:val="auto"/>
        </w:rPr>
      </w:pPr>
      <w:r>
        <w:rPr>
          <w:rFonts w:ascii="Times New Roman" w:cs="Times New Roman" w:eastAsia="Times New Roman" w:hAnsi="Times New Roman"/>
          <w:sz w:val="16"/>
          <w:szCs w:val="16"/>
          <w:color w:val="auto"/>
        </w:rPr>
        <w:t>The Company is in a net loss position, whereby the basic net loss per share is the same as diluted net loss per share because the inclusion of potential shares of common stock would have been anti-dilutive. The following common stock equivalents were therefore excluded from the computation of diluted net loss per share for the period presented:</w:t>
      </w:r>
    </w:p>
    <w:p>
      <w:pPr>
        <w:spacing w:after="0" w:line="17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54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August 18, 2021</w:t>
            </w:r>
          </w:p>
        </w:tc>
      </w:tr>
      <w:tr>
        <w:trPr>
          <w:trHeight w:val="182"/>
        </w:trPr>
        <w:tc>
          <w:tcPr>
            <w:tcW w:w="54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Redeemable convertible preferred stock (on an if-converted basis)</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534,145,027</w:t>
            </w:r>
          </w:p>
        </w:tc>
        <w:tc>
          <w:tcPr>
            <w:tcW w:w="60" w:type="dxa"/>
            <w:vAlign w:val="bottom"/>
            <w:tcBorders>
              <w:top w:val="single" w:sz="8" w:color="CCEEFF"/>
            </w:tcBorders>
            <w:shd w:val="clear" w:color="auto" w:fill="CCEEFF"/>
          </w:tcPr>
          <w:p>
            <w:pPr>
              <w:spacing w:after="0"/>
              <w:rPr>
                <w:sz w:val="15"/>
                <w:szCs w:val="15"/>
                <w:color w:val="auto"/>
              </w:rPr>
            </w:pPr>
          </w:p>
        </w:tc>
      </w:t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Options to purchase common stock and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129,971,156</w:t>
            </w:r>
          </w:p>
        </w:tc>
        <w:tc>
          <w:tcPr>
            <w:tcW w:w="60" w:type="dxa"/>
            <w:vAlign w:val="bottom"/>
          </w:tcPr>
          <w:p>
            <w:pPr>
              <w:spacing w:after="0"/>
              <w:rPr>
                <w:sz w:val="16"/>
                <w:szCs w:val="16"/>
                <w:color w:val="auto"/>
              </w:rPr>
            </w:pPr>
          </w:p>
        </w:tc>
      </w:tr>
      <w:tr>
        <w:trPr>
          <w:trHeight w:val="19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479,888</w:t>
            </w:r>
          </w:p>
        </w:tc>
      </w:tr>
      <w:tr>
        <w:trPr>
          <w:trHeight w:val="194"/>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664,596,071</w:t>
            </w:r>
          </w:p>
        </w:tc>
        <w:tc>
          <w:tcPr>
            <w:tcW w:w="60" w:type="dxa"/>
            <w:vAlign w:val="bottom"/>
          </w:tcPr>
          <w:p>
            <w:pPr>
              <w:spacing w:after="0"/>
              <w:rPr>
                <w:sz w:val="16"/>
                <w:szCs w:val="16"/>
                <w:color w:val="auto"/>
              </w:rPr>
            </w:pPr>
          </w:p>
        </w:tc>
      </w:tr>
      <w:tr>
        <w:trPr>
          <w:trHeight w:val="20"/>
        </w:trPr>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11. TAXES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Income (loss) before income taxes summarized by region was as follows:</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vMerge w:val="restart"/>
          </w:tcPr>
          <w:p>
            <w:pPr>
              <w:jc w:val="center"/>
              <w:ind w:left="369"/>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000" w:type="dxa"/>
            <w:vAlign w:val="bottom"/>
            <w:tcBorders>
              <w:top w:val="single" w:sz="8" w:color="auto"/>
            </w:tcBorders>
            <w:gridSpan w:val="3"/>
          </w:tcPr>
          <w:p>
            <w:pPr>
              <w:jc w:val="center"/>
              <w:ind w:left="75"/>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6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5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760" w:type="dxa"/>
            <w:vAlign w:val="bottom"/>
            <w:gridSpan w:val="2"/>
            <w:vMerge w:val="continue"/>
          </w:tcPr>
          <w:p>
            <w:pPr>
              <w:spacing w:after="0"/>
              <w:rPr>
                <w:sz w:val="13"/>
                <w:szCs w:val="13"/>
                <w:color w:val="auto"/>
              </w:rPr>
            </w:pPr>
          </w:p>
        </w:tc>
        <w:tc>
          <w:tcPr>
            <w:tcW w:w="1580" w:type="dxa"/>
            <w:vAlign w:val="bottom"/>
            <w:gridSpan w:val="2"/>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1260" w:type="dxa"/>
            <w:vAlign w:val="bottom"/>
            <w:tcBorders>
              <w:right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8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$(5,443,759)</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5"/>
              </w:rPr>
              <w:t>(892,906)</w:t>
            </w: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(343,465)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(36,113)</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(benefit from) income taxes</w:t>
            </w:r>
          </w:p>
        </w:tc>
        <w:tc>
          <w:tcPr>
            <w:tcW w:w="1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(5,441,388)</w:t>
            </w:r>
          </w:p>
        </w:tc>
        <w:tc>
          <w:tcPr>
            <w:tcW w:w="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(929,019)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80" w:type="dxa"/>
            <w:vAlign w:val="bottom"/>
            <w:gridSpan w:val="3"/>
          </w:tcPr>
          <w:p>
            <w:pPr>
              <w:jc w:val="right"/>
              <w:ind w:right="1300"/>
              <w:spacing w:after="0"/>
              <w:rPr>
                <w:sz w:val="20"/>
                <w:szCs w:val="20"/>
                <w:color w:val="auto"/>
              </w:rPr>
            </w:pPr>
            <w:r>
              <w:rPr>
                <w:rFonts w:ascii="Times New Roman" w:cs="Times New Roman" w:eastAsia="Times New Roman" w:hAnsi="Times New Roman"/>
                <w:sz w:val="16"/>
                <w:szCs w:val="16"/>
                <w:color w:val="auto"/>
              </w:rPr>
              <w:t>F-32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19" w:right="1440"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provision for (benefit from) income taxes consisted of the following:</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4"/>
            <w:vMerge w:val="restart"/>
          </w:tcPr>
          <w:p>
            <w:pPr>
              <w:ind w:left="6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000" w:type="dxa"/>
            <w:vAlign w:val="bottom"/>
            <w:gridSpan w:val="3"/>
          </w:tcPr>
          <w:p>
            <w:pPr>
              <w:jc w:val="center"/>
              <w:ind w:left="69"/>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300" w:type="dxa"/>
            <w:vAlign w:val="bottom"/>
            <w:tcBorders>
              <w:right w:val="single" w:sz="8" w:color="auto"/>
            </w:tcBorders>
            <w:vMerge w:val="continue"/>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7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Borders>
              <w:right w:val="single" w:sz="8" w:color="auto"/>
            </w:tcBorders>
            <w:gridSpan w:val="2"/>
          </w:tcPr>
          <w:p>
            <w:pPr>
              <w:jc w:val="center"/>
              <w:ind w:right="541"/>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August 18,</w:t>
            </w:r>
          </w:p>
        </w:tc>
        <w:tc>
          <w:tcPr>
            <w:tcW w:w="0" w:type="dxa"/>
            <w:vAlign w:val="bottom"/>
          </w:tcPr>
          <w:p>
            <w:pPr>
              <w:spacing w:after="0"/>
              <w:rPr>
                <w:sz w:val="1"/>
                <w:szCs w:val="1"/>
                <w:color w:val="auto"/>
              </w:rPr>
            </w:pPr>
          </w:p>
        </w:tc>
      </w:tr>
      <w:tr>
        <w:trPr>
          <w:trHeight w:val="153"/>
        </w:trPr>
        <w:tc>
          <w:tcPr>
            <w:tcW w:w="4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3"/>
                <w:szCs w:val="13"/>
                <w:color w:val="auto"/>
              </w:rPr>
            </w:pPr>
          </w:p>
        </w:tc>
        <w:tc>
          <w:tcPr>
            <w:tcW w:w="1300" w:type="dxa"/>
            <w:vAlign w:val="bottom"/>
            <w:tcBorders>
              <w:right w:val="single" w:sz="8" w:color="auto"/>
            </w:tcBorders>
            <w:gridSpan w:val="4"/>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Current taxes:</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right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(3,227)</w:t>
            </w:r>
          </w:p>
        </w:tc>
        <w:tc>
          <w:tcPr>
            <w:tcW w:w="46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current income tax expense/(benefit)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(3,227)</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Federal</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8"/>
              </w:rPr>
              <w:t>(24,496)</w:t>
            </w:r>
          </w:p>
        </w:tc>
        <w:tc>
          <w:tcPr>
            <w:tcW w:w="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(14,862)</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State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8"/>
              </w:rPr>
              <w:t>(14,567)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(2,615)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deferred income tax expense/(benefit)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8"/>
              </w:rPr>
              <w:t>(39,063)</w:t>
            </w:r>
          </w:p>
        </w:tc>
        <w:tc>
          <w:tcPr>
            <w:tcW w:w="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(17,477)</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 for (Benefit from) income taxes</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(42,290</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(17,477</w:t>
            </w:r>
          </w:p>
        </w:tc>
        <w:tc>
          <w:tcPr>
            <w:tcW w:w="30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provision for (benefit from) income taxes reconciles to the amount computed by applying the federal statutory rate to income (loss) before income taxes as follows: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vMerge w:val="restart"/>
          </w:tcPr>
          <w:p>
            <w:pPr>
              <w:jc w:val="center"/>
              <w:ind w:left="309"/>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4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January 1 to</w:t>
            </w:r>
          </w:p>
        </w:tc>
        <w:tc>
          <w:tcPr>
            <w:tcW w:w="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20" w:type="dxa"/>
            <w:vAlign w:val="bottom"/>
            <w:shd w:val="clear" w:color="auto" w:fill="000000"/>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20" w:type="dxa"/>
            <w:vAlign w:val="bottom"/>
            <w:shd w:val="clear" w:color="auto" w:fill="000000"/>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56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Tax at federal statutory rate</w:t>
            </w:r>
          </w:p>
        </w:tc>
        <w:tc>
          <w:tcPr>
            <w:tcW w:w="14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(1,142,691)</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(195,094)</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(70,609)</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State, net of federal benefit</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(22,553)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(7,718)</w:t>
            </w:r>
          </w:p>
        </w:tc>
        <w:tc>
          <w:tcPr>
            <w:tcW w:w="20" w:type="dxa"/>
            <w:vAlign w:val="bottom"/>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(67,720)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tax credits</w:t>
            </w: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(12,104)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(2,792)</w:t>
            </w:r>
          </w:p>
        </w:tc>
        <w:tc>
          <w:tcPr>
            <w:tcW w:w="20" w:type="dxa"/>
            <w:vAlign w:val="bottom"/>
            <w:shd w:val="clear" w:color="auto" w:fill="000000"/>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55,907</w:t>
            </w:r>
          </w:p>
        </w:tc>
        <w:tc>
          <w:tcPr>
            <w:tcW w:w="1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operations</w:t>
            </w: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(310,191)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 related items</w:t>
            </w: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125,179</w:t>
            </w:r>
          </w:p>
        </w:tc>
        <w:tc>
          <w:tcPr>
            <w:tcW w:w="1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987,090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tax rates</w:t>
            </w: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tax provision (benefit from) income taxes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(42,290)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(17,477)</w:t>
            </w:r>
          </w:p>
        </w:tc>
        <w:tc>
          <w:tcPr>
            <w:tcW w:w="20" w:type="dxa"/>
            <w:vAlign w:val="bottom"/>
            <w:shd w:val="clear" w:color="auto" w:fill="000000"/>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20" w:type="dxa"/>
            <w:vAlign w:val="bottom"/>
            <w:gridSpan w:val="2"/>
          </w:tcPr>
          <w:p>
            <w:pPr>
              <w:jc w:val="right"/>
              <w:ind w:right="783"/>
              <w:spacing w:after="0"/>
              <w:rPr>
                <w:sz w:val="20"/>
                <w:szCs w:val="20"/>
                <w:color w:val="auto"/>
              </w:rPr>
            </w:pPr>
            <w:r>
              <w:rPr>
                <w:rFonts w:ascii="Times New Roman" w:cs="Times New Roman" w:eastAsia="Times New Roman" w:hAnsi="Times New Roman"/>
                <w:sz w:val="16"/>
                <w:szCs w:val="16"/>
                <w:color w:val="auto"/>
              </w:rPr>
              <w:t>F-33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19" w:right="135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Significant components of deferred tax assets and liabilities were as follows: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70"/>
        </w:trPr>
        <w:tc>
          <w:tcPr>
            <w:tcW w:w="48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operating losses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807,914</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740,189</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 credits</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76,579</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63,718</w:t>
            </w: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accruals and reserves</w:t>
            </w:r>
          </w:p>
        </w:tc>
        <w:tc>
          <w:tcPr>
            <w:tcW w:w="160" w:type="dxa"/>
            <w:vAlign w:val="bottom"/>
          </w:tcPr>
          <w:p>
            <w:pPr>
              <w:spacing w:after="0"/>
              <w:rPr>
                <w:sz w:val="16"/>
                <w:szCs w:val="16"/>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15,612</w:t>
            </w:r>
          </w:p>
        </w:tc>
        <w:tc>
          <w:tcPr>
            <w:tcW w:w="200" w:type="dxa"/>
            <w:vAlign w:val="bottom"/>
          </w:tcPr>
          <w:p>
            <w:pPr>
              <w:spacing w:after="0"/>
              <w:rPr>
                <w:sz w:val="16"/>
                <w:szCs w:val="16"/>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7,974</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 compensation</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2,618</w:t>
            </w: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Capitalized U.S. research and development expenses</w:t>
            </w:r>
          </w:p>
        </w:tc>
        <w:tc>
          <w:tcPr>
            <w:tcW w:w="160" w:type="dxa"/>
            <w:vAlign w:val="bottom"/>
          </w:tcPr>
          <w:p>
            <w:pPr>
              <w:spacing w:after="0"/>
              <w:rPr>
                <w:sz w:val="16"/>
                <w:szCs w:val="16"/>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68,745</w:t>
            </w:r>
          </w:p>
        </w:tc>
        <w:tc>
          <w:tcPr>
            <w:tcW w:w="200" w:type="dxa"/>
            <w:vAlign w:val="bottom"/>
          </w:tcPr>
          <w:p>
            <w:pPr>
              <w:spacing w:after="0"/>
              <w:rPr>
                <w:sz w:val="16"/>
                <w:szCs w:val="16"/>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amortization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64,119</w:t>
            </w: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66,861</w:t>
            </w: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6"/>
                <w:szCs w:val="16"/>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22,353</w:t>
            </w:r>
          </w:p>
        </w:tc>
        <w:tc>
          <w:tcPr>
            <w:tcW w:w="200" w:type="dxa"/>
            <w:vAlign w:val="bottom"/>
          </w:tcPr>
          <w:p>
            <w:pPr>
              <w:spacing w:after="0"/>
              <w:rPr>
                <w:sz w:val="16"/>
                <w:szCs w:val="16"/>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25,160</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1,056,135</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906,836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on deferred tax assets</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(392,019)</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(245,453)</w:t>
            </w:r>
          </w:p>
        </w:tc>
        <w:tc>
          <w:tcPr>
            <w:tcW w:w="0" w:type="dxa"/>
            <w:vAlign w:val="bottom"/>
          </w:tcPr>
          <w:p>
            <w:pPr>
              <w:spacing w:after="0"/>
              <w:rPr>
                <w:sz w:val="1"/>
                <w:szCs w:val="1"/>
                <w:color w:val="auto"/>
              </w:rPr>
            </w:pPr>
          </w:p>
        </w:tc>
      </w:tr>
      <w:tr>
        <w:trPr>
          <w:trHeight w:val="194"/>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664,116</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661,383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Purchased intangible amortization</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(709,231)</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(742,652)</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(2,241)</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6"/>
                <w:szCs w:val="16"/>
                <w:color w:val="auto"/>
              </w:rPr>
            </w:pP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(23,719)</w:t>
            </w:r>
          </w:p>
        </w:tc>
        <w:tc>
          <w:tcPr>
            <w:tcW w:w="2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(27,764)</w:t>
            </w: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(735,191)</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(771,521)</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Deferred tax liability,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40" w:type="dxa"/>
            <w:vAlign w:val="bottom"/>
            <w:vMerge w:val="continue"/>
          </w:tcPr>
          <w:p>
            <w:pPr>
              <w:spacing w:after="0"/>
              <w:rPr>
                <w:sz w:val="15"/>
                <w:szCs w:val="15"/>
                <w:color w:val="auto"/>
              </w:rPr>
            </w:pPr>
          </w:p>
        </w:tc>
        <w:tc>
          <w:tcPr>
            <w:tcW w:w="16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(71,075</w:t>
            </w:r>
          </w:p>
        </w:tc>
        <w:tc>
          <w:tcPr>
            <w:tcW w:w="700" w:type="dxa"/>
            <w:vAlign w:val="bottom"/>
            <w:gridSpan w:val="2"/>
          </w:tcPr>
          <w:p>
            <w:pPr>
              <w:jc w:val="right"/>
              <w:ind w:right="640"/>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(110,138</w:t>
            </w: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Upon closing of the merger, as a single-member limited liability company wholly owned by Illumina, GRAIL, LLC is no longer subject to U.S. income tax as a separate entity for the Successor periods ended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above are as if GRAIL, LLC filed a separate return for the Successor periods. For income tax purposes, since GRAIL, LLC is not a separate taxpayer and merely a disregarded entity of Illumina, several of the U.S. tax attributes shown above, including net operating losses and tax credits, are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 valuation allowance is established when it is more likely than not that the future realization of all or some of the deferred tax assets will not be achieved. The evaluation of the need for a valuation allowance is performed on a jurisdiction-by-jurisdiction basis and includes a review of all available positive and negative evidence, including operating results and future reversals of existing taxable temporary differences such as the deferred tax liabilities related to purchased intangibles. Based on the available evidence as of January 1, 2023, we were not able to conclude it is more likely than not certain deferred tax assets will be realized. Therefore, a valuation allowance of $392.0 million was recorded against certain U.S. and foreign deferred tax assets.</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As of January 1, 2023, the net operating loss carryforwards for federal and state tax purposes were $3,170.1 million and $1,993.4 million, respectively, a portion of which will begin to expire in 2036 unless utilized prior. The federal and state tax credit carryforwards were $78.8 million and $56.5 million. The federal credits will begin to expire in 2036 unless utilized prior. The state credits do not expire and can be carried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F-34</w:t>
      </w:r>
    </w:p>
    <w:p>
      <w:pPr>
        <w:sectPr>
          <w:pgSz w:w="11900" w:h="16838" w:orient="portrait"/>
          <w:cols w:equalWidth="0" w:num="1">
            <w:col w:w="10480"/>
          </w:cols>
          <w:pgMar w:left="320" w:top="419" w:right="109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80"/>
        <w:spacing w:after="0" w:line="278" w:lineRule="auto"/>
        <w:rPr>
          <w:sz w:val="20"/>
          <w:szCs w:val="20"/>
          <w:color w:val="auto"/>
        </w:rPr>
      </w:pPr>
      <w:r>
        <w:rPr>
          <w:rFonts w:ascii="Times New Roman" w:cs="Times New Roman" w:eastAsia="Times New Roman" w:hAnsi="Times New Roman"/>
          <w:sz w:val="16"/>
          <w:szCs w:val="16"/>
          <w:color w:val="auto"/>
        </w:rPr>
        <w:t>forward indefinitely. GRAIL’s U.K. subsidiary had $45.1 million of U.K. net operating losses that can generally be carried forward provided that the U.K. entity maintains its existing trade or business.</w:t>
      </w:r>
    </w:p>
    <w:p>
      <w:pPr>
        <w:spacing w:after="0" w:line="145"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Pursuant to Section 382 and 383 of the Internal Revenue Code,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the gross amount of uncertain tax positions:</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3"/>
          </w:tcPr>
          <w:p>
            <w:pPr>
              <w:ind w:left="3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34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ind w:right="6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jc w:val="right"/>
              <w:ind w:right="323"/>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3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53"/>
        </w:trPr>
        <w:tc>
          <w:tcPr>
            <w:tcW w:w="3640" w:type="dxa"/>
            <w:vAlign w:val="bottom"/>
            <w:gridSpan w:val="2"/>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20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340" w:type="dxa"/>
            <w:vAlign w:val="bottom"/>
            <w:tcBorders>
              <w:right w:val="single" w:sz="8" w:color="auto"/>
            </w:tcBorders>
          </w:tcPr>
          <w:p>
            <w:pPr>
              <w:spacing w:after="0"/>
              <w:rPr>
                <w:sz w:val="13"/>
                <w:szCs w:val="13"/>
                <w:color w:val="auto"/>
              </w:rPr>
            </w:pPr>
          </w:p>
        </w:tc>
        <w:tc>
          <w:tcPr>
            <w:tcW w:w="1680" w:type="dxa"/>
            <w:vAlign w:val="bottom"/>
            <w:gridSpan w:val="4"/>
          </w:tcPr>
          <w:p>
            <w:pPr>
              <w:jc w:val="center"/>
              <w:ind w:left="549"/>
              <w:spacing w:after="0"/>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4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43,595</w:t>
            </w: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41,683</w:t>
            </w:r>
          </w:p>
        </w:tc>
        <w:tc>
          <w:tcPr>
            <w:tcW w:w="340" w:type="dxa"/>
            <w:vAlign w:val="bottom"/>
            <w:tcBorders>
              <w:top w:val="single" w:sz="8" w:color="CCEEFF"/>
              <w:right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11,682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prior year tax positions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Decreases related to prior year tax positions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current year tax positions</w:t>
            </w: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34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6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51,843</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43,595</w:t>
            </w:r>
          </w:p>
        </w:tc>
        <w:tc>
          <w:tcPr>
            <w:tcW w:w="340" w:type="dxa"/>
            <w:vAlign w:val="bottom"/>
            <w:tcBorders>
              <w:right w:val="single" w:sz="8" w:color="auto"/>
            </w:tcBorders>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41,683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Included in the balance of uncertain tax positions as of January 1, 2023 and January 2, 2022 were $47.6 million and $39.9 million, respectively, of net unrecognized tax benefits that, if recognized, would reduce the effective income tax rate in future periods. The Company has not recognized any interest or penalties related to uncertain tax positions. If interest and penalties are recognized in the future, such amounts will be included in the provision for income taxes.</w:t>
      </w:r>
    </w:p>
    <w:p>
      <w:pPr>
        <w:spacing w:after="0" w:line="161"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Tax years 2016 to 2022 remain subject to future examination by the major tax jurisdictions in which we are subject to tax. It is reasonably possible that the balance of unrecognized tax benefits could change significantly over the next 12 months. However, due to the number of years remaining that are subject to examination, we are unable to estimate a full range of possible adjustments to the balance of unrecognized tax benefits.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12. LEGAL AND REGULATORY PROCEEDINGS</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Company is subject to various claims, complaints, regulatory proceedings, and legal actions that arise from time to time in the ordinary course of business.</w:t>
      </w:r>
    </w:p>
    <w:p>
      <w:pPr>
        <w:spacing w:after="0" w:line="145"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On March 30, 2021, the U.S. Federal Trade Commission (“FTC”) issued an administrative complaint seeking to prevent the acquisition of GRAIL, Inc. by Illumina. On September 1, 2022, an administrative law judge issued a decision in favor of the transaction and dismissed the FTC’s complaint. The FTC appealed to the FTC Commission. On March 31, 2023, the FTC Commission issued a decision overturning the administrative law judge’s prior ruling. GRAIL and Illumina appealed the Commission’s decision to the U.S. Court of Appeals for the Fifth Circuit. Oral argument in that appeal occurred on September 12, 2023 and a decision has not yet been issued.</w:t>
      </w:r>
    </w:p>
    <w:p>
      <w:pPr>
        <w:spacing w:after="0" w:line="165" w:lineRule="exact"/>
        <w:rPr>
          <w:sz w:val="20"/>
          <w:szCs w:val="20"/>
          <w:color w:val="auto"/>
        </w:rPr>
      </w:pPr>
    </w:p>
    <w:p>
      <w:pPr>
        <w:ind w:left="760" w:right="80" w:firstLine="388"/>
        <w:spacing w:after="0" w:line="277" w:lineRule="auto"/>
        <w:rPr>
          <w:sz w:val="20"/>
          <w:szCs w:val="20"/>
          <w:color w:val="auto"/>
        </w:rPr>
      </w:pPr>
      <w:r>
        <w:rPr>
          <w:rFonts w:ascii="Times New Roman" w:cs="Times New Roman" w:eastAsia="Times New Roman" w:hAnsi="Times New Roman"/>
          <w:sz w:val="15"/>
          <w:szCs w:val="15"/>
          <w:color w:val="auto"/>
        </w:rPr>
        <w:t>On April 19, 2021, the European Commission accepted a request for a referral of the GRAIL, Inc. acquisition for European Union merger review, submitted by a Member State of the European Union (France), and joined by several other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w:t>
      </w:r>
    </w:p>
    <w:p>
      <w:pPr>
        <w:spacing w:after="0" w:line="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F-35</w:t>
      </w:r>
    </w:p>
    <w:p>
      <w:pPr>
        <w:sectPr>
          <w:pgSz w:w="11900" w:h="16838" w:orient="portrait"/>
          <w:cols w:equalWidth="0" w:num="1">
            <w:col w:w="10480"/>
          </w:cols>
          <w:pgMar w:left="320" w:top="419" w:right="109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6"/>
          <w:szCs w:val="16"/>
          <w:color w:val="auto"/>
        </w:rPr>
        <w:t>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w:t>
      </w:r>
    </w:p>
    <w:p>
      <w:pPr>
        <w:spacing w:after="0" w:line="161"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w:t>
      </w:r>
    </w:p>
    <w:p>
      <w:pPr>
        <w:spacing w:after="0" w:line="165"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On September 6, 2022, the European Commission adopted a decision finding Illumina’s acquisition of GRAIL, Inc. incompatible with the internal market in Europe. On November 17, 2022, Illumina asked for annulment of this decision before the EU General Court (the Company intervened in this procedure in support of Illumina). This procedure is currently pending and moving forward.</w:t>
      </w:r>
    </w:p>
    <w:p>
      <w:pPr>
        <w:spacing w:after="0" w:line="157"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The order also permits Illumina to maintain its royalty arrangement with the Company (which will result in royalty payments restarting if GRAIL is no longer an affiliate of Illumina).</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104" w:lineRule="exact"/>
        <w:rPr>
          <w:sz w:val="20"/>
          <w:szCs w:val="20"/>
          <w:color w:val="auto"/>
        </w:rPr>
      </w:pPr>
    </w:p>
    <w:p>
      <w:pPr>
        <w:jc w:val="both"/>
        <w:ind w:left="760" w:right="200" w:firstLine="388"/>
        <w:spacing w:after="0" w:line="289" w:lineRule="auto"/>
        <w:rPr>
          <w:sz w:val="20"/>
          <w:szCs w:val="20"/>
          <w:color w:val="auto"/>
        </w:rPr>
      </w:pPr>
      <w:r>
        <w:rPr>
          <w:rFonts w:ascii="Times New Roman" w:cs="Times New Roman" w:eastAsia="Times New Roman" w:hAnsi="Times New Roman"/>
          <w:sz w:val="15"/>
          <w:szCs w:val="15"/>
          <w:color w:val="auto"/>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consolidated financial statements if it is believed to be probable that a loss has been incurred and the amount of the loss can be reasonably estimated. Litigation is inherently unpredictable and unfavorable resolutions could occur; therefore,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the filing date of this Information Statement, there are no currently pending litigations with any probable losses that can be reasonably estimated.</w:t>
      </w:r>
    </w:p>
    <w:p>
      <w:pPr>
        <w:spacing w:after="0" w:line="1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460"/>
          </w:cols>
          <w:pgMar w:left="320" w:top="419" w:right="111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13. SUBSEQUENT EVENTS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Company has reviewed and evaluated subsequent events through December 8, 2023, the date these consolidated financial statements were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filed.</w:t>
      </w:r>
    </w:p>
    <w:p>
      <w:pPr>
        <w:spacing w:after="0" w:line="180" w:lineRule="exact"/>
        <w:rPr>
          <w:sz w:val="20"/>
          <w:szCs w:val="20"/>
          <w:color w:val="auto"/>
        </w:rPr>
      </w:pPr>
    </w:p>
    <w:p>
      <w:pPr>
        <w:jc w:val="both"/>
        <w:ind w:left="760" w:firstLine="388"/>
        <w:spacing w:after="0" w:line="313" w:lineRule="auto"/>
        <w:rPr>
          <w:sz w:val="20"/>
          <w:szCs w:val="20"/>
          <w:color w:val="auto"/>
        </w:rPr>
      </w:pPr>
      <w:r>
        <w:rPr>
          <w:rFonts w:ascii="Times New Roman" w:cs="Times New Roman" w:eastAsia="Times New Roman" w:hAnsi="Times New Roman"/>
          <w:sz w:val="15"/>
          <w:szCs w:val="15"/>
          <w:color w:val="auto"/>
        </w:rPr>
        <w:t>In the third quarter of 2023, Illumina recorded an impairment to GRAIL goodwill and IPR&amp;D for consolidated financial reporting purposes. The Company is currently in the process of performing its required goodwill and indefinite-lived impairment test, which may result in impairment charges.</w:t>
      </w:r>
    </w:p>
    <w:p>
      <w:pPr>
        <w:spacing w:after="0" w:line="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F-37</w:t>
      </w:r>
    </w:p>
    <w:sectPr>
      <w:pgSz w:w="11900" w:h="16838" w:orient="portrait"/>
      <w:cols w:equalWidth="0" w:num="1">
        <w:col w:w="10340"/>
      </w:cols>
      <w:pgMar w:left="320" w:top="419"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212B8C"/>
    <w:multiLevelType w:val="hybridMultilevel"/>
    <w:lvl w:ilvl="0">
      <w:lvlJc w:val="left"/>
      <w:lvlText w:val="*"/>
      <w:numFmt w:val="bullet"/>
      <w:start w:val="1"/>
    </w:lvl>
  </w:abstractNum>
  <w:abstractNum w:abstractNumId="1">
    <w:nsid w:val="5C17530C"/>
    <w:multiLevelType w:val="hybridMultilevel"/>
    <w:lvl w:ilvl="0">
      <w:lvlJc w:val="left"/>
      <w:lvlText w:val="+"/>
      <w:numFmt w:val="bullet"/>
      <w:start w:val="1"/>
    </w:lvl>
  </w:abstractNum>
  <w:abstractNum w:abstractNumId="2">
    <w:nsid w:val="19A52566"/>
    <w:multiLevelType w:val="hybridMultilevel"/>
    <w:lvl w:ilvl="0">
      <w:lvlJc w:val="left"/>
      <w:lvlText w:val="(%1)"/>
      <w:numFmt w:val="lowerLetter"/>
      <w:start w:val="2"/>
    </w:lvl>
  </w:abstractNum>
  <w:abstractNum w:abstractNumId="3">
    <w:nsid w:val="335A1DF1"/>
    <w:multiLevelType w:val="hybridMultilevel"/>
    <w:lvl w:ilvl="0">
      <w:lvlJc w:val="left"/>
      <w:lvlText w:val="(%1)"/>
      <w:numFmt w:val="lowerRoman"/>
      <w:start w:val="2"/>
    </w:lvl>
  </w:abstractNum>
  <w:abstractNum w:abstractNumId="4">
    <w:nsid w:val="28677B7C"/>
    <w:multiLevelType w:val="hybridMultilevel"/>
    <w:lvl w:ilvl="0">
      <w:lvlJc w:val="left"/>
      <w:lvlText w:val="(%1)"/>
      <w:numFmt w:val="lowerLetter"/>
      <w:start w:val="3"/>
    </w:lvl>
  </w:abstractNum>
  <w:abstractNum w:abstractNumId="5">
    <w:nsid w:val="378D97C0"/>
    <w:multiLevelType w:val="hybridMultilevel"/>
    <w:lvl w:ilvl="0">
      <w:lvlJc w:val="left"/>
      <w:lvlText w:val="(%1)"/>
      <w:numFmt w:val="lowerLetter"/>
      <w:start w:val="1"/>
    </w:lvl>
  </w:abstractNum>
  <w:abstractNum w:abstractNumId="6">
    <w:nsid w:val="1D91467C"/>
    <w:multiLevelType w:val="hybridMultilevel"/>
    <w:lvl w:ilvl="0">
      <w:lvlJc w:val="left"/>
      <w:lvlText w:val="(%1)"/>
      <w:numFmt w:val="lowerRoman"/>
      <w:start w:val="2"/>
    </w:lvl>
  </w:abstractNum>
  <w:abstractNum w:abstractNumId="7">
    <w:nsid w:val="316032BB"/>
    <w:multiLevelType w:val="hybridMultilevel"/>
    <w:lvl w:ilvl="0">
      <w:lvlJc w:val="left"/>
      <w:lvlText w:val="(%1)"/>
      <w:numFmt w:val="lowerRoman"/>
      <w:start w:val="2"/>
    </w:lvl>
  </w:abstractNum>
  <w:abstractNum w:abstractNumId="8">
    <w:nsid w:val="44344C22"/>
    <w:multiLevelType w:val="hybridMultilevel"/>
    <w:lvl w:ilvl="0">
      <w:lvlJc w:val="left"/>
      <w:lvlText w:val="(%1)"/>
      <w:numFmt w:val="lowerRoman"/>
      <w:start w:val="1"/>
    </w:lvl>
  </w:abstractNum>
  <w:abstractNum w:abstractNumId="9">
    <w:nsid w:val="13CDFCFC"/>
    <w:multiLevelType w:val="hybridMultilevel"/>
    <w:lvl w:ilvl="0">
      <w:lvlJc w:val="left"/>
      <w:lvlText w:val="(%1)"/>
      <w:numFmt w:val="lowerLetter"/>
      <w:start w:val="2"/>
    </w:lvl>
  </w:abstractNum>
  <w:abstractNum w:abstractNumId="10">
    <w:nsid w:val="471745E4"/>
    <w:multiLevelType w:val="hybridMultilevel"/>
    <w:lvl w:ilvl="0">
      <w:lvlJc w:val="left"/>
      <w:lvlText w:val="(%1)"/>
      <w:numFmt w:val="lowerLetter"/>
      <w:start w:val="1"/>
    </w:lvl>
  </w:abstractNum>
  <w:abstractNum w:abstractNumId="11">
    <w:nsid w:val="1DDBC66"/>
    <w:multiLevelType w:val="hybridMultilevel"/>
    <w:lvl w:ilvl="0">
      <w:lvlJc w:val="left"/>
      <w:lvlText w:val="(%1)"/>
      <w:numFmt w:val="lowerLetter"/>
      <w:start w:val="1"/>
    </w:lvl>
  </w:abstractNum>
  <w:abstractNum w:abstractNumId="12">
    <w:nsid w:val="30AADFDA"/>
    <w:multiLevelType w:val="hybridMultilevel"/>
    <w:lvl w:ilvl="0">
      <w:lvlJc w:val="left"/>
      <w:lvlText w:val="(%1)"/>
      <w:numFmt w:val="lowerLetter"/>
      <w:start w:val="2"/>
    </w:lvl>
  </w:abstractNum>
  <w:abstractNum w:abstractNumId="13">
    <w:nsid w:val="30EADA61"/>
    <w:multiLevelType w:val="hybridMultilevel"/>
    <w:lvl w:ilvl="0">
      <w:lvlJc w:val="left"/>
      <w:lvlText w:val="(%1)"/>
      <w:numFmt w:val="lowerRoman"/>
      <w:start w:val="1"/>
    </w:lvl>
  </w:abstractNum>
  <w:abstractNum w:abstractNumId="14">
    <w:nsid w:val="27179C0B"/>
    <w:multiLevelType w:val="hybridMultilevel"/>
    <w:lvl w:ilvl="0">
      <w:lvlJc w:val="left"/>
      <w:lvlText w:val="(%1)"/>
      <w:numFmt w:val="lowerLetter"/>
      <w:start w:val="2"/>
    </w:lvl>
  </w:abstractNum>
  <w:abstractNum w:abstractNumId="15">
    <w:nsid w:val="5E636063"/>
    <w:multiLevelType w:val="hybridMultilevel"/>
    <w:lvl w:ilvl="0">
      <w:lvlJc w:val="left"/>
      <w:lvlText w:val="(%1)"/>
      <w:numFmt w:val="lowerLetter"/>
      <w:start w:val="2"/>
    </w:lvl>
  </w:abstractNum>
  <w:abstractNum w:abstractNumId="16">
    <w:nsid w:val="215641AF"/>
    <w:multiLevelType w:val="hybridMultilevel"/>
    <w:lvl w:ilvl="0">
      <w:lvlJc w:val="left"/>
      <w:lvlText w:val="(%1)"/>
      <w:numFmt w:val="lowerLetter"/>
      <w:start w:val="3"/>
    </w:lvl>
  </w:abstractNum>
  <w:abstractNum w:abstractNumId="17">
    <w:nsid w:val="53280662"/>
    <w:multiLevelType w:val="hybridMultilevel"/>
    <w:lvl w:ilvl="0">
      <w:lvlJc w:val="left"/>
      <w:lvlText w:val="(%1)"/>
      <w:numFmt w:val="lowerLetter"/>
      <w:start w:val="35"/>
    </w:lvl>
    <w:lvl w:ilvl="1">
      <w:lvlJc w:val="left"/>
      <w:lvlText w:val="(%2)"/>
      <w:numFmt w:val="lowerLetter"/>
      <w:start w:val="2"/>
    </w:lvl>
  </w:abstractNum>
  <w:abstractNum w:abstractNumId="18">
    <w:nsid w:val="46B24DBC"/>
    <w:multiLevelType w:val="hybridMultilevel"/>
    <w:lvl w:ilvl="0">
      <w:lvlJc w:val="left"/>
      <w:lvlText w:val="(%1)"/>
      <w:numFmt w:val="lowerLetter"/>
      <w:start w:val="2"/>
    </w:lvl>
  </w:abstractNum>
  <w:abstractNum w:abstractNumId="19">
    <w:nsid w:val="75B52783"/>
    <w:multiLevelType w:val="hybridMultilevel"/>
    <w:lvl w:ilvl="0">
      <w:lvlJc w:val="left"/>
      <w:lvlText w:val="(%1)"/>
      <w:numFmt w:val="lowerLetter"/>
      <w:start w:val="4"/>
    </w:lvl>
  </w:abstractNum>
  <w:abstractNum w:abstractNumId="20">
    <w:nsid w:val="57CE66B4"/>
    <w:multiLevelType w:val="hybridMultilevel"/>
    <w:lvl w:ilvl="0">
      <w:lvlJc w:val="left"/>
      <w:lvlText w:val="(%1)"/>
      <w:numFmt w:val="lowerRoman"/>
      <w:start w:val="2"/>
    </w:lvl>
  </w:abstractNum>
  <w:abstractNum w:abstractNumId="21">
    <w:nsid w:val="67A70B69"/>
    <w:multiLevelType w:val="hybridMultilevel"/>
    <w:lvl w:ilvl="0">
      <w:lvlJc w:val="left"/>
      <w:lvlText w:val="(%1)"/>
      <w:numFmt w:val="lowerLetter"/>
      <w:start w:val="2"/>
    </w:lvl>
    <w:lvl w:ilvl="1">
      <w:lvlJc w:val="left"/>
      <w:lvlText w:val="(%2)"/>
      <w:numFmt w:val="lowerLetter"/>
      <w:start w:val="35"/>
    </w:lvl>
  </w:abstractNum>
  <w:abstractNum w:abstractNumId="22">
    <w:nsid w:val="5953172F"/>
    <w:multiLevelType w:val="hybridMultilevel"/>
    <w:lvl w:ilvl="0">
      <w:lvlJc w:val="left"/>
      <w:lvlText w:val="(%1)"/>
      <w:numFmt w:val="lowerLetter"/>
      <w:start w:val="3"/>
    </w:lvl>
  </w:abstractNum>
  <w:abstractNum w:abstractNumId="23">
    <w:nsid w:val="27EDFE3A"/>
    <w:multiLevelType w:val="hybridMultilevel"/>
    <w:lvl w:ilvl="0">
      <w:lvlJc w:val="left"/>
      <w:lvlText w:val="(%1)"/>
      <w:numFmt w:val="lowerLetter"/>
      <w:start w:val="6"/>
    </w:lvl>
  </w:abstractNum>
  <w:abstractNum w:abstractNumId="24">
    <w:nsid w:val="52AC7DFF"/>
    <w:multiLevelType w:val="hybridMultilevel"/>
    <w:lvl w:ilvl="0">
      <w:lvlJc w:val="left"/>
      <w:lvlText w:val="%1"/>
      <w:numFmt w:val="lowerLetter"/>
      <w:start w:val="1"/>
    </w:lvl>
    <w:lvl w:ilvl="1">
      <w:lvlJc w:val="left"/>
      <w:lvlText w:val="(%2)"/>
      <w:numFmt w:val="lowerLetter"/>
      <w:start w:val="2"/>
    </w:lvl>
  </w:abstractNum>
  <w:abstractNum w:abstractNumId="25">
    <w:nsid w:val="C4C3AF"/>
    <w:multiLevelType w:val="hybridMultilevel"/>
    <w:lvl w:ilvl="0">
      <w:lvlJc w:val="left"/>
      <w:lvlText w:val="(%1)"/>
      <w:numFmt w:val="lowerLetter"/>
      <w:start w:val="2"/>
    </w:lvl>
    <w:lvl w:ilvl="1">
      <w:lvlJc w:val="left"/>
      <w:lvlText w:val="%2"/>
      <w:numFmt w:val="lowerLetter"/>
      <w:start w:val="1"/>
    </w:lvl>
  </w:abstractNum>
  <w:abstractNum w:abstractNumId="26">
    <w:nsid w:val="44380727"/>
    <w:multiLevelType w:val="hybridMultilevel"/>
    <w:lvl w:ilvl="0">
      <w:lvlJc w:val="left"/>
      <w:lvlText w:val="(%1)"/>
      <w:numFmt w:val="lowerLetter"/>
      <w:start w:val="3"/>
    </w:lvl>
  </w:abstractNum>
  <w:abstractNum w:abstractNumId="27">
    <w:nsid w:val="6C053B1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28">
    <w:nsid w:val="4F294393"/>
    <w:multiLevelType w:val="hybridMultilevel"/>
    <w:lvl w:ilvl="0">
      <w:lvlJc w:val="left"/>
      <w:lvlText w:val="(%1)"/>
      <w:numFmt w:val="upperLetter"/>
      <w:start w:val="9"/>
    </w:lvl>
    <w:lvl w:ilvl="1">
      <w:lvlJc w:val="left"/>
      <w:lvlText w:val="(%2)"/>
      <w:numFmt w:val="lowerLetter"/>
      <w:start w:val="6"/>
    </w:lvl>
    <w:lvl w:ilvl="2">
      <w:lvlJc w:val="left"/>
      <w:lvlText w:val="%3"/>
      <w:numFmt w:val="lowerRoman"/>
      <w:start w:val="1"/>
    </w:lvl>
  </w:abstractNum>
  <w:abstractNum w:abstractNumId="29">
    <w:nsid w:val="5243BFAC"/>
    <w:multiLevelType w:val="hybridMultilevel"/>
    <w:lvl w:ilvl="0">
      <w:lvlJc w:val="left"/>
      <w:lvlText w:val="(%1)"/>
      <w:numFmt w:val="lowerLetter"/>
      <w:start w:val="9"/>
    </w:lvl>
  </w:abstractNum>
  <w:abstractNum w:abstractNumId="30">
    <w:nsid w:val="425EB207"/>
    <w:multiLevelType w:val="hybridMultilevel"/>
    <w:lvl w:ilvl="0">
      <w:lvlJc w:val="left"/>
      <w:lvlText w:val="(%1)"/>
      <w:numFmt w:val="lowerLetter"/>
      <w:start w:val="12"/>
    </w:lvl>
  </w:abstractNum>
  <w:abstractNum w:abstractNumId="31">
    <w:nsid w:val="334A6F1F"/>
    <w:multiLevelType w:val="hybridMultilevel"/>
    <w:lvl w:ilvl="0">
      <w:lvlJc w:val="left"/>
      <w:lvlText w:val="(%1)"/>
      <w:numFmt w:val="lowerLetter"/>
      <w:start w:val="2"/>
    </w:lvl>
  </w:abstractNum>
  <w:abstractNum w:abstractNumId="32">
    <w:nsid w:val="2E5B12B8"/>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33">
    <w:nsid w:val="5C03D76D"/>
    <w:multiLevelType w:val="hybridMultilevel"/>
    <w:lvl w:ilvl="0">
      <w:lvlJc w:val="left"/>
      <w:lvlText w:val="(%1)"/>
      <w:numFmt w:val="upperLetter"/>
      <w:start w:val="9"/>
    </w:lvl>
    <w:lvl w:ilvl="1">
      <w:lvlJc w:val="left"/>
      <w:lvlText w:val="%2"/>
      <w:numFmt w:val="lowerRoman"/>
      <w:start w:val="1"/>
    </w:lvl>
    <w:lvl w:ilvl="2">
      <w:lvlJc w:val="left"/>
      <w:lvlText w:val="(%3)"/>
      <w:numFmt w:val="upperLetter"/>
      <w:start w:val="2"/>
    </w:lvl>
  </w:abstractNum>
  <w:abstractNum w:abstractNumId="34">
    <w:nsid w:val="66A48D11"/>
    <w:multiLevelType w:val="hybridMultilevel"/>
    <w:lvl w:ilvl="0">
      <w:lvlJc w:val="left"/>
      <w:lvlText w:val="(%1)"/>
      <w:numFmt w:val="upperLetter"/>
      <w:start w:val="9"/>
    </w:lvl>
    <w:lvl w:ilvl="1">
      <w:lvlJc w:val="left"/>
      <w:lvlText w:val="(%2)"/>
      <w:numFmt w:val="lowerRoman"/>
      <w:start w:val="2"/>
    </w:lvl>
  </w:abstractNum>
  <w:abstractNum w:abstractNumId="35">
    <w:nsid w:val="56C28E34"/>
    <w:multiLevelType w:val="hybridMultilevel"/>
    <w:lvl w:ilvl="0">
      <w:lvlJc w:val="left"/>
      <w:lvlText w:val="(%1)"/>
      <w:numFmt w:val="lowerLetter"/>
      <w:start w:val="2"/>
    </w:lvl>
  </w:abstractNum>
  <w:abstractNum w:abstractNumId="36">
    <w:nsid w:val="13916F2D"/>
    <w:multiLevelType w:val="hybridMultilevel"/>
    <w:lvl w:ilvl="0">
      <w:lvlJc w:val="left"/>
      <w:lvlText w:val="(%1)"/>
      <w:numFmt w:val="lowerLetter"/>
      <w:start w:val="2"/>
    </w:lvl>
  </w:abstractNum>
  <w:abstractNum w:abstractNumId="37">
    <w:nsid w:val="435D38D"/>
    <w:multiLevelType w:val="hybridMultilevel"/>
    <w:lvl w:ilvl="0">
      <w:lvlJc w:val="left"/>
      <w:lvlText w:val="(%1)"/>
      <w:numFmt w:val="lowerLetter"/>
      <w:start w:val="4"/>
    </w:lvl>
  </w:abstractNum>
  <w:abstractNum w:abstractNumId="38">
    <w:nsid w:val="822C0EF"/>
    <w:multiLevelType w:val="hybridMultilevel"/>
    <w:lvl w:ilvl="0">
      <w:lvlJc w:val="left"/>
      <w:lvlText w:val="(%1)"/>
      <w:numFmt w:val="lowerRoman"/>
      <w:start w:val="2"/>
    </w:lvl>
  </w:abstractNum>
  <w:abstractNum w:abstractNumId="39">
    <w:nsid w:val="57C5BB4F"/>
    <w:multiLevelType w:val="hybridMultilevel"/>
    <w:lvl w:ilvl="0">
      <w:lvlJc w:val="left"/>
      <w:lvlText w:val="(%1)"/>
      <w:numFmt w:val="lowerLetter"/>
      <w:start w:val="61"/>
    </w:lvl>
    <w:lvl w:ilvl="1">
      <w:lvlJc w:val="left"/>
      <w:lvlText w:val="(%2)"/>
      <w:numFmt w:val="lowerLetter"/>
      <w:start w:val="2"/>
    </w:lvl>
  </w:abstractNum>
  <w:abstractNum w:abstractNumId="40">
    <w:nsid w:val="1803D089"/>
    <w:multiLevelType w:val="hybridMultilevel"/>
    <w:lvl w:ilvl="0">
      <w:lvlJc w:val="left"/>
      <w:lvlText w:val="(%1)"/>
      <w:numFmt w:val="lowerLetter"/>
      <w:start w:val="6"/>
    </w:lvl>
  </w:abstractNum>
  <w:abstractNum w:abstractNumId="41">
    <w:nsid w:val="4F3A06D4"/>
    <w:multiLevelType w:val="hybridMultilevel"/>
    <w:lvl w:ilvl="0">
      <w:lvlJc w:val="left"/>
      <w:lvlText w:val="(%1)"/>
      <w:numFmt w:val="lowerLetter"/>
      <w:start w:val="2"/>
    </w:lvl>
  </w:abstractNum>
  <w:abstractNum w:abstractNumId="42">
    <w:nsid w:val="59A377B6"/>
    <w:multiLevelType w:val="hybridMultilevel"/>
    <w:lvl w:ilvl="0">
      <w:lvlJc w:val="left"/>
      <w:lvlText w:val="(%1)"/>
      <w:numFmt w:val="lowerLetter"/>
      <w:start w:val="3"/>
    </w:lvl>
  </w:abstractNum>
  <w:abstractNum w:abstractNumId="43">
    <w:nsid w:val="48AEB063"/>
    <w:multiLevelType w:val="hybridMultilevel"/>
    <w:lvl w:ilvl="0">
      <w:lvlJc w:val="left"/>
      <w:lvlText w:val="%1"/>
      <w:numFmt w:val="lowerLetter"/>
      <w:start w:val="1"/>
    </w:lvl>
    <w:lvl w:ilvl="1">
      <w:lvlJc w:val="left"/>
      <w:lvlText w:val="(%2)"/>
      <w:numFmt w:val="lowerLetter"/>
      <w:start w:val="2"/>
    </w:lvl>
  </w:abstractNum>
  <w:abstractNum w:abstractNumId="44">
    <w:nsid w:val="24E135"/>
    <w:multiLevelType w:val="hybridMultilevel"/>
    <w:lvl w:ilvl="0">
      <w:lvlJc w:val="left"/>
      <w:lvlText w:val="(%1)"/>
      <w:numFmt w:val="lowerLetter"/>
      <w:start w:val="35"/>
    </w:lvl>
    <w:lvl w:ilvl="1">
      <w:lvlJc w:val="left"/>
      <w:lvlText w:val="%2"/>
      <w:numFmt w:val="lowerLetter"/>
      <w:start w:val="1"/>
    </w:lvl>
  </w:abstractNum>
  <w:abstractNum w:abstractNumId="45">
    <w:nsid w:val="BB13C1"/>
    <w:multiLevelType w:val="hybridMultilevel"/>
    <w:lvl w:ilvl="0">
      <w:lvlJc w:val="left"/>
      <w:lvlText w:val="(%1)"/>
      <w:numFmt w:val="lowerLetter"/>
      <w:start w:val="2"/>
    </w:lvl>
  </w:abstractNum>
  <w:abstractNum w:abstractNumId="46">
    <w:nsid w:val="271210C7"/>
    <w:multiLevelType w:val="hybridMultilevel"/>
    <w:lvl w:ilvl="0">
      <w:lvlJc w:val="left"/>
      <w:lvlText w:val="(%1)"/>
      <w:numFmt w:val="lowerLetter"/>
      <w:start w:val="2"/>
    </w:lvl>
  </w:abstractNum>
  <w:abstractNum w:abstractNumId="47">
    <w:nsid w:val="217B22E4"/>
    <w:multiLevelType w:val="hybridMultilevel"/>
    <w:lvl w:ilvl="0">
      <w:lvlJc w:val="left"/>
      <w:lvlText w:val="(%1)"/>
      <w:numFmt w:val="lowerLetter"/>
      <w:start w:val="2"/>
    </w:lvl>
  </w:abstractNum>
  <w:abstractNum w:abstractNumId="48">
    <w:nsid w:val="53E31A24"/>
    <w:multiLevelType w:val="hybridMultilevel"/>
    <w:lvl w:ilvl="0">
      <w:lvlJc w:val="left"/>
      <w:lvlText w:val="(%1)"/>
      <w:numFmt w:val="lowerLetter"/>
      <w:start w:val="7"/>
    </w:lvl>
    <w:lvl w:ilvl="1">
      <w:lvlJc w:val="left"/>
      <w:lvlText w:val="(%2)"/>
      <w:numFmt w:val="lowerRoman"/>
      <w:start w:val="1"/>
    </w:lvl>
  </w:abstractNum>
  <w:abstractNum w:abstractNumId="49">
    <w:nsid w:val="6DC45E83"/>
    <w:multiLevelType w:val="hybridMultilevel"/>
    <w:lvl w:ilvl="0">
      <w:lvlJc w:val="left"/>
      <w:lvlText w:val="(%1)"/>
      <w:numFmt w:val="lowerLetter"/>
      <w:start w:val="2"/>
    </w:lvl>
  </w:abstractNum>
  <w:abstractNum w:abstractNumId="50">
    <w:nsid w:val="17304A67"/>
    <w:multiLevelType w:val="hybridMultilevel"/>
    <w:lvl w:ilvl="0">
      <w:lvlJc w:val="left"/>
      <w:lvlText w:val="(%1)"/>
      <w:numFmt w:val="lowerLetter"/>
      <w:start w:val="3"/>
    </w:lvl>
  </w:abstractNum>
  <w:abstractNum w:abstractNumId="51">
    <w:nsid w:val="2BB180D8"/>
    <w:multiLevelType w:val="hybridMultilevel"/>
    <w:lvl w:ilvl="0">
      <w:lvlJc w:val="left"/>
      <w:lvlText w:val="(%1)"/>
      <w:numFmt w:val="lowerLetter"/>
      <w:start w:val="2"/>
    </w:lvl>
  </w:abstractNum>
  <w:abstractNum w:abstractNumId="52">
    <w:nsid w:val="556B69ED"/>
    <w:multiLevelType w:val="hybridMultilevel"/>
    <w:lvl w:ilvl="0">
      <w:lvlJc w:val="left"/>
      <w:lvlText w:val="%1"/>
      <w:numFmt w:val="lowerRoman"/>
      <w:start w:val="1"/>
    </w:lvl>
    <w:lvl w:ilvl="1">
      <w:lvlJc w:val="left"/>
      <w:lvlText w:val="(%2)"/>
      <w:numFmt w:val="lowerLetter"/>
      <w:start w:val="2"/>
    </w:lvl>
  </w:abstractNum>
  <w:abstractNum w:abstractNumId="53">
    <w:nsid w:val="70836196"/>
    <w:multiLevelType w:val="hybridMultilevel"/>
    <w:lvl w:ilvl="0">
      <w:lvlJc w:val="left"/>
      <w:lvlText w:val="(%1)"/>
      <w:numFmt w:val="lowerRoman"/>
      <w:start w:val="4"/>
    </w:lvl>
    <w:lvl w:ilvl="1">
      <w:lvlJc w:val="left"/>
      <w:lvlText w:val="(%2)"/>
      <w:numFmt w:val="lowerLetter"/>
      <w:start w:val="4"/>
    </w:lvl>
  </w:abstractNum>
  <w:abstractNum w:abstractNumId="54">
    <w:nsid w:val="539F7F12"/>
    <w:multiLevelType w:val="hybridMultilevel"/>
    <w:lvl w:ilvl="0">
      <w:lvlJc w:val="left"/>
      <w:lvlText w:val="(%1)"/>
      <w:numFmt w:val="lowerLetter"/>
      <w:start w:val="5"/>
    </w:lvl>
  </w:abstractNum>
  <w:abstractNum w:abstractNumId="55">
    <w:nsid w:val="2817E7EC"/>
    <w:multiLevelType w:val="hybridMultilevel"/>
    <w:lvl w:ilvl="0">
      <w:lvlJc w:val="left"/>
      <w:lvlText w:val="%1"/>
      <w:numFmt w:val="lowerLetter"/>
      <w:start w:val="1"/>
    </w:lvl>
    <w:lvl w:ilvl="1">
      <w:lvlJc w:val="left"/>
      <w:lvlText w:val="(%2)"/>
      <w:numFmt w:val="lowerLetter"/>
      <w:start w:val="7"/>
    </w:lvl>
  </w:abstractNum>
  <w:abstractNum w:abstractNumId="56">
    <w:nsid w:val="71482545"/>
    <w:multiLevelType w:val="hybridMultilevel"/>
    <w:lvl w:ilvl="0">
      <w:lvlJc w:val="left"/>
      <w:lvlText w:val="(%1)"/>
      <w:numFmt w:val="lowerLetter"/>
      <w:start w:val="9"/>
    </w:lvl>
    <w:lvl w:ilvl="1">
      <w:lvlJc w:val="left"/>
      <w:lvlText w:val="(%2)"/>
      <w:numFmt w:val="lowerLetter"/>
      <w:start w:val="8"/>
    </w:lvl>
  </w:abstractNum>
  <w:abstractNum w:abstractNumId="57">
    <w:nsid w:val="17D78639"/>
    <w:multiLevelType w:val="hybridMultilevel"/>
    <w:lvl w:ilvl="0">
      <w:lvlJc w:val="left"/>
      <w:lvlText w:val="(%1)"/>
      <w:numFmt w:val="lowerLetter"/>
      <w:start w:val="9"/>
    </w:lvl>
    <w:lvl w:ilvl="1">
      <w:lvlJc w:val="left"/>
      <w:lvlText w:val="(%2)"/>
      <w:numFmt w:val="lowerLetter"/>
      <w:start w:val="9"/>
    </w:lvl>
  </w:abstractNum>
  <w:abstractNum w:abstractNumId="58">
    <w:nsid w:val="141D2302"/>
    <w:multiLevelType w:val="hybridMultilevel"/>
    <w:lvl w:ilvl="0">
      <w:lvlJc w:val="left"/>
      <w:lvlText w:val="(%1)"/>
      <w:numFmt w:val="lowerLetter"/>
      <w:start w:val="10"/>
    </w:lvl>
  </w:abstractNum>
  <w:abstractNum w:abstractNumId="59">
    <w:nsid w:val="407168D8"/>
    <w:multiLevelType w:val="hybridMultilevel"/>
    <w:lvl w:ilvl="0">
      <w:lvlJc w:val="left"/>
      <w:lvlText w:val="%1"/>
      <w:numFmt w:val="lowerLetter"/>
      <w:start w:val="1"/>
    </w:lvl>
    <w:lvl w:ilvl="1">
      <w:lvlJc w:val="left"/>
      <w:lvlText w:val="(%2)"/>
      <w:numFmt w:val="lowerLetter"/>
      <w:start w:val="14"/>
    </w:lvl>
  </w:abstractNum>
  <w:abstractNum w:abstractNumId="60">
    <w:nsid w:val="6A1B45E5"/>
    <w:multiLevelType w:val="hybridMultilevel"/>
    <w:lvl w:ilvl="0">
      <w:lvlJc w:val="left"/>
      <w:lvlText w:val="(%1)"/>
      <w:numFmt w:val="lowerLetter"/>
      <w:start w:val="35"/>
    </w:lvl>
    <w:lvl w:ilvl="1">
      <w:lvlJc w:val="left"/>
      <w:lvlText w:val="%2"/>
      <w:numFmt w:val="lowerLetter"/>
      <w:start w:val="1"/>
    </w:lvl>
  </w:abstractNum>
  <w:abstractNum w:abstractNumId="61">
    <w:nsid w:val="567BD50A"/>
    <w:multiLevelType w:val="hybridMultilevel"/>
    <w:lvl w:ilvl="0">
      <w:lvlJc w:val="left"/>
      <w:lvlText w:val="(%1)"/>
      <w:numFmt w:val="lowerLetter"/>
      <w:start w:val="1"/>
    </w:lvl>
  </w:abstractNum>
  <w:abstractNum w:abstractNumId="62">
    <w:nsid w:val="73BBD7F8"/>
    <w:multiLevelType w:val="hybridMultilevel"/>
    <w:lvl w:ilvl="0">
      <w:lvlJc w:val="left"/>
      <w:lvlText w:val="%1"/>
      <w:numFmt w:val="lowerLetter"/>
      <w:start w:val="1"/>
    </w:lvl>
    <w:lvl w:ilvl="1">
      <w:lvlJc w:val="left"/>
      <w:lvlText w:val="(%2)"/>
      <w:numFmt w:val="lowerLetter"/>
      <w:start w:val="6"/>
    </w:lvl>
  </w:abstractNum>
  <w:abstractNum w:abstractNumId="63">
    <w:nsid w:val="1876589D"/>
    <w:multiLevelType w:val="hybridMultilevel"/>
    <w:lvl w:ilvl="0">
      <w:lvlJc w:val="left"/>
      <w:lvlText w:val="(%1)"/>
      <w:numFmt w:val="lowerLetter"/>
      <w:start w:val="61"/>
    </w:lvl>
    <w:lvl w:ilvl="1">
      <w:lvlJc w:val="left"/>
      <w:lvlText w:val="%2"/>
      <w:numFmt w:val="lowerLetter"/>
      <w:start w:val="1"/>
    </w:lvl>
  </w:abstractNum>
  <w:abstractNum w:abstractNumId="64">
    <w:nsid w:val="327FAC77"/>
    <w:multiLevelType w:val="hybridMultilevel"/>
    <w:lvl w:ilvl="0">
      <w:lvlJc w:val="left"/>
      <w:lvlText w:val="(%1)"/>
      <w:numFmt w:val="lowerLetter"/>
      <w:start w:val="3"/>
    </w:lvl>
  </w:abstractNum>
  <w:abstractNum w:abstractNumId="65">
    <w:nsid w:val="5A606509"/>
    <w:multiLevelType w:val="hybridMultilevel"/>
    <w:lvl w:ilvl="0">
      <w:lvlJc w:val="left"/>
      <w:lvlText w:val="(%1)"/>
      <w:numFmt w:val="lowerRoman"/>
      <w:start w:val="1"/>
    </w:lvl>
  </w:abstractNum>
  <w:abstractNum w:abstractNumId="66">
    <w:nsid w:val="6F38E6D1"/>
    <w:multiLevelType w:val="hybridMultilevel"/>
    <w:lvl w:ilvl="0">
      <w:lvlJc w:val="left"/>
      <w:lvlText w:val="(%1)"/>
      <w:numFmt w:val="lowerRoman"/>
      <w:start w:val="5"/>
    </w:lvl>
  </w:abstractNum>
  <w:abstractNum w:abstractNumId="67">
    <w:nsid w:val="46111BA5"/>
    <w:multiLevelType w:val="hybridMultilevel"/>
    <w:lvl w:ilvl="0">
      <w:lvlJc w:val="left"/>
      <w:lvlText w:val="%1"/>
      <w:numFmt w:val="lowerLetter"/>
      <w:start w:val="1"/>
    </w:lvl>
    <w:lvl w:ilvl="1">
      <w:lvlJc w:val="left"/>
      <w:lvlText w:val="(%2)"/>
      <w:numFmt w:val="lowerRoman"/>
      <w:start w:val="13"/>
    </w:lvl>
  </w:abstractNum>
  <w:abstractNum w:abstractNumId="68">
    <w:nsid w:val="5E963896"/>
    <w:multiLevelType w:val="hybridMultilevel"/>
    <w:lvl w:ilvl="0">
      <w:lvlJc w:val="left"/>
      <w:lvlText w:val="(%1)"/>
      <w:numFmt w:val="lowerLetter"/>
      <w:start w:val="2"/>
    </w:lvl>
    <w:lvl w:ilvl="1">
      <w:lvlJc w:val="left"/>
      <w:lvlText w:val="%2"/>
      <w:numFmt w:val="lowerRoman"/>
      <w:start w:val="1"/>
    </w:lvl>
  </w:abstractNum>
  <w:abstractNum w:abstractNumId="69">
    <w:nsid w:val="775BA7C1"/>
    <w:multiLevelType w:val="hybridMultilevel"/>
    <w:lvl w:ilvl="0">
      <w:lvlJc w:val="left"/>
      <w:lvlText w:val="(%1)"/>
      <w:numFmt w:val="lowerLetter"/>
      <w:start w:val="2"/>
    </w:lvl>
  </w:abstractNum>
  <w:abstractNum w:abstractNumId="70">
    <w:nsid w:val="1DD6D6F4"/>
    <w:multiLevelType w:val="hybridMultilevel"/>
    <w:lvl w:ilvl="0">
      <w:lvlJc w:val="left"/>
      <w:lvlText w:val="(%1)"/>
      <w:numFmt w:val="lowerLetter"/>
      <w:start w:val="4"/>
    </w:lvl>
  </w:abstractNum>
  <w:abstractNum w:abstractNumId="71">
    <w:nsid w:val="769A091F"/>
    <w:multiLevelType w:val="hybridMultilevel"/>
    <w:lvl w:ilvl="0">
      <w:lvlJc w:val="left"/>
      <w:lvlText w:val="(%1)"/>
      <w:numFmt w:val="lowerLetter"/>
      <w:start w:val="2"/>
    </w:lvl>
  </w:abstractNum>
  <w:abstractNum w:abstractNumId="72">
    <w:nsid w:val="4695AE95"/>
    <w:multiLevelType w:val="hybridMultilevel"/>
    <w:lvl w:ilvl="0">
      <w:lvlJc w:val="left"/>
      <w:lvlText w:val="(%1)"/>
      <w:numFmt w:val="lowerLetter"/>
      <w:start w:val="3"/>
    </w:lvl>
  </w:abstractNum>
  <w:abstractNum w:abstractNumId="73">
    <w:nsid w:val="777A4EAA"/>
    <w:multiLevelType w:val="hybridMultilevel"/>
    <w:lvl w:ilvl="0">
      <w:lvlJc w:val="left"/>
      <w:lvlText w:val="(%1)"/>
      <w:numFmt w:val="lowerLetter"/>
      <w:start w:val="2"/>
    </w:lvl>
  </w:abstractNum>
  <w:abstractNum w:abstractNumId="74">
    <w:nsid w:val="3F48B982"/>
    <w:multiLevelType w:val="hybridMultilevel"/>
    <w:lvl w:ilvl="0">
      <w:lvlJc w:val="left"/>
      <w:lvlText w:val="(%1)"/>
      <w:numFmt w:val="lowerLetter"/>
      <w:start w:val="35"/>
    </w:lvl>
    <w:lvl w:ilvl="1">
      <w:lvlJc w:val="left"/>
      <w:lvlText w:val="(%2)"/>
      <w:numFmt w:val="lowerLetter"/>
      <w:start w:val="2"/>
    </w:lvl>
  </w:abstractNum>
  <w:abstractNum w:abstractNumId="75">
    <w:nsid w:val="46BA8FCA"/>
    <w:multiLevelType w:val="hybridMultilevel"/>
    <w:lvl w:ilvl="0">
      <w:lvlJc w:val="left"/>
      <w:lvlText w:val="(%1)"/>
      <w:numFmt w:val="lowerLetter"/>
      <w:start w:val="2"/>
    </w:lvl>
  </w:abstractNum>
  <w:abstractNum w:abstractNumId="76">
    <w:nsid w:val="7835626C"/>
    <w:multiLevelType w:val="hybridMultilevel"/>
    <w:lvl w:ilvl="0">
      <w:lvlJc w:val="left"/>
      <w:lvlText w:val="(%1)"/>
      <w:numFmt w:val="lowerLetter"/>
      <w:start w:val="61"/>
    </w:lvl>
    <w:lvl w:ilvl="1">
      <w:lvlJc w:val="left"/>
      <w:lvlText w:val="(%2)"/>
      <w:numFmt w:val="lowerLetter"/>
      <w:start w:val="2"/>
    </w:lvl>
  </w:abstractNum>
  <w:abstractNum w:abstractNumId="77">
    <w:nsid w:val="665ACA49"/>
    <w:multiLevelType w:val="hybridMultilevel"/>
    <w:lvl w:ilvl="0">
      <w:lvlJc w:val="left"/>
      <w:lvlText w:val="(%1)"/>
      <w:numFmt w:val="lowerLetter"/>
      <w:start w:val="9"/>
    </w:lvl>
    <w:lvl w:ilvl="1">
      <w:lvlJc w:val="left"/>
      <w:lvlText w:val="%2"/>
      <w:numFmt w:val="lowerLetter"/>
      <w:start w:val="1"/>
    </w:lvl>
  </w:abstractNum>
  <w:abstractNum w:abstractNumId="78">
    <w:nsid w:val="6835B2AE"/>
    <w:multiLevelType w:val="hybridMultilevel"/>
    <w:lvl w:ilvl="0">
      <w:lvlJc w:val="left"/>
      <w:lvlText w:val="(%1)"/>
      <w:numFmt w:val="lowerLetter"/>
      <w:start w:val="2"/>
    </w:lvl>
  </w:abstractNum>
  <w:abstractNum w:abstractNumId="79">
    <w:nsid w:val="4C187C90"/>
    <w:multiLevelType w:val="hybridMultilevel"/>
    <w:lvl w:ilvl="0">
      <w:lvlJc w:val="left"/>
      <w:lvlText w:val="(%1)"/>
      <w:numFmt w:val="lowerLetter"/>
      <w:start w:val="2"/>
    </w:lvl>
  </w:abstractNum>
  <w:abstractNum w:abstractNumId="80">
    <w:nsid w:val="541F28CD"/>
    <w:multiLevelType w:val="hybridMultilevel"/>
    <w:lvl w:ilvl="0">
      <w:lvlJc w:val="left"/>
      <w:lvlText w:val="(%1)"/>
      <w:numFmt w:val="lowerLetter"/>
      <w:start w:val="4"/>
    </w:lvl>
  </w:abstractNum>
  <w:abstractNum w:abstractNumId="81">
    <w:nsid w:val="7F65FD16"/>
    <w:multiLevelType w:val="hybridMultilevel"/>
    <w:lvl w:ilvl="0">
      <w:lvlJc w:val="left"/>
      <w:lvlText w:val="(%1)"/>
      <w:numFmt w:val="lowerLetter"/>
      <w:start w:val="2"/>
    </w:lvl>
  </w:abstractNum>
  <w:abstractNum w:abstractNumId="82">
    <w:nsid w:val="77C9FD68"/>
    <w:multiLevelType w:val="hybridMultilevel"/>
    <w:lvl w:ilvl="0">
      <w:lvlJc w:val="left"/>
      <w:lvlText w:val="(%1)"/>
      <w:numFmt w:val="lowerRoman"/>
      <w:start w:val="1"/>
    </w:lvl>
  </w:abstractNum>
  <w:abstractNum w:abstractNumId="83">
    <w:nsid w:val="298A92BA"/>
    <w:multiLevelType w:val="hybridMultilevel"/>
    <w:lvl w:ilvl="0">
      <w:lvlJc w:val="left"/>
      <w:lvlText w:val="%1"/>
      <w:numFmt w:val="upperLetter"/>
      <w:start w:val="1"/>
    </w:lvl>
    <w:lvl w:ilvl="1">
      <w:lvlJc w:val="left"/>
      <w:lvlText w:val="(%2)"/>
      <w:numFmt w:val="lowerRoman"/>
      <w:start w:val="8"/>
    </w:lvl>
  </w:abstractNum>
  <w:abstractNum w:abstractNumId="84">
    <w:nsid w:val="6FE95EAC"/>
    <w:multiLevelType w:val="hybridMultilevel"/>
    <w:lvl w:ilvl="0">
      <w:lvlJc w:val="left"/>
      <w:lvlText w:val="(%1)"/>
      <w:numFmt w:val="upperLetter"/>
      <w:start w:val="2"/>
    </w:lvl>
    <w:lvl w:ilvl="1">
      <w:lvlJc w:val="left"/>
      <w:lvlText w:val="(%2)"/>
      <w:numFmt w:val="lowerRoman"/>
      <w:start w:val="11"/>
    </w:lvl>
  </w:abstractNum>
  <w:abstractNum w:abstractNumId="85">
    <w:nsid w:val="4B697C7A"/>
    <w:multiLevelType w:val="hybridMultilevel"/>
    <w:lvl w:ilvl="0">
      <w:lvlJc w:val="left"/>
      <w:lvlText w:val="%1"/>
      <w:numFmt w:val="lowerLetter"/>
      <w:start w:val="1"/>
    </w:lvl>
    <w:lvl w:ilvl="1">
      <w:lvlJc w:val="left"/>
      <w:lvlText w:val="(%2)"/>
      <w:numFmt w:val="lowerRoman"/>
      <w:start w:val="15"/>
    </w:lvl>
  </w:abstractNum>
  <w:abstractNum w:abstractNumId="86">
    <w:nsid w:val="51A27AA6"/>
    <w:multiLevelType w:val="hybridMultilevel"/>
    <w:lvl w:ilvl="0">
      <w:lvlJc w:val="left"/>
      <w:lvlText w:val="(%1)"/>
      <w:numFmt w:val="lowerLetter"/>
      <w:start w:val="25"/>
    </w:lvl>
    <w:lvl w:ilvl="1">
      <w:lvlJc w:val="left"/>
      <w:lvlText w:val="(%2)"/>
      <w:numFmt w:val="lowerRoman"/>
      <w:start w:val="19"/>
    </w:lvl>
  </w:abstractNum>
  <w:abstractNum w:abstractNumId="87">
    <w:nsid w:val="613183F2"/>
    <w:multiLevelType w:val="hybridMultilevel"/>
    <w:lvl w:ilvl="0">
      <w:lvlJc w:val="left"/>
      <w:lvlText w:val="(%1)"/>
      <w:numFmt w:val="lowerRoman"/>
      <w:start w:val="20"/>
    </w:lvl>
  </w:abstractNum>
  <w:abstractNum w:abstractNumId="88">
    <w:nsid w:val="634102B4"/>
    <w:multiLevelType w:val="hybridMultilevel"/>
    <w:lvl w:ilvl="0">
      <w:lvlJc w:val="left"/>
      <w:lvlText w:val="(%1)"/>
      <w:numFmt w:val="lowerLetter"/>
      <w:start w:val="3"/>
    </w:lvl>
  </w:abstractNum>
  <w:abstractNum w:abstractNumId="89">
    <w:nsid w:val="65BF9DA8"/>
    <w:multiLevelType w:val="hybridMultilevel"/>
    <w:lvl w:ilvl="0">
      <w:lvlJc w:val="left"/>
      <w:lvlText w:val="%1"/>
      <w:numFmt w:val="lowerLetter"/>
      <w:start w:val="1"/>
    </w:lvl>
    <w:lvl w:ilvl="1">
      <w:lvlJc w:val="left"/>
      <w:lvlText w:val="(%2)"/>
      <w:numFmt w:val="lowerLetter"/>
      <w:start w:val="9"/>
    </w:lvl>
  </w:abstractNum>
  <w:abstractNum w:abstractNumId="90">
    <w:nsid w:val="21A2ECCA"/>
    <w:multiLevelType w:val="hybridMultilevel"/>
    <w:lvl w:ilvl="0">
      <w:lvlJc w:val="left"/>
      <w:lvlText w:val="(%1)"/>
      <w:numFmt w:val="lowerLetter"/>
      <w:start w:val="25"/>
    </w:lvl>
    <w:lvl w:ilvl="1">
      <w:lvlJc w:val="left"/>
      <w:lvlText w:val="(%2)"/>
      <w:numFmt w:val="lowerLetter"/>
      <w:start w:val="35"/>
    </w:lvl>
  </w:abstractNum>
  <w:abstractNum w:abstractNumId="91">
    <w:nsid w:val="4D5C4899"/>
    <w:multiLevelType w:val="hybridMultilevel"/>
    <w:lvl w:ilvl="0">
      <w:lvlJc w:val="left"/>
      <w:lvlText w:val="(%1)"/>
      <w:numFmt w:val="lowerLetter"/>
      <w:start w:val="2"/>
    </w:lvl>
  </w:abstractNum>
  <w:abstractNum w:abstractNumId="92">
    <w:nsid w:val="3C3B72B2"/>
    <w:multiLevelType w:val="hybridMultilevel"/>
    <w:lvl w:ilvl="0">
      <w:lvlJc w:val="left"/>
      <w:lvlText w:val="(%1)"/>
      <w:numFmt w:val="lowerLetter"/>
      <w:start w:val="4"/>
    </w:lvl>
  </w:abstractNum>
  <w:abstractNum w:abstractNumId="93">
    <w:nsid w:val="155EC4C2"/>
    <w:multiLevelType w:val="hybridMultilevel"/>
    <w:lvl w:ilvl="0">
      <w:lvlJc w:val="left"/>
      <w:lvlText w:val="(%1)"/>
      <w:numFmt w:val="lowerLetter"/>
      <w:start w:val="2"/>
    </w:lvl>
  </w:abstractNum>
  <w:abstractNum w:abstractNumId="94">
    <w:nsid w:val="65D2A137"/>
    <w:multiLevelType w:val="hybridMultilevel"/>
    <w:lvl w:ilvl="0">
      <w:lvlJc w:val="left"/>
      <w:lvlText w:val="(%1)"/>
      <w:numFmt w:val="lowerLetter"/>
      <w:start w:val="4"/>
    </w:lvl>
  </w:abstractNum>
  <w:abstractNum w:abstractNumId="95">
    <w:nsid w:val="6EBB1F2A"/>
    <w:multiLevelType w:val="hybridMultilevel"/>
    <w:lvl w:ilvl="0">
      <w:lvlJc w:val="left"/>
      <w:lvlText w:val="%1"/>
      <w:numFmt w:val="upperLetter"/>
      <w:start w:val="1"/>
    </w:lvl>
    <w:lvl w:ilvl="1">
      <w:lvlJc w:val="left"/>
      <w:lvlText w:val="(%2)"/>
      <w:numFmt w:val="lowerLetter"/>
      <w:start w:val="5"/>
    </w:lvl>
  </w:abstractNum>
  <w:abstractNum w:abstractNumId="96">
    <w:nsid w:val="6FBF29CB"/>
    <w:multiLevelType w:val="hybridMultilevel"/>
    <w:lvl w:ilvl="0">
      <w:lvlJc w:val="left"/>
      <w:lvlText w:val="(%1)"/>
      <w:numFmt w:val="upperLetter"/>
      <w:start w:val="1"/>
    </w:lvl>
    <w:lvl w:ilvl="1">
      <w:lvlJc w:val="left"/>
      <w:lvlText w:val="%2"/>
      <w:numFmt w:val="lowerLetter"/>
      <w:start w:val="1"/>
    </w:lvl>
  </w:abstractNum>
  <w:abstractNum w:abstractNumId="97">
    <w:nsid w:val="550B8808"/>
    <w:multiLevelType w:val="hybridMultilevel"/>
    <w:lvl w:ilvl="0">
      <w:lvlJc w:val="left"/>
      <w:lvlText w:val="(%1)"/>
      <w:numFmt w:val="lowerLetter"/>
      <w:start w:val="24"/>
    </w:lvl>
    <w:lvl w:ilvl="1">
      <w:lvlJc w:val="left"/>
      <w:lvlText w:val="(%2)"/>
      <w:numFmt w:val="lowerLetter"/>
      <w:start w:val="2"/>
    </w:lvl>
  </w:abstractNum>
  <w:abstractNum w:abstractNumId="98">
    <w:nsid w:val="34CC3ACF"/>
    <w:multiLevelType w:val="hybridMultilevel"/>
    <w:lvl w:ilvl="0">
      <w:lvlJc w:val="left"/>
      <w:lvlText w:val="(%1)"/>
      <w:numFmt w:val="lowerLetter"/>
      <w:start w:val="3"/>
    </w:lvl>
  </w:abstractNum>
  <w:abstractNum w:abstractNumId="99">
    <w:nsid w:val="4E556261"/>
    <w:multiLevelType w:val="hybridMultilevel"/>
    <w:lvl w:ilvl="0">
      <w:lvlJc w:val="left"/>
      <w:lvlText w:val="(%1)"/>
      <w:numFmt w:val="lowerLetter"/>
      <w:start w:val="2"/>
    </w:lvl>
  </w:abstractNum>
  <w:abstractNum w:abstractNumId="100">
    <w:nsid w:val="4C672FC9"/>
    <w:multiLevelType w:val="hybridMultilevel"/>
    <w:lvl w:ilvl="0">
      <w:lvlJc w:val="left"/>
      <w:lvlText w:val="(%1)"/>
      <w:numFmt w:val="lowerLetter"/>
      <w:start w:val="4"/>
    </w:lvl>
  </w:abstractNum>
  <w:abstractNum w:abstractNumId="101">
    <w:nsid w:val="52A311C3"/>
    <w:multiLevelType w:val="hybridMultilevel"/>
    <w:lvl w:ilvl="0">
      <w:lvlJc w:val="left"/>
      <w:lvlText w:val="(%1)"/>
      <w:numFmt w:val="upperLetter"/>
      <w:start w:val="2"/>
    </w:lvl>
  </w:abstractNum>
  <w:abstractNum w:abstractNumId="102">
    <w:nsid w:val="44EF6B80"/>
    <w:multiLevelType w:val="hybridMultilevel"/>
    <w:lvl w:ilvl="0">
      <w:lvlJc w:val="left"/>
      <w:lvlText w:val="(%1)"/>
      <w:numFmt w:val="lowerLetter"/>
      <w:start w:val="2"/>
    </w:lvl>
  </w:abstractNum>
  <w:abstractNum w:abstractNumId="103">
    <w:nsid w:val="12FCDE5E"/>
    <w:multiLevelType w:val="hybridMultilevel"/>
    <w:lvl w:ilvl="0">
      <w:lvlJc w:val="left"/>
      <w:lvlText w:val="(%1)"/>
      <w:numFmt w:val="lowerLetter"/>
      <w:start w:val="2"/>
    </w:lvl>
  </w:abstractNum>
  <w:abstractNum w:abstractNumId="104">
    <w:nsid w:val="4A1D606E"/>
    <w:multiLevelType w:val="hybridMultilevel"/>
    <w:lvl w:ilvl="0">
      <w:lvlJc w:val="left"/>
      <w:lvlText w:val="(%1)"/>
      <w:numFmt w:val="decimal"/>
      <w:start w:val="1"/>
    </w:lvl>
  </w:abstractNum>
  <w:abstractNum w:abstractNumId="105">
    <w:nsid w:val="4382503"/>
    <w:multiLevelType w:val="hybridMultilevel"/>
    <w:lvl w:ilvl="0">
      <w:lvlJc w:val="left"/>
      <w:lvlText w:val="%1"/>
      <w:numFmt w:val="upperLetter"/>
      <w:start w:val="1"/>
    </w:lvl>
    <w:lvl w:ilvl="1">
      <w:lvlJc w:val="left"/>
      <w:lvlText w:val="(%2)"/>
      <w:numFmt w:val="lowerLetter"/>
      <w:start w:val="2"/>
    </w:lvl>
  </w:abstractNum>
  <w:abstractNum w:abstractNumId="106">
    <w:nsid w:val="59B76E28"/>
    <w:multiLevelType w:val="hybridMultilevel"/>
    <w:lvl w:ilvl="0">
      <w:lvlJc w:val="left"/>
      <w:lvlText w:val="(%1)"/>
      <w:numFmt w:val="upperLetter"/>
      <w:start w:val="2"/>
    </w:lvl>
    <w:lvl w:ilvl="1">
      <w:lvlJc w:val="left"/>
      <w:lvlText w:val="%2"/>
      <w:numFmt w:val="lowerLetter"/>
      <w:start w:val="1"/>
    </w:lvl>
  </w:abstractNum>
  <w:abstractNum w:abstractNumId="107">
    <w:nsid w:val="4252C2DA"/>
    <w:multiLevelType w:val="hybridMultilevel"/>
    <w:lvl w:ilvl="0">
      <w:lvlJc w:val="left"/>
      <w:lvlText w:val="(%1)"/>
      <w:numFmt w:val="lowerLetter"/>
      <w:start w:val="2"/>
    </w:lvl>
  </w:abstractNum>
  <w:abstractNum w:abstractNumId="108">
    <w:nsid w:val="6A92EF4C"/>
    <w:multiLevelType w:val="hybridMultilevel"/>
    <w:lvl w:ilvl="0">
      <w:lvlJc w:val="left"/>
      <w:lvlText w:val="(%1)"/>
      <w:numFmt w:val="lowerLetter"/>
      <w:start w:val="2"/>
    </w:lvl>
  </w:abstractNum>
  <w:abstractNum w:abstractNumId="109">
    <w:nsid w:val="41ED20D7"/>
    <w:multiLevelType w:val="hybridMultilevel"/>
    <w:lvl w:ilvl="0">
      <w:lvlJc w:val="left"/>
      <w:lvlText w:val="(%1)"/>
      <w:numFmt w:val="lowerLetter"/>
      <w:start w:val="3"/>
    </w:lvl>
  </w:abstractNum>
  <w:abstractNum w:abstractNumId="110">
    <w:nsid w:val="E6B3F6A"/>
    <w:multiLevelType w:val="hybridMultilevel"/>
    <w:lvl w:ilvl="0">
      <w:lvlJc w:val="left"/>
      <w:lvlText w:val="(%1)"/>
      <w:numFmt w:val="lowerRoman"/>
      <w:start w:val="4"/>
    </w:lvl>
    <w:lvl w:ilvl="1">
      <w:lvlJc w:val="left"/>
      <w:lvlText w:val="(%2)"/>
      <w:numFmt w:val="lowerLetter"/>
      <w:start w:val="2"/>
    </w:lvl>
  </w:abstractNum>
  <w:abstractNum w:abstractNumId="111">
    <w:nsid w:val="3EB21819"/>
    <w:multiLevelType w:val="hybridMultilevel"/>
    <w:lvl w:ilvl="0">
      <w:lvlJc w:val="left"/>
      <w:lvlText w:val="(%1)"/>
      <w:numFmt w:val="lowerLetter"/>
      <w:start w:val="4"/>
    </w:lvl>
  </w:abstractNum>
  <w:abstractNum w:abstractNumId="112">
    <w:nsid w:val="41531DED"/>
    <w:multiLevelType w:val="hybridMultilevel"/>
    <w:lvl w:ilvl="0">
      <w:lvlJc w:val="left"/>
      <w:lvlText w:val="%1"/>
      <w:numFmt w:val="decimal"/>
      <w:start w:val="1"/>
    </w:lvl>
    <w:lvl w:ilvl="1">
      <w:lvlJc w:val="left"/>
      <w:lvlText w:val="(%2)"/>
      <w:numFmt w:val="lowerRoman"/>
      <w:start w:val="1"/>
    </w:lvl>
  </w:abstractNum>
  <w:abstractNum w:abstractNumId="113">
    <w:nsid w:val="6353CD2"/>
    <w:multiLevelType w:val="hybridMultilevel"/>
    <w:lvl w:ilvl="0">
      <w:lvlJc w:val="left"/>
      <w:lvlText w:val="(%1)"/>
      <w:numFmt w:val="decimal"/>
      <w:start w:val="1"/>
    </w:lvl>
    <w:lvl w:ilvl="1">
      <w:lvlJc w:val="left"/>
      <w:lvlText w:val="%2"/>
      <w:numFmt w:val="lowerRoman"/>
      <w:start w:val="1"/>
    </w:lvl>
  </w:abstractNum>
  <w:abstractNum w:abstractNumId="114">
    <w:nsid w:val="683CAAD3"/>
    <w:multiLevelType w:val="hybridMultilevel"/>
    <w:lvl w:ilvl="0">
      <w:lvlJc w:val="left"/>
      <w:lvlText w:val="(%1)"/>
      <w:numFmt w:val="lowerRoman"/>
      <w:start w:val="3"/>
    </w:lvl>
  </w:abstractNum>
  <w:abstractNum w:abstractNumId="115">
    <w:nsid w:val="313C7C99"/>
    <w:multiLevelType w:val="hybridMultilevel"/>
    <w:lvl w:ilvl="0">
      <w:lvlJc w:val="left"/>
      <w:lvlText w:val="%1"/>
      <w:numFmt w:val="upperLetter"/>
      <w:start w:val="1"/>
    </w:lvl>
    <w:lvl w:ilvl="1">
      <w:lvlJc w:val="left"/>
      <w:lvlText w:val="(%2)"/>
      <w:numFmt w:val="lowerRoman"/>
      <w:start w:val="7"/>
    </w:lvl>
  </w:abstractNum>
  <w:abstractNum w:abstractNumId="116">
    <w:nsid w:val="519EB94C"/>
    <w:multiLevelType w:val="hybridMultilevel"/>
    <w:lvl w:ilvl="0">
      <w:lvlJc w:val="left"/>
      <w:lvlText w:val="(%1)"/>
      <w:numFmt w:val="upperLetter"/>
      <w:start w:val="1"/>
    </w:lvl>
    <w:lvl w:ilvl="1">
      <w:lvlJc w:val="left"/>
      <w:lvlText w:val="(%2)"/>
      <w:numFmt w:val="lowerRoman"/>
      <w:start w:val="10"/>
    </w:lvl>
  </w:abstractNum>
  <w:abstractNum w:abstractNumId="117">
    <w:nsid w:val="39DF2579"/>
    <w:multiLevelType w:val="hybridMultilevel"/>
    <w:lvl w:ilvl="0">
      <w:lvlJc w:val="left"/>
      <w:lvlText w:val="(%1)"/>
      <w:numFmt w:val="lowerLetter"/>
      <w:start w:val="2"/>
    </w:lvl>
  </w:abstractNum>
  <w:abstractNum w:abstractNumId="118">
    <w:nsid w:val="126E008B"/>
    <w:multiLevelType w:val="hybridMultilevel"/>
    <w:lvl w:ilvl="0">
      <w:lvlJc w:val="left"/>
      <w:lvlText w:val="(%1)"/>
      <w:numFmt w:val="lowerLetter"/>
      <w:start w:val="5"/>
    </w:lvl>
  </w:abstractNum>
  <w:abstractNum w:abstractNumId="119">
    <w:nsid w:val="34DFBC00"/>
    <w:multiLevelType w:val="hybridMultilevel"/>
    <w:lvl w:ilvl="0">
      <w:lvlJc w:val="left"/>
      <w:lvlText w:val="(%1)"/>
      <w:numFmt w:val="lowerLetter"/>
      <w:start w:val="1"/>
    </w:lvl>
  </w:abstractNum>
  <w:abstractNum w:abstractNumId="120">
    <w:nsid w:val="1F9EC322"/>
    <w:multiLevelType w:val="hybridMultilevel"/>
    <w:lvl w:ilvl="0">
      <w:lvlJc w:val="left"/>
      <w:lvlText w:val="(%1)"/>
      <w:numFmt w:val="lowerLetter"/>
      <w:start w:val="3"/>
    </w:lvl>
  </w:abstractNum>
  <w:abstractNum w:abstractNumId="121">
    <w:nsid w:val="3410ED56"/>
    <w:multiLevelType w:val="hybridMultilevel"/>
    <w:lvl w:ilvl="0">
      <w:lvlJc w:val="left"/>
      <w:lvlText w:val="%1"/>
      <w:numFmt w:val="lowerLetter"/>
      <w:start w:val="1"/>
    </w:lvl>
    <w:lvl w:ilvl="1">
      <w:lvlJc w:val="left"/>
      <w:lvlText w:val="(%2)"/>
      <w:numFmt w:val="lowerLetter"/>
      <w:start w:val="1"/>
    </w:lvl>
  </w:abstractNum>
  <w:abstractNum w:abstractNumId="122">
    <w:nsid w:val="23C049A"/>
    <w:multiLevelType w:val="hybridMultilevel"/>
    <w:lvl w:ilvl="0">
      <w:lvlJc w:val="left"/>
      <w:lvlText w:val="(%1)"/>
      <w:numFmt w:val="lowerLetter"/>
      <w:start w:val="61"/>
    </w:lvl>
    <w:lvl w:ilvl="1">
      <w:lvlJc w:val="left"/>
      <w:lvlText w:val="(%2)"/>
      <w:numFmt w:val="lowerLetter"/>
      <w:start w:val="2"/>
    </w:lvl>
  </w:abstractNum>
  <w:abstractNum w:abstractNumId="123">
    <w:nsid w:val="5BDA35D4"/>
    <w:multiLevelType w:val="hybridMultilevel"/>
    <w:lvl w:ilvl="0">
      <w:lvlJc w:val="left"/>
      <w:lvlText w:val="(%1)"/>
      <w:numFmt w:val="lowerLetter"/>
      <w:start w:val="4"/>
    </w:lvl>
  </w:abstractNum>
  <w:abstractNum w:abstractNumId="124">
    <w:nsid w:val="496FB218"/>
    <w:multiLevelType w:val="hybridMultilevel"/>
    <w:lvl w:ilvl="0">
      <w:lvlJc w:val="left"/>
      <w:lvlText w:val="(%1)"/>
      <w:numFmt w:val="lowerLetter"/>
      <w:start w:val="1"/>
    </w:lvl>
  </w:abstractNum>
  <w:abstractNum w:abstractNumId="125">
    <w:nsid w:val="680EA5D1"/>
    <w:multiLevelType w:val="hybridMultilevel"/>
    <w:lvl w:ilvl="0">
      <w:lvlJc w:val="left"/>
      <w:lvlText w:val="(%1)"/>
      <w:numFmt w:val="lowerLetter"/>
      <w:start w:val="1"/>
    </w:lvl>
    <w:lvl w:ilvl="1">
      <w:lvlJc w:val="left"/>
      <w:lvlText w:val="(%2)"/>
      <w:numFmt w:val="lowerRoman"/>
      <w:start w:val="1"/>
    </w:lvl>
  </w:abstractNum>
  <w:abstractNum w:abstractNumId="126">
    <w:nsid w:val="4A9554FE"/>
    <w:multiLevelType w:val="hybridMultilevel"/>
    <w:lvl w:ilvl="0">
      <w:lvlJc w:val="left"/>
      <w:lvlText w:val="%1"/>
      <w:numFmt w:val="lowerLetter"/>
      <w:start w:val="1"/>
    </w:lvl>
    <w:lvl w:ilvl="1">
      <w:lvlJc w:val="left"/>
      <w:lvlText w:val="(%2)"/>
      <w:numFmt w:val="lowerRoman"/>
      <w:start w:val="2"/>
    </w:lvl>
  </w:abstractNum>
  <w:abstractNum w:abstractNumId="127">
    <w:nsid w:val="392EDBE4"/>
    <w:multiLevelType w:val="hybridMultilevel"/>
    <w:lvl w:ilvl="0">
      <w:lvlJc w:val="left"/>
      <w:lvlText w:val="(%1)"/>
      <w:numFmt w:val="lowerLetter"/>
      <w:start w:val="4"/>
    </w:lvl>
    <w:lvl w:ilvl="1">
      <w:lvlJc w:val="left"/>
      <w:lvlText w:val="%2"/>
      <w:numFmt w:val="lowerRoman"/>
      <w:start w:val="1"/>
    </w:lvl>
  </w:abstractNum>
  <w:abstractNum w:abstractNumId="128">
    <w:nsid w:val="3D1A2DD9"/>
    <w:multiLevelType w:val="hybridMultilevel"/>
    <w:lvl w:ilvl="0">
      <w:lvlJc w:val="left"/>
      <w:lvlText w:val="(%1)"/>
      <w:numFmt w:val="lowerRoman"/>
      <w:start w:val="1"/>
    </w:lvl>
  </w:abstractNum>
  <w:abstractNum w:abstractNumId="129">
    <w:nsid w:val="7F618FCD"/>
    <w:multiLevelType w:val="hybridMultilevel"/>
    <w:lvl w:ilvl="0">
      <w:lvlJc w:val="left"/>
      <w:lvlText w:val="(%1)"/>
      <w:numFmt w:val="lowerLetter"/>
      <w:start w:val="2"/>
    </w:lvl>
  </w:abstractNum>
  <w:abstractNum w:abstractNumId="130">
    <w:nsid w:val="7843E45"/>
    <w:multiLevelType w:val="hybridMultilevel"/>
    <w:lvl w:ilvl="0">
      <w:lvlJc w:val="left"/>
      <w:lvlText w:val="(%1)"/>
      <w:numFmt w:val="lowerLetter"/>
      <w:start w:val="4"/>
    </w:lvl>
  </w:abstractNum>
  <w:abstractNum w:abstractNumId="131">
    <w:nsid w:val="9815DA3"/>
    <w:multiLevelType w:val="hybridMultilevel"/>
    <w:lvl w:ilvl="0">
      <w:lvlJc w:val="left"/>
      <w:lvlText w:val="%1"/>
      <w:numFmt w:val="lowerLetter"/>
      <w:start w:val="1"/>
    </w:lvl>
    <w:lvl w:ilvl="1">
      <w:lvlJc w:val="left"/>
      <w:lvlText w:val="(%2)"/>
      <w:numFmt w:val="lowerLetter"/>
      <w:start w:val="2"/>
    </w:lvl>
  </w:abstractNum>
  <w:abstractNum w:abstractNumId="132">
    <w:nsid w:val="5204A191"/>
    <w:multiLevelType w:val="hybridMultilevel"/>
    <w:lvl w:ilvl="0">
      <w:lvlJc w:val="left"/>
      <w:lvlText w:val="(%1)"/>
      <w:numFmt w:val="lowerLetter"/>
      <w:start w:val="35"/>
    </w:lvl>
    <w:lvl w:ilvl="1">
      <w:lvlJc w:val="left"/>
      <w:lvlText w:val="(%2)"/>
      <w:numFmt w:val="lowerLetter"/>
      <w:start w:val="4"/>
    </w:lvl>
  </w:abstractNum>
  <w:abstractNum w:abstractNumId="133">
    <w:nsid w:val="4C73A9C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34">
    <w:nsid w:val="1C7E3C01"/>
    <w:multiLevelType w:val="hybridMultilevel"/>
    <w:lvl w:ilvl="0">
      <w:lvlJc w:val="left"/>
      <w:lvlText w:val="(%1)"/>
      <w:numFmt w:val="lowerLetter"/>
      <w:start w:val="25"/>
    </w:lvl>
    <w:lvl w:ilvl="1">
      <w:lvlJc w:val="left"/>
      <w:lvlText w:val="(%2)"/>
      <w:numFmt w:val="lowerRoman"/>
      <w:start w:val="2"/>
    </w:lvl>
    <w:lvl w:ilvl="2">
      <w:lvlJc w:val="left"/>
      <w:lvlText w:val="(%3)"/>
      <w:numFmt w:val="upperLetter"/>
      <w:start w:val="3"/>
    </w:lvl>
  </w:abstractNum>
  <w:abstractNum w:abstractNumId="135">
    <w:nsid w:val="1C2201FF"/>
    <w:multiLevelType w:val="hybridMultilevel"/>
    <w:lvl w:ilvl="0">
      <w:lvlJc w:val="left"/>
      <w:lvlText w:val="%1"/>
      <w:numFmt w:val="lowerLetter"/>
      <w:start w:val="1"/>
    </w:lvl>
    <w:lvl w:ilvl="1">
      <w:lvlJc w:val="left"/>
      <w:lvlText w:val="(%2)"/>
      <w:numFmt w:val="lowerRoman"/>
      <w:start w:val="6"/>
    </w:lvl>
  </w:abstractNum>
  <w:abstractNum w:abstractNumId="136">
    <w:nsid w:val="50ABCEC9"/>
    <w:multiLevelType w:val="hybridMultilevel"/>
    <w:lvl w:ilvl="0">
      <w:lvlJc w:val="left"/>
      <w:lvlText w:val="(%1)"/>
      <w:numFmt w:val="lowerLetter"/>
      <w:start w:val="6"/>
    </w:lvl>
    <w:lvl w:ilvl="1">
      <w:lvlJc w:val="left"/>
      <w:lvlText w:val="%2"/>
      <w:numFmt w:val="lowerRoman"/>
      <w:start w:val="1"/>
    </w:lvl>
  </w:abstractNum>
  <w:abstractNum w:abstractNumId="137">
    <w:nsid w:val="7635AA2A"/>
    <w:multiLevelType w:val="hybridMultilevel"/>
    <w:lvl w:ilvl="0">
      <w:lvlJc w:val="left"/>
      <w:lvlText w:val="(%1)"/>
      <w:numFmt w:val="lowerRoman"/>
      <w:start w:val="1"/>
    </w:lvl>
  </w:abstractNum>
  <w:abstractNum w:abstractNumId="138">
    <w:nsid w:val="5E74C4D9"/>
    <w:multiLevelType w:val="hybridMultilevel"/>
    <w:lvl w:ilvl="0">
      <w:lvlJc w:val="left"/>
      <w:lvlText w:val="(%1)"/>
      <w:numFmt w:val="lowerLetter"/>
      <w:start w:val="7"/>
    </w:lvl>
  </w:abstractNum>
  <w:abstractNum w:abstractNumId="139">
    <w:nsid w:val="3B3EBE15"/>
    <w:multiLevelType w:val="hybridMultilevel"/>
    <w:lvl w:ilvl="0">
      <w:lvlJc w:val="left"/>
      <w:lvlText w:val="(%1)"/>
      <w:numFmt w:val="lowerLetter"/>
      <w:start w:val="2"/>
    </w:lvl>
  </w:abstractNum>
  <w:abstractNum w:abstractNumId="140">
    <w:nsid w:val="3822CB01"/>
    <w:multiLevelType w:val="hybridMultilevel"/>
    <w:lvl w:ilvl="0">
      <w:lvlJc w:val="left"/>
      <w:lvlText w:val="(%1)"/>
      <w:numFmt w:val="upperLetter"/>
      <w:start w:val="3"/>
    </w:lvl>
  </w:abstractNum>
  <w:abstractNum w:abstractNumId="141">
    <w:nsid w:val="6CE00443"/>
    <w:multiLevelType w:val="hybridMultilevel"/>
    <w:lvl w:ilvl="0">
      <w:lvlJc w:val="left"/>
      <w:lvlText w:val="(%1)"/>
      <w:numFmt w:val="lowerLetter"/>
      <w:start w:val="2"/>
    </w:lvl>
  </w:abstractNum>
  <w:abstractNum w:abstractNumId="142">
    <w:nsid w:val="79F0D62F"/>
    <w:multiLevelType w:val="hybridMultilevel"/>
    <w:lvl w:ilvl="0">
      <w:lvlJc w:val="left"/>
      <w:lvlText w:val="(%1)"/>
      <w:numFmt w:val="lowerLetter"/>
      <w:start w:val="4"/>
    </w:lvl>
  </w:abstractNum>
  <w:abstractNum w:abstractNumId="143">
    <w:nsid w:val="7975E8EE"/>
    <w:multiLevelType w:val="hybridMultilevel"/>
    <w:lvl w:ilvl="0">
      <w:lvlJc w:val="left"/>
      <w:lvlText w:val="%1."/>
      <w:numFmt w:val="decimal"/>
      <w:start w:val="1"/>
    </w:lvl>
    <w:lvl w:ilvl="1">
      <w:lvlJc w:val="left"/>
      <w:lvlText w:val="(%2)"/>
      <w:numFmt w:val="lowerLetter"/>
      <w:start w:val="1"/>
    </w:lvl>
  </w:abstractNum>
  <w:abstractNum w:abstractNumId="144">
    <w:nsid w:val="73154115"/>
    <w:multiLevelType w:val="hybridMultilevel"/>
    <w:lvl w:ilvl="0">
      <w:lvlJc w:val="left"/>
      <w:lvlText w:val="%1"/>
      <w:numFmt w:val="decimal"/>
      <w:start w:val="1"/>
    </w:lvl>
    <w:lvl w:ilvl="1">
      <w:lvlJc w:val="left"/>
      <w:lvlText w:val="(%2)"/>
      <w:numFmt w:val="lowerLetter"/>
      <w:start w:val="3"/>
    </w:lvl>
  </w:abstractNum>
  <w:abstractNum w:abstractNumId="145">
    <w:nsid w:val="622D8102"/>
    <w:multiLevelType w:val="hybridMultilevel"/>
    <w:lvl w:ilvl="0">
      <w:lvlJc w:val="left"/>
      <w:lvlText w:val="%1."/>
      <w:numFmt w:val="decimal"/>
      <w:start w:val="2"/>
    </w:lvl>
    <w:lvl w:ilvl="1">
      <w:lvlJc w:val="left"/>
      <w:lvlText w:val="(%2)"/>
      <w:numFmt w:val="lowerLetter"/>
      <w:start w:val="1"/>
    </w:lvl>
  </w:abstractNum>
  <w:abstractNum w:abstractNumId="146">
    <w:nsid w:val="2AB26587"/>
    <w:multiLevelType w:val="hybridMultilevel"/>
    <w:lvl w:ilvl="0">
      <w:lvlJc w:val="left"/>
      <w:lvlText w:val="%1"/>
      <w:numFmt w:val="decimal"/>
      <w:start w:val="1"/>
    </w:lvl>
    <w:lvl w:ilvl="1">
      <w:lvlJc w:val="left"/>
      <w:lvlText w:val="(%2)"/>
      <w:numFmt w:val="lowerLetter"/>
      <w:start w:val="4"/>
    </w:lvl>
  </w:abstractNum>
  <w:abstractNum w:abstractNumId="147">
    <w:nsid w:val="44B3FA61"/>
    <w:multiLevelType w:val="hybridMultilevel"/>
    <w:lvl w:ilvl="0">
      <w:lvlJc w:val="left"/>
      <w:lvlText w:val="%1."/>
      <w:numFmt w:val="decimal"/>
      <w:start w:val="4"/>
    </w:lvl>
    <w:lvl w:ilvl="1">
      <w:lvlJc w:val="left"/>
      <w:lvlText w:val="%2"/>
      <w:numFmt w:val="lowerLetter"/>
      <w:start w:val="1"/>
    </w:lvl>
  </w:abstractNum>
  <w:abstractNum w:abstractNumId="148">
    <w:nsid w:val="1C0CA67C"/>
    <w:multiLevelType w:val="hybridMultilevel"/>
    <w:lvl w:ilvl="0">
      <w:lvlJc w:val="left"/>
      <w:lvlText w:val="%1."/>
      <w:numFmt w:val="decimal"/>
      <w:start w:val="6"/>
    </w:lvl>
  </w:abstractNum>
  <w:abstractNum w:abstractNumId="149">
    <w:nsid w:val="3D206613"/>
    <w:multiLevelType w:val="hybridMultilevel"/>
    <w:lvl w:ilvl="0">
      <w:lvlJc w:val="left"/>
      <w:lvlText w:val="%1."/>
      <w:numFmt w:val="decimal"/>
      <w:start w:val="10"/>
    </w:lvl>
    <w:lvl w:ilvl="1">
      <w:lvlJc w:val="left"/>
      <w:lvlText w:val="(%2)"/>
      <w:numFmt w:val="lowerLetter"/>
      <w:start w:val="1"/>
    </w:lvl>
  </w:abstractNum>
  <w:abstractNum w:abstractNumId="150">
    <w:nsid w:val="7993B662"/>
    <w:multiLevelType w:val="hybridMultilevel"/>
    <w:lvl w:ilvl="0">
      <w:lvlJc w:val="left"/>
      <w:lvlText w:val="%1"/>
      <w:numFmt w:val="decimal"/>
      <w:start w:val="1"/>
    </w:lvl>
    <w:lvl w:ilvl="1">
      <w:lvlJc w:val="left"/>
      <w:lvlText w:val="(%2)"/>
      <w:numFmt w:val="lowerLetter"/>
      <w:start w:val="3"/>
    </w:lvl>
  </w:abstractNum>
  <w:abstractNum w:abstractNumId="151">
    <w:nsid w:val="3BAB699E"/>
    <w:multiLevelType w:val="hybridMultilevel"/>
    <w:lvl w:ilvl="0">
      <w:lvlJc w:val="left"/>
      <w:lvlText w:val="%1."/>
      <w:numFmt w:val="decimal"/>
      <w:start w:val="13"/>
    </w:lvl>
    <w:lvl w:ilvl="1">
      <w:lvlJc w:val="left"/>
      <w:lvlText w:val="(%2)"/>
      <w:numFmt w:val="lowerLetter"/>
      <w:start w:val="1"/>
    </w:lvl>
  </w:abstractNum>
  <w:abstractNum w:abstractNumId="152">
    <w:nsid w:val="7131536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53">
    <w:nsid w:val="7BCFBAFC"/>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154">
    <w:nsid w:val="17859F7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55">
    <w:nsid w:val="3AA10581"/>
    <w:multiLevelType w:val="hybridMultilevel"/>
    <w:lvl w:ilvl="0">
      <w:lvlJc w:val="left"/>
      <w:lvlText w:val="%1."/>
      <w:numFmt w:val="decimal"/>
      <w:start w:val="15"/>
    </w:lvl>
    <w:lvl w:ilvl="1">
      <w:lvlJc w:val="left"/>
      <w:lvlText w:val="(%2)"/>
      <w:numFmt w:val="lowerLetter"/>
      <w:start w:val="1"/>
    </w:lvl>
  </w:abstractNum>
  <w:abstractNum w:abstractNumId="156">
    <w:nsid w:val="63DE60CD"/>
    <w:multiLevelType w:val="hybridMultilevel"/>
    <w:lvl w:ilvl="0">
      <w:lvlJc w:val="left"/>
      <w:lvlText w:val="(%1)"/>
      <w:numFmt w:val="lowerLetter"/>
      <w:start w:val="2"/>
    </w:lvl>
  </w:abstractNum>
  <w:abstractNum w:abstractNumId="157">
    <w:nsid w:val="621AF4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58">
    <w:nsid w:val="73CFE165"/>
    <w:multiLevelType w:val="hybridMultilevel"/>
    <w:lvl w:ilvl="0">
      <w:lvlJc w:val="left"/>
      <w:lvlText w:val="%1."/>
      <w:numFmt w:val="decimal"/>
      <w:start w:val="23"/>
    </w:lvl>
    <w:lvl w:ilvl="1">
      <w:lvlJc w:val="left"/>
      <w:lvlText w:val="(%2)"/>
      <w:numFmt w:val="lowerLetter"/>
      <w:start w:val="1"/>
    </w:lvl>
    <w:lvl w:ilvl="2">
      <w:lvlJc w:val="left"/>
      <w:lvlText w:val="(%3)"/>
      <w:numFmt w:val="lowerLetter"/>
      <w:start w:val="9"/>
    </w:lvl>
  </w:abstractNum>
  <w:abstractNum w:abstractNumId="159">
    <w:nsid w:val="20F88EA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60">
    <w:nsid w:val="617C843E"/>
    <w:multiLevelType w:val="hybridMultilevel"/>
    <w:lvl w:ilvl="0">
      <w:lvlJc w:val="left"/>
      <w:lvlText w:val="(%1)"/>
      <w:numFmt w:val="upperLetter"/>
      <w:start w:val="3"/>
    </w:lvl>
    <w:lvl w:ilvl="1">
      <w:lvlJc w:val="left"/>
      <w:lvlText w:val="(%2)"/>
      <w:numFmt w:val="lowerLetter"/>
      <w:start w:val="4"/>
    </w:lvl>
    <w:lvl w:ilvl="2">
      <w:lvlJc w:val="left"/>
      <w:lvlText w:val="%3"/>
      <w:numFmt w:val="lowerLetter"/>
      <w:start w:val="1"/>
    </w:lvl>
  </w:abstractNum>
  <w:abstractNum w:abstractNumId="161">
    <w:nsid w:val="7B541FAB"/>
    <w:multiLevelType w:val="hybridMultilevel"/>
    <w:lvl w:ilvl="0">
      <w:lvlJc w:val="left"/>
      <w:lvlText w:val="(%1)"/>
      <w:numFmt w:val="lowerLetter"/>
      <w:start w:val="5"/>
    </w:lvl>
  </w:abstractNum>
  <w:abstractNum w:abstractNumId="162">
    <w:nsid w:val="2A79EC49"/>
    <w:multiLevelType w:val="hybridMultilevel"/>
    <w:lvl w:ilvl="0">
      <w:lvlJc w:val="left"/>
      <w:lvlText w:val="(%1)"/>
      <w:numFmt w:val="lowerRoman"/>
      <w:start w:val="1"/>
    </w:lvl>
  </w:abstractNum>
  <w:abstractNum w:abstractNumId="163">
    <w:nsid w:val="338125CF"/>
    <w:multiLevelType w:val="hybridMultilevel"/>
    <w:lvl w:ilvl="0">
      <w:lvlJc w:val="left"/>
      <w:lvlText w:val="%1"/>
      <w:numFmt w:val="lowerLetter"/>
      <w:start w:val="1"/>
    </w:lvl>
    <w:lvl w:ilvl="1">
      <w:lvlJc w:val="left"/>
      <w:lvlText w:val="(%2)"/>
      <w:numFmt w:val="lowerLetter"/>
      <w:start w:val="35"/>
    </w:lvl>
  </w:abstractNum>
  <w:abstractNum w:abstractNumId="164">
    <w:nsid w:val="47C7C971"/>
    <w:multiLevelType w:val="hybridMultilevel"/>
    <w:lvl w:ilvl="0">
      <w:lvlJc w:val="left"/>
      <w:lvlText w:val="(%1)"/>
      <w:numFmt w:val="lowerLetter"/>
      <w:start w:val="9"/>
    </w:lvl>
    <w:lvl w:ilvl="1">
      <w:lvlJc w:val="left"/>
      <w:lvlText w:val="%2"/>
      <w:numFmt w:val="lowerLetter"/>
      <w:start w:val="1"/>
    </w:lvl>
  </w:abstractNum>
  <w:abstractNum w:abstractNumId="165">
    <w:nsid w:val="46F8284B"/>
    <w:multiLevelType w:val="hybridMultilevel"/>
    <w:lvl w:ilvl="0">
      <w:lvlJc w:val="left"/>
      <w:lvlText w:val="1"/>
      <w:numFmt w:val="bullet"/>
      <w:start w:val="1"/>
    </w:lvl>
  </w:abstractNum>
  <w:abstractNum w:abstractNumId="166">
    <w:nsid w:val="4FA327CE"/>
    <w:multiLevelType w:val="hybridMultilevel"/>
    <w:lvl w:ilvl="0">
      <w:lvlJc w:val="left"/>
      <w:lvlText w:val="(%1)"/>
      <w:numFmt w:val="lowerLetter"/>
      <w:start w:val="1"/>
    </w:lvl>
  </w:abstractNum>
  <w:abstractNum w:abstractNumId="167">
    <w:nsid w:val="1873983A"/>
    <w:multiLevelType w:val="hybridMultilevel"/>
    <w:lvl w:ilvl="0">
      <w:lvlJc w:val="left"/>
      <w:lvlText w:val="(%1)"/>
      <w:numFmt w:val="lowerLetter"/>
      <w:start w:val="4"/>
    </w:lvl>
  </w:abstractNum>
  <w:abstractNum w:abstractNumId="168">
    <w:nsid w:val="3D2DD275"/>
    <w:multiLevelType w:val="hybridMultilevel"/>
    <w:lvl w:ilvl="0">
      <w:lvlJc w:val="left"/>
      <w:lvlText w:val="(%1)"/>
      <w:numFmt w:val="lowerLetter"/>
      <w:start w:val="1"/>
    </w:lvl>
  </w:abstractNum>
  <w:abstractNum w:abstractNumId="169">
    <w:nsid w:val="2E17ECA7"/>
    <w:multiLevelType w:val="hybridMultilevel"/>
    <w:lvl w:ilvl="0">
      <w:lvlJc w:val="left"/>
      <w:lvlText w:val="(%1)"/>
      <w:numFmt w:val="lowerLetter"/>
      <w:start w:val="6"/>
    </w:lvl>
  </w:abstractNum>
  <w:abstractNum w:abstractNumId="170">
    <w:nsid w:val="53B2564F"/>
    <w:multiLevelType w:val="hybridMultilevel"/>
    <w:lvl w:ilvl="0">
      <w:lvlJc w:val="left"/>
      <w:lvlText w:val="(%1)"/>
      <w:numFmt w:val="decimal"/>
      <w:start w:val="1"/>
    </w:lvl>
  </w:abstractNum>
  <w:abstractNum w:abstractNumId="171">
    <w:nsid w:val="75509D76"/>
    <w:multiLevelType w:val="hybridMultilevel"/>
    <w:lvl w:ilvl="0">
      <w:lvlJc w:val="left"/>
      <w:lvlText w:val="%1"/>
      <w:numFmt w:val="lowerLetter"/>
      <w:start w:val="1"/>
    </w:lvl>
    <w:lvl w:ilvl="1">
      <w:lvlJc w:val="left"/>
      <w:lvlText w:val="(%2)"/>
      <w:numFmt w:val="lowerLetter"/>
      <w:start w:val="1"/>
    </w:lvl>
  </w:abstractNum>
  <w:abstractNum w:abstractNumId="172">
    <w:nsid w:val="1AF7F0EA"/>
    <w:multiLevelType w:val="hybridMultilevel"/>
    <w:lvl w:ilvl="0">
      <w:lvlJc w:val="left"/>
      <w:lvlText w:val="(%1)"/>
      <w:numFmt w:val="lowerLetter"/>
      <w:start w:val="1"/>
    </w:lvl>
    <w:lvl w:ilvl="1">
      <w:lvlJc w:val="left"/>
      <w:lvlText w:val="%2"/>
      <w:numFmt w:val="lowerLetter"/>
      <w:start w:val="1"/>
    </w:lvl>
  </w:abstractNum>
  <w:abstractNum w:abstractNumId="173">
    <w:nsid w:val="4DA32C7E"/>
    <w:multiLevelType w:val="hybridMultilevel"/>
    <w:lvl w:ilvl="0">
      <w:lvlJc w:val="left"/>
      <w:lvlText w:val="(%1)"/>
      <w:numFmt w:val="lowerRoman"/>
      <w:start w:val="2"/>
    </w:lvl>
  </w:abstractNum>
  <w:abstractNum w:abstractNumId="174">
    <w:nsid w:val="6EC68664"/>
    <w:multiLevelType w:val="hybridMultilevel"/>
    <w:lvl w:ilvl="0">
      <w:lvlJc w:val="left"/>
      <w:lvlText w:val="(%1)"/>
      <w:numFmt w:val="lowerRoman"/>
      <w:start w:val="2"/>
    </w:lvl>
  </w:abstractNum>
  <w:abstractNum w:abstractNumId="175">
    <w:nsid w:val="E0D31FF"/>
    <w:multiLevelType w:val="hybridMultilevel"/>
    <w:lvl w:ilvl="0">
      <w:lvlJc w:val="left"/>
      <w:lvlText w:val="(%1)"/>
      <w:numFmt w:val="lowerLetter"/>
      <w:start w:val="1"/>
    </w:lvl>
  </w:abstractNum>
  <w:abstractNum w:abstractNumId="176">
    <w:nsid w:val="2FD0AD81"/>
    <w:multiLevelType w:val="hybridMultilevel"/>
    <w:lvl w:ilvl="0">
      <w:lvlJc w:val="left"/>
      <w:lvlText w:val="(%1)"/>
      <w:numFmt w:val="lowerLetter"/>
      <w:start w:val="1"/>
    </w:lvl>
  </w:abstractNum>
  <w:abstractNum w:abstractNumId="177">
    <w:nsid w:val="1978EBEB"/>
    <w:multiLevelType w:val="hybridMultilevel"/>
    <w:lvl w:ilvl="0">
      <w:lvlJc w:val="left"/>
      <w:lvlText w:val="%1"/>
      <w:numFmt w:val="lowerLetter"/>
      <w:start w:val="1"/>
    </w:lvl>
    <w:lvl w:ilvl="1">
      <w:lvlJc w:val="left"/>
      <w:lvlText w:val="(%2)"/>
      <w:numFmt w:val="lowerLetter"/>
      <w:start w:val="1"/>
    </w:lvl>
  </w:abstractNum>
  <w:abstractNum w:abstractNumId="178">
    <w:nsid w:val="52C12C61"/>
    <w:multiLevelType w:val="hybridMultilevel"/>
    <w:lvl w:ilvl="0">
      <w:lvlJc w:val="left"/>
      <w:lvlText w:val="(%1)"/>
      <w:numFmt w:val="lowerLetter"/>
      <w:start w:val="4"/>
    </w:lvl>
    <w:lvl w:ilvl="1">
      <w:lvlJc w:val="left"/>
      <w:lvlText w:val="(%2)"/>
      <w:numFmt w:val="lowerLetter"/>
      <w:start w:val="2"/>
    </w:lvl>
  </w:abstractNum>
  <w:abstractNum w:abstractNumId="179">
    <w:nsid w:val="4BDD53FD"/>
    <w:multiLevelType w:val="hybridMultilevel"/>
    <w:lvl w:ilvl="0">
      <w:lvlJc w:val="left"/>
      <w:lvlText w:val="(%1)"/>
      <w:numFmt w:val="lowerLetter"/>
      <w:start w:val="1"/>
    </w:lvl>
  </w:abstractNum>
  <w:abstractNum w:abstractNumId="180">
    <w:nsid w:val="569951FE"/>
    <w:multiLevelType w:val="hybridMultilevel"/>
    <w:lvl w:ilvl="0">
      <w:lvlJc w:val="left"/>
      <w:lvlText w:val="(%1)"/>
      <w:numFmt w:val="lowerLetter"/>
      <w:start w:val="1"/>
    </w:lvl>
  </w:abstractNum>
  <w:abstractNum w:abstractNumId="181">
    <w:nsid w:val="4C54E2C3"/>
    <w:multiLevelType w:val="hybridMultilevel"/>
    <w:lvl w:ilvl="0">
      <w:lvlJc w:val="left"/>
      <w:lvlText w:val="2"/>
      <w:numFmt w:val="bullet"/>
      <w:start w:val="1"/>
    </w:lvl>
  </w:abstractNum>
  <w:abstractNum w:abstractNumId="182">
    <w:nsid w:val="788BD9B"/>
    <w:multiLevelType w:val="hybridMultilevel"/>
    <w:lvl w:ilvl="0">
      <w:lvlJc w:val="left"/>
      <w:lvlText w:val="(%1)"/>
      <w:numFmt w:val="lowerLetter"/>
      <w:start w:val="1"/>
    </w:lvl>
  </w:abstractNum>
  <w:abstractNum w:abstractNumId="183">
    <w:nsid w:val="47CAA567"/>
    <w:multiLevelType w:val="hybridMultilevel"/>
    <w:lvl w:ilvl="0">
      <w:lvlJc w:val="left"/>
      <w:lvlText w:val="(%1)"/>
      <w:numFmt w:val="lowerLetter"/>
      <w:start w:val="1"/>
    </w:lvl>
  </w:abstractNum>
  <w:abstractNum w:abstractNumId="184">
    <w:nsid w:val="48249DBF"/>
    <w:multiLevelType w:val="hybridMultilevel"/>
    <w:lvl w:ilvl="0">
      <w:lvlJc w:val="left"/>
      <w:lvlText w:val="(%1)"/>
      <w:numFmt w:val="lowerLetter"/>
      <w:start w:val="1"/>
    </w:lvl>
  </w:abstractNum>
  <w:abstractNum w:abstractNumId="185">
    <w:nsid w:val="1F0E5D0D"/>
    <w:multiLevelType w:val="hybridMultilevel"/>
    <w:lvl w:ilvl="0">
      <w:lvlJc w:val="left"/>
      <w:lvlText w:val="3"/>
      <w:numFmt w:val="bullet"/>
      <w:start w:val="1"/>
    </w:lvl>
  </w:abstractNum>
  <w:abstractNum w:abstractNumId="186">
    <w:nsid w:val="26BAAE9"/>
    <w:multiLevelType w:val="hybridMultilevel"/>
    <w:lvl w:ilvl="0">
      <w:lvlJc w:val="left"/>
      <w:lvlText w:val="(%1)"/>
      <w:numFmt w:val="lowerLetter"/>
      <w:start w:val="5"/>
    </w:lvl>
  </w:abstractNum>
  <w:abstractNum w:abstractNumId="187">
    <w:nsid w:val="2C02FE8C"/>
    <w:multiLevelType w:val="hybridMultilevel"/>
    <w:lvl w:ilvl="0">
      <w:lvlJc w:val="left"/>
      <w:lvlText w:val="(%1)"/>
      <w:numFmt w:val="lowerLetter"/>
      <w:start w:val="1"/>
    </w:lvl>
  </w:abstractNum>
  <w:abstractNum w:abstractNumId="188">
    <w:nsid w:val="129517E"/>
    <w:multiLevelType w:val="hybridMultilevel"/>
    <w:lvl w:ilvl="0">
      <w:lvlJc w:val="left"/>
      <w:lvlText w:val="(%1)"/>
      <w:numFmt w:val="lowerLetter"/>
      <w:start w:val="1"/>
    </w:lvl>
  </w:abstractNum>
  <w:abstractNum w:abstractNumId="189">
    <w:nsid w:val="763B8C4E"/>
    <w:multiLevelType w:val="hybridMultilevel"/>
    <w:lvl w:ilvl="0">
      <w:lvlJc w:val="left"/>
      <w:lvlText w:val="(%1)"/>
      <w:numFmt w:val="lowerLetter"/>
      <w:start w:val="2"/>
    </w:lvl>
  </w:abstractNum>
  <w:abstractNum w:abstractNumId="190">
    <w:nsid w:val="4CFB8D32"/>
    <w:multiLevelType w:val="hybridMultilevel"/>
    <w:lvl w:ilvl="0">
      <w:lvlJc w:val="left"/>
      <w:lvlText w:val="(%1)"/>
      <w:numFmt w:val="lowerLetter"/>
      <w:start w:val="1"/>
    </w:lvl>
  </w:abstractNum>
  <w:abstractNum w:abstractNumId="191">
    <w:nsid w:val="62A5D5BD"/>
    <w:multiLevelType w:val="hybridMultilevel"/>
    <w:lvl w:ilvl="0">
      <w:lvlJc w:val="left"/>
      <w:lvlText w:val="(%1)"/>
      <w:numFmt w:val="lowerLetter"/>
      <w:start w:val="4"/>
    </w:lvl>
  </w:abstractNum>
  <w:abstractNum w:abstractNumId="192">
    <w:nsid w:val="718FABF9"/>
    <w:multiLevelType w:val="hybridMultilevel"/>
    <w:lvl w:ilvl="0">
      <w:lvlJc w:val="left"/>
      <w:lvlText w:val="(%1)"/>
      <w:numFmt w:val="lowerLetter"/>
      <w:start w:val="1"/>
    </w:lvl>
  </w:abstractNum>
  <w:abstractNum w:abstractNumId="193">
    <w:nsid w:val="7775797C"/>
    <w:multiLevelType w:val="hybridMultilevel"/>
    <w:lvl w:ilvl="0">
      <w:lvlJc w:val="left"/>
      <w:lvlText w:val="%1"/>
      <w:numFmt w:val="lowerLetter"/>
      <w:start w:val="1"/>
    </w:lvl>
    <w:lvl w:ilvl="1">
      <w:lvlJc w:val="left"/>
      <w:lvlText w:val="(%2)"/>
      <w:numFmt w:val="lowerLetter"/>
      <w:start w:val="1"/>
    </w:lvl>
  </w:abstractNum>
  <w:abstractNum w:abstractNumId="194">
    <w:nsid w:val="1626FB8C"/>
    <w:multiLevelType w:val="hybridMultilevel"/>
    <w:lvl w:ilvl="0">
      <w:lvlJc w:val="left"/>
      <w:lvlText w:val="(%1)"/>
      <w:numFmt w:val="lowerLetter"/>
      <w:start w:val="2"/>
    </w:lvl>
    <w:lvl w:ilvl="1">
      <w:lvlJc w:val="left"/>
      <w:lvlText w:val="(%2)"/>
      <w:numFmt w:val="lowerLetter"/>
      <w:start w:val="4"/>
    </w:lvl>
  </w:abstractNum>
  <w:abstractNum w:abstractNumId="195">
    <w:nsid w:val="3957756A"/>
    <w:multiLevelType w:val="hybridMultilevel"/>
    <w:lvl w:ilvl="0">
      <w:lvlJc w:val="left"/>
      <w:lvlText w:val="(%1)"/>
      <w:numFmt w:val="lowerLetter"/>
      <w:start w:val="1"/>
    </w:lvl>
  </w:abstractNum>
  <w:abstractNum w:abstractNumId="196">
    <w:nsid w:val="3E6DA1C7"/>
    <w:multiLevelType w:val="hybridMultilevel"/>
    <w:lvl w:ilvl="0">
      <w:lvlJc w:val="left"/>
      <w:lvlText w:val="(%1)"/>
      <w:numFmt w:val="lowerLetter"/>
      <w:start w:val="1"/>
    </w:lvl>
  </w:abstractNum>
  <w:abstractNum w:abstractNumId="197">
    <w:nsid w:val="65CA235B"/>
    <w:multiLevelType w:val="hybridMultilevel"/>
    <w:lvl w:ilvl="0">
      <w:lvlJc w:val="left"/>
      <w:lvlText w:val="(%1)"/>
      <w:numFmt w:val="lowerLetter"/>
      <w:start w:val="1"/>
    </w:lvl>
  </w:abstractNum>
  <w:abstractNum w:abstractNumId="198">
    <w:nsid w:val="51CB0DA4"/>
    <w:multiLevelType w:val="hybridMultilevel"/>
    <w:lvl w:ilvl="0">
      <w:lvlJc w:val="left"/>
      <w:lvlText w:val="(%1)"/>
      <w:numFmt w:val="lowerLetter"/>
      <w:start w:val="2"/>
    </w:lvl>
  </w:abstractNum>
  <w:abstractNum w:abstractNumId="199">
    <w:nsid w:val="7B9B743C"/>
    <w:multiLevelType w:val="hybridMultilevel"/>
    <w:lvl w:ilvl="0">
      <w:lvlJc w:val="left"/>
      <w:lvlText w:val="(%1)"/>
      <w:numFmt w:val="lowerLetter"/>
      <w:start w:val="1"/>
    </w:lvl>
    <w:lvl w:ilvl="1">
      <w:lvlJc w:val="left"/>
      <w:lvlText w:val="(%2)"/>
      <w:numFmt w:val="decimal"/>
      <w:start w:val="1"/>
    </w:lvl>
  </w:abstractNum>
  <w:abstractNum w:abstractNumId="200">
    <w:nsid w:val="13E21002"/>
    <w:multiLevelType w:val="hybridMultilevel"/>
    <w:lvl w:ilvl="0">
      <w:lvlJc w:val="left"/>
      <w:lvlText w:val="(%1)"/>
      <w:numFmt w:val="lowerLetter"/>
      <w:start w:val="5"/>
    </w:lvl>
  </w:abstractNum>
  <w:abstractNum w:abstractNumId="201">
    <w:nsid w:val="257D63F4"/>
    <w:multiLevelType w:val="hybridMultilevel"/>
    <w:lvl w:ilvl="0">
      <w:lvlJc w:val="left"/>
      <w:lvlText w:val="(%1)"/>
      <w:numFmt w:val="lowerLetter"/>
      <w:start w:val="1"/>
    </w:lvl>
  </w:abstractNum>
  <w:abstractNum w:abstractNumId="202">
    <w:nsid w:val="70EC11B2"/>
    <w:multiLevelType w:val="hybridMultilevel"/>
    <w:lvl w:ilvl="0">
      <w:lvlJc w:val="left"/>
      <w:lvlText w:val="(%1)"/>
      <w:numFmt w:val="lowerLetter"/>
      <w:start w:val="1"/>
    </w:lvl>
  </w:abstractNum>
  <w:abstractNum w:abstractNumId="203">
    <w:nsid w:val="2EDA00ED"/>
    <w:multiLevelType w:val="hybridMultilevel"/>
    <w:lvl w:ilvl="0">
      <w:lvlJc w:val="left"/>
      <w:lvlText w:val="(%1)"/>
      <w:numFmt w:val="lowerLetter"/>
      <w:start w:val="1"/>
    </w:lvl>
  </w:abstractNum>
  <w:abstractNum w:abstractNumId="204">
    <w:nsid w:val="73209072"/>
    <w:multiLevelType w:val="hybridMultilevel"/>
    <w:lvl w:ilvl="0">
      <w:lvlJc w:val="left"/>
      <w:lvlText w:val="(%1)"/>
      <w:numFmt w:val="lowerLetter"/>
      <w:start w:val="1"/>
    </w:lvl>
  </w:abstractNum>
  <w:abstractNum w:abstractNumId="205">
    <w:nsid w:val="5FB29816"/>
    <w:multiLevelType w:val="hybridMultilevel"/>
    <w:lvl w:ilvl="0">
      <w:lvlJc w:val="left"/>
      <w:lvlText w:val="(%1)"/>
      <w:numFmt w:val="lowerLetter"/>
      <w:start w:val="1"/>
    </w:lvl>
  </w:abstractNum>
  <w:abstractNum w:abstractNumId="206">
    <w:nsid w:val="3CE732EC"/>
    <w:multiLevelType w:val="hybridMultilevel"/>
    <w:lvl w:ilvl="0">
      <w:lvlJc w:val="left"/>
      <w:lvlText w:val="(%1)"/>
      <w:numFmt w:val="lowerLetter"/>
      <w:start w:val="1"/>
    </w:lvl>
  </w:abstractNum>
  <w:abstractNum w:abstractNumId="207">
    <w:nsid w:val="22F13DF3"/>
    <w:multiLevelType w:val="hybridMultilevel"/>
    <w:lvl w:ilvl="0">
      <w:lvlJc w:val="left"/>
      <w:lvlText w:val="(%1)"/>
      <w:numFmt w:val="lowerLetter"/>
      <w:start w:val="5"/>
    </w:lvl>
  </w:abstractNum>
  <w:abstractNum w:abstractNumId="208">
    <w:nsid w:val="792B8401"/>
    <w:multiLevelType w:val="hybridMultilevel"/>
    <w:lvl w:ilvl="0">
      <w:lvlJc w:val="left"/>
      <w:lvlText w:val="(%1)"/>
      <w:numFmt w:val="lowerLetter"/>
      <w:start w:val="1"/>
    </w:lvl>
  </w:abstractNum>
  <w:abstractNum w:abstractNumId="209">
    <w:nsid w:val="FA85F4D"/>
    <w:multiLevelType w:val="hybridMultilevel"/>
    <w:lvl w:ilvl="0">
      <w:lvlJc w:val="left"/>
      <w:lvlText w:val="(%1)"/>
      <w:numFmt w:val="lowerLetter"/>
      <w:start w:val="1"/>
    </w:lvl>
  </w:abstractNum>
  <w:abstractNum w:abstractNumId="210">
    <w:nsid w:val="6ECE91F0"/>
    <w:multiLevelType w:val="hybridMultilevel"/>
    <w:lvl w:ilvl="0">
      <w:lvlJc w:val="left"/>
      <w:lvlText w:val="(%1)"/>
      <w:numFmt w:val="lowerLetter"/>
      <w:start w:val="2"/>
    </w:lvl>
  </w:abstractNum>
  <w:abstractNum w:abstractNumId="211">
    <w:nsid w:val="4FC4D600"/>
    <w:multiLevelType w:val="hybridMultilevel"/>
    <w:lvl w:ilvl="0">
      <w:lvlJc w:val="left"/>
      <w:lvlText w:val="%1"/>
      <w:numFmt w:val="lowerLetter"/>
      <w:start w:val="1"/>
    </w:lvl>
    <w:lvl w:ilvl="1">
      <w:lvlJc w:val="left"/>
      <w:lvlText w:val="(%2)"/>
      <w:numFmt w:val="lowerLetter"/>
      <w:start w:val="1"/>
    </w:lvl>
  </w:abstractNum>
  <w:abstractNum w:abstractNumId="212">
    <w:nsid w:val="5BFD4210"/>
    <w:multiLevelType w:val="hybridMultilevel"/>
    <w:lvl w:ilvl="0">
      <w:lvlJc w:val="left"/>
      <w:lvlText w:val="(%1)"/>
      <w:numFmt w:val="lowerLetter"/>
      <w:start w:val="9"/>
    </w:lvl>
    <w:lvl w:ilvl="1">
      <w:lvlJc w:val="left"/>
      <w:lvlText w:val="%2"/>
      <w:numFmt w:val="lowerLetter"/>
      <w:start w:val="1"/>
    </w:lvl>
  </w:abstractNum>
  <w:abstractNum w:abstractNumId="213">
    <w:nsid w:val="76574F8B"/>
    <w:multiLevelType w:val="hybridMultilevel"/>
    <w:lvl w:ilvl="0">
      <w:lvlJc w:val="left"/>
      <w:lvlText w:val="(%1)"/>
      <w:numFmt w:val="lowerRoman"/>
      <w:start w:val="3"/>
    </w:lvl>
  </w:abstractNum>
  <w:abstractNum w:abstractNumId="214">
    <w:nsid w:val="178F7B67"/>
    <w:multiLevelType w:val="hybridMultilevel"/>
    <w:lvl w:ilvl="0">
      <w:lvlJc w:val="left"/>
      <w:lvlText w:val="(%1)"/>
      <w:numFmt w:val="lowerLetter"/>
      <w:start w:val="2"/>
    </w:lvl>
  </w:abstractNum>
  <w:abstractNum w:abstractNumId="215">
    <w:nsid w:val="2421DFCF"/>
    <w:multiLevelType w:val="hybridMultilevel"/>
    <w:lvl w:ilvl="0">
      <w:lvlJc w:val="left"/>
      <w:lvlText w:val="(%1)"/>
      <w:numFmt w:val="lowerLetter"/>
      <w:start w:val="1"/>
    </w:lvl>
  </w:abstractNum>
  <w:abstractNum w:abstractNumId="216">
    <w:nsid w:val="1565AC99"/>
    <w:multiLevelType w:val="hybridMultilevel"/>
    <w:lvl w:ilvl="0">
      <w:lvlJc w:val="left"/>
      <w:lvlText w:val="(%1)"/>
      <w:numFmt w:val="lowerLetter"/>
      <w:start w:val="1"/>
    </w:lvl>
  </w:abstractNum>
  <w:abstractNum w:abstractNumId="217">
    <w:nsid w:val="19FB2650"/>
    <w:multiLevelType w:val="hybridMultilevel"/>
    <w:lvl w:ilvl="0">
      <w:lvlJc w:val="left"/>
      <w:lvlText w:val="(%1)"/>
      <w:numFmt w:val="lowerLetter"/>
      <w:start w:val="2"/>
    </w:lvl>
  </w:abstractNum>
  <w:abstractNum w:abstractNumId="218">
    <w:nsid w:val="5024DE5B"/>
    <w:multiLevelType w:val="hybridMultilevel"/>
    <w:lvl w:ilvl="0">
      <w:lvlJc w:val="left"/>
      <w:lvlText w:val="(%1)"/>
      <w:numFmt w:val="lowerLetter"/>
      <w:start w:val="3"/>
    </w:lvl>
  </w:abstractNum>
  <w:abstractNum w:abstractNumId="219">
    <w:nsid w:val="168EFE17"/>
    <w:multiLevelType w:val="hybridMultilevel"/>
    <w:lvl w:ilvl="0">
      <w:lvlJc w:val="left"/>
      <w:lvlText w:val="(%1)"/>
      <w:numFmt w:val="lowerRoman"/>
      <w:start w:val="1"/>
    </w:lvl>
  </w:abstractNum>
  <w:abstractNum w:abstractNumId="220">
    <w:nsid w:val="1036B29F"/>
    <w:multiLevelType w:val="hybridMultilevel"/>
    <w:lvl w:ilvl="0">
      <w:lvlJc w:val="left"/>
      <w:lvlText w:val="(%1)"/>
      <w:numFmt w:val="lowerLetter"/>
      <w:start w:val="1"/>
    </w:lvl>
  </w:abstractNum>
  <w:abstractNum w:abstractNumId="221">
    <w:nsid w:val="1D206B8E"/>
    <w:multiLevelType w:val="hybridMultilevel"/>
    <w:lvl w:ilvl="0">
      <w:lvlJc w:val="left"/>
      <w:lvlText w:val="(%1)"/>
      <w:numFmt w:val="lowerLetter"/>
      <w:start w:val="1"/>
    </w:lvl>
  </w:abstractNum>
  <w:abstractNum w:abstractNumId="222">
    <w:nsid w:val="7934D3D4"/>
    <w:multiLevelType w:val="hybridMultilevel"/>
    <w:lvl w:ilvl="0">
      <w:lvlJc w:val="left"/>
      <w:lvlText w:val="(%1)"/>
      <w:numFmt w:val="lowerLetter"/>
      <w:start w:val="1"/>
    </w:lvl>
  </w:abstractNum>
  <w:abstractNum w:abstractNumId="223">
    <w:nsid w:val="1C65E98"/>
    <w:multiLevelType w:val="hybridMultilevel"/>
    <w:lvl w:ilvl="0">
      <w:lvlJc w:val="left"/>
      <w:lvlText w:val="(%1)"/>
      <w:numFmt w:val="lowerLetter"/>
      <w:start w:val="1"/>
    </w:lvl>
  </w:abstractNum>
  <w:abstractNum w:abstractNumId="224">
    <w:nsid w:val="1495E50A"/>
    <w:multiLevelType w:val="hybridMultilevel"/>
    <w:lvl w:ilvl="0">
      <w:lvlJc w:val="left"/>
      <w:lvlText w:val="(%1)"/>
      <w:numFmt w:val="lowerLetter"/>
      <w:start w:val="1"/>
    </w:lvl>
  </w:abstractNum>
  <w:abstractNum w:abstractNumId="225">
    <w:nsid w:val="F5BCF61"/>
    <w:multiLevelType w:val="hybridMultilevel"/>
    <w:lvl w:ilvl="0">
      <w:lvlJc w:val="left"/>
      <w:lvlText w:val="(%1)"/>
      <w:numFmt w:val="lowerLetter"/>
      <w:start w:val="2"/>
    </w:lvl>
  </w:abstractNum>
  <w:abstractNum w:abstractNumId="226">
    <w:nsid w:val="3B1DD403"/>
    <w:multiLevelType w:val="hybridMultilevel"/>
    <w:lvl w:ilvl="0">
      <w:lvlJc w:val="left"/>
      <w:lvlText w:val="(%1)"/>
      <w:numFmt w:val="lowerLetter"/>
      <w:start w:val="1"/>
    </w:lvl>
  </w:abstractNum>
  <w:abstractNum w:abstractNumId="227">
    <w:nsid w:val="530386D1"/>
    <w:multiLevelType w:val="hybridMultilevel"/>
    <w:lvl w:ilvl="0">
      <w:lvlJc w:val="left"/>
      <w:lvlText w:val="(%1)"/>
      <w:numFmt w:val="lowerLetter"/>
      <w:start w:val="1"/>
    </w:lvl>
  </w:abstractNum>
  <w:abstractNum w:abstractNumId="228">
    <w:nsid w:val="7525F2BC"/>
    <w:multiLevelType w:val="hybridMultilevel"/>
    <w:lvl w:ilvl="0">
      <w:lvlJc w:val="left"/>
      <w:lvlText w:val="(%1)"/>
      <w:numFmt w:val="lowerLetter"/>
      <w:start w:val="3"/>
    </w:lvl>
  </w:abstractNum>
  <w:abstractNum w:abstractNumId="229">
    <w:nsid w:val="CE8E1A7"/>
    <w:multiLevelType w:val="hybridMultilevel"/>
    <w:lvl w:ilvl="0">
      <w:lvlJc w:val="left"/>
      <w:lvlText w:val="(%1)"/>
      <w:numFmt w:val="lowerLetter"/>
      <w:start w:val="1"/>
    </w:lvl>
  </w:abstractNum>
  <w:abstractNum w:abstractNumId="230">
    <w:nsid w:val="4E9EFB0D"/>
    <w:multiLevelType w:val="hybridMultilevel"/>
    <w:lvl w:ilvl="0">
      <w:lvlJc w:val="left"/>
      <w:lvlText w:val="(%1)"/>
      <w:numFmt w:val="lowerLetter"/>
      <w:start w:val="2"/>
    </w:lvl>
  </w:abstractNum>
  <w:abstractNum w:abstractNumId="231">
    <w:nsid w:val="90802BE"/>
    <w:multiLevelType w:val="hybridMultilevel"/>
    <w:lvl w:ilvl="0">
      <w:lvlJc w:val="left"/>
      <w:lvlText w:val="(%1)"/>
      <w:numFmt w:val="lowerLetter"/>
      <w:start w:val="1"/>
    </w:lvl>
  </w:abstractNum>
  <w:abstractNum w:abstractNumId="232">
    <w:nsid w:val="3266459B"/>
    <w:multiLevelType w:val="hybridMultilevel"/>
    <w:lvl w:ilvl="0">
      <w:lvlJc w:val="left"/>
      <w:lvlText w:val="%1"/>
      <w:numFmt w:val="lowerLetter"/>
      <w:start w:val="1"/>
    </w:lvl>
    <w:lvl w:ilvl="1">
      <w:lvlJc w:val="left"/>
      <w:lvlText w:val="(%2)"/>
      <w:numFmt w:val="lowerLetter"/>
      <w:start w:val="1"/>
    </w:lvl>
  </w:abstractNum>
  <w:abstractNum w:abstractNumId="233">
    <w:nsid w:val="3F8B0CBF"/>
    <w:multiLevelType w:val="hybridMultilevel"/>
    <w:lvl w:ilvl="0">
      <w:lvlJc w:val="left"/>
      <w:lvlText w:val="(%1)"/>
      <w:numFmt w:val="lowerLetter"/>
      <w:start w:val="3"/>
    </w:lvl>
    <w:lvl w:ilvl="1">
      <w:lvlJc w:val="left"/>
      <w:lvlText w:val="%2"/>
      <w:numFmt w:val="lowerLetter"/>
      <w:start w:val="1"/>
    </w:lvl>
  </w:abstractNum>
  <w:abstractNum w:abstractNumId="234">
    <w:nsid w:val="37E203AB"/>
    <w:multiLevelType w:val="hybridMultilevel"/>
    <w:lvl w:ilvl="0">
      <w:lvlJc w:val="left"/>
      <w:lvlText w:val="(%1)"/>
      <w:numFmt w:val="lowerLetter"/>
      <w:start w:val="2"/>
    </w:lvl>
  </w:abstractNum>
  <w:abstractNum w:abstractNumId="235">
    <w:nsid w:val="2586D60E"/>
    <w:multiLevelType w:val="hybridMultilevel"/>
    <w:lvl w:ilvl="0">
      <w:lvlJc w:val="left"/>
      <w:lvlText w:val="%1."/>
      <w:numFmt w:val="decimal"/>
      <w:start w:val="1"/>
    </w:lvl>
  </w:abstractNum>
  <w:abstractNum w:abstractNumId="236">
    <w:nsid w:val="1F3DA4D5"/>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237">
    <w:nsid w:val="74C93698"/>
    <w:multiLevelType w:val="hybridMultilevel"/>
    <w:lvl w:ilvl="0">
      <w:lvlJc w:val="left"/>
      <w:lvlText w:val="(%1)"/>
      <w:numFmt w:val="decimal"/>
      <w:start w:val="8"/>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238">
    <w:nsid w:val="48781401"/>
    <w:multiLevelType w:val="hybridMultilevel"/>
    <w:lvl w:ilvl="0">
      <w:lvlJc w:val="left"/>
      <w:lvlText w:val="(%1)"/>
      <w:numFmt w:val="decimal"/>
      <w:start w:val="60"/>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39">
    <w:nsid w:val="186928D6"/>
    <w:multiLevelType w:val="hybridMultilevel"/>
    <w:lvl w:ilvl="0">
      <w:lvlJc w:val="left"/>
      <w:lvlText w:val="(%1)"/>
      <w:numFmt w:val="lowerRoman"/>
      <w:start w:val="5"/>
    </w:lvl>
  </w:abstractNum>
  <w:abstractNum w:abstractNumId="240">
    <w:nsid w:val="47195E5"/>
    <w:multiLevelType w:val="hybridMultilevel"/>
    <w:lvl w:ilvl="0">
      <w:lvlJc w:val="left"/>
      <w:lvlText w:val="(%1)"/>
      <w:numFmt w:val="lowerLetter"/>
      <w:start w:val="3"/>
    </w:lvl>
  </w:abstractNum>
  <w:abstractNum w:abstractNumId="241">
    <w:nsid w:val="3746A5F2"/>
    <w:multiLevelType w:val="hybridMultilevel"/>
    <w:lvl w:ilvl="0">
      <w:lvlJc w:val="left"/>
      <w:lvlText w:val="(%1)"/>
      <w:numFmt w:val="lowerLetter"/>
      <w:start w:val="5"/>
    </w:lvl>
  </w:abstractNum>
  <w:abstractNum w:abstractNumId="242">
    <w:nsid w:val="682DFED6"/>
    <w:multiLevelType w:val="hybridMultilevel"/>
    <w:lvl w:ilvl="0">
      <w:lvlJc w:val="left"/>
      <w:lvlText w:val="%1."/>
      <w:numFmt w:val="decimal"/>
      <w:start w:val="13"/>
    </w:lvl>
  </w:abstractNum>
  <w:abstractNum w:abstractNumId="243">
    <w:nsid w:val="606ED7F6"/>
    <w:multiLevelType w:val="hybridMultilevel"/>
    <w:lvl w:ilvl="0">
      <w:lvlJc w:val="left"/>
      <w:lvlText w:val="%1."/>
      <w:numFmt w:val="decimal"/>
      <w:start w:val="1"/>
    </w:lvl>
  </w:abstractNum>
  <w:abstractNum w:abstractNumId="244">
    <w:nsid w:val="2D9DF57D"/>
    <w:multiLevelType w:val="hybridMultilevel"/>
    <w:lvl w:ilvl="0">
      <w:lvlJc w:val="left"/>
      <w:lvlText w:val="1"/>
      <w:numFmt w:val="bullet"/>
      <w:start w:val="1"/>
    </w:lvl>
  </w:abstractNum>
  <w:abstractNum w:abstractNumId="245">
    <w:nsid w:val="7FBD7A3E"/>
    <w:multiLevelType w:val="hybridMultilevel"/>
    <w:lvl w:ilvl="0">
      <w:lvlJc w:val="left"/>
      <w:lvlText w:val="1"/>
      <w:numFmt w:val="bullet"/>
      <w:start w:val="1"/>
    </w:lvl>
  </w:abstractNum>
  <w:abstractNum w:abstractNumId="246">
    <w:nsid w:val="490B7C5"/>
    <w:multiLevelType w:val="hybridMultilevel"/>
    <w:lvl w:ilvl="0">
      <w:lvlJc w:val="left"/>
      <w:lvlText w:val="%1."/>
      <w:numFmt w:val="decimal"/>
      <w:start w:val="1"/>
    </w:lvl>
    <w:lvl w:ilvl="1">
      <w:lvlJc w:val="left"/>
      <w:lvlText w:val="(%2)"/>
      <w:numFmt w:val="lowerLetter"/>
      <w:start w:val="1"/>
    </w:lvl>
  </w:abstractNum>
  <w:abstractNum w:abstractNumId="247">
    <w:nsid w:val="4303A216"/>
    <w:multiLevelType w:val="hybridMultilevel"/>
    <w:lvl w:ilvl="0">
      <w:lvlJc w:val="left"/>
      <w:lvlText w:val="%1"/>
      <w:numFmt w:val="decimal"/>
      <w:start w:val="1"/>
    </w:lvl>
    <w:lvl w:ilvl="1">
      <w:lvlJc w:val="left"/>
      <w:lvlText w:val="(%2)"/>
      <w:numFmt w:val="lowerLetter"/>
      <w:start w:val="2"/>
    </w:lvl>
  </w:abstractNum>
  <w:abstractNum w:abstractNumId="248">
    <w:nsid w:val="19B8A08E"/>
    <w:multiLevelType w:val="hybridMultilevel"/>
    <w:lvl w:ilvl="0">
      <w:lvlJc w:val="left"/>
      <w:lvlText w:val="%1."/>
      <w:numFmt w:val="decimal"/>
      <w:start w:val="2"/>
    </w:lvl>
    <w:lvl w:ilvl="1">
      <w:lvlJc w:val="left"/>
      <w:lvlText w:val="(%2)"/>
      <w:numFmt w:val="lowerLetter"/>
      <w:start w:val="1"/>
    </w:lvl>
  </w:abstractNum>
  <w:abstractNum w:abstractNumId="249">
    <w:nsid w:val="54B59621"/>
    <w:multiLevelType w:val="hybridMultilevel"/>
    <w:lvl w:ilvl="0">
      <w:lvlJc w:val="left"/>
      <w:lvlText w:val="(%1)"/>
      <w:numFmt w:val="lowerLetter"/>
      <w:start w:val="3"/>
    </w:lvl>
  </w:abstractNum>
  <w:abstractNum w:abstractNumId="250">
    <w:nsid w:val="5992A02E"/>
    <w:multiLevelType w:val="hybridMultilevel"/>
    <w:lvl w:ilvl="0">
      <w:lvlJc w:val="left"/>
      <w:lvlText w:val="%1."/>
      <w:numFmt w:val="decimal"/>
      <w:start w:val="4"/>
    </w:lvl>
  </w:abstractNum>
  <w:abstractNum w:abstractNumId="251">
    <w:nsid w:val="29EF532D"/>
    <w:multiLevelType w:val="hybridMultilevel"/>
    <w:lvl w:ilvl="0">
      <w:lvlJc w:val="left"/>
      <w:lvlText w:val="%1."/>
      <w:numFmt w:val="decimal"/>
      <w:start w:val="8"/>
    </w:lvl>
    <w:lvl w:ilvl="1">
      <w:lvlJc w:val="left"/>
      <w:lvlText w:val="(%2)"/>
      <w:numFmt w:val="lowerLetter"/>
      <w:start w:val="1"/>
    </w:lvl>
  </w:abstractNum>
  <w:abstractNum w:abstractNumId="252">
    <w:nsid w:val="71D601AF"/>
    <w:multiLevelType w:val="hybridMultilevel"/>
    <w:lvl w:ilvl="0">
      <w:lvlJc w:val="left"/>
      <w:lvlText w:val="1"/>
      <w:numFmt w:val="bullet"/>
      <w:start w:val="1"/>
    </w:lvl>
  </w:abstractNum>
  <w:abstractNum w:abstractNumId="253">
    <w:nsid w:val="52C77402"/>
    <w:multiLevelType w:val="hybridMultilevel"/>
    <w:lvl w:ilvl="0">
      <w:lvlJc w:val="left"/>
      <w:lvlText w:val="%1"/>
      <w:numFmt w:val="decimal"/>
      <w:start w:val="1"/>
    </w:lvl>
    <w:lvl w:ilvl="1">
      <w:lvlJc w:val="left"/>
      <w:lvlText w:val="(%2)"/>
      <w:numFmt w:val="lowerLetter"/>
      <w:start w:val="2"/>
    </w:lvl>
  </w:abstractNum>
  <w:abstractNum w:abstractNumId="254">
    <w:nsid w:val="2BB5B1C6"/>
    <w:multiLevelType w:val="hybridMultilevel"/>
    <w:lvl w:ilvl="0">
      <w:lvlJc w:val="left"/>
      <w:lvlText w:val="%1."/>
      <w:numFmt w:val="decimal"/>
      <w:start w:val="11"/>
    </w:lvl>
    <w:lvl w:ilvl="1">
      <w:lvlJc w:val="left"/>
      <w:lvlText w:val="(%2)"/>
      <w:numFmt w:val="lowerLetter"/>
      <w:start w:val="1"/>
    </w:lvl>
  </w:abstractNum>
  <w:abstractNum w:abstractNumId="255">
    <w:nsid w:val="66BE6B9"/>
    <w:multiLevelType w:val="hybridMultilevel"/>
    <w:lvl w:ilvl="0">
      <w:lvlJc w:val="left"/>
      <w:lvlText w:val="%1."/>
      <w:numFmt w:val="decimal"/>
      <w:start w:val="12"/>
    </w:lvl>
    <w:lvl w:ilvl="1">
      <w:lvlJc w:val="left"/>
      <w:lvlText w:val="(%2)"/>
      <w:numFmt w:val="lowerLetter"/>
      <w:start w:val="1"/>
    </w:lvl>
  </w:abstractNum>
  <w:abstractNum w:abstractNumId="256">
    <w:nsid w:val="62234363"/>
    <w:multiLevelType w:val="hybridMultilevel"/>
    <w:lvl w:ilvl="0">
      <w:lvlJc w:val="left"/>
      <w:lvlText w:val="2"/>
      <w:numFmt w:val="bullet"/>
      <w:start w:val="1"/>
    </w:lvl>
  </w:abstractNum>
  <w:abstractNum w:abstractNumId="257">
    <w:nsid w:val="66D385C9"/>
    <w:multiLevelType w:val="hybridMultilevel"/>
    <w:lvl w:ilvl="0">
      <w:lvlJc w:val="left"/>
      <w:lvlText w:val="3"/>
      <w:numFmt w:val="bullet"/>
      <w:start w:val="1"/>
    </w:lvl>
  </w:abstractNum>
  <w:abstractNum w:abstractNumId="258">
    <w:nsid w:val="596F6D8A"/>
    <w:multiLevelType w:val="hybridMultilevel"/>
    <w:lvl w:ilvl="0">
      <w:lvlJc w:val="left"/>
      <w:lvlText w:val="4"/>
      <w:numFmt w:val="bullet"/>
      <w:start w:val="1"/>
    </w:lvl>
  </w:abstractNum>
  <w:abstractNum w:abstractNumId="259">
    <w:nsid w:val="5749361F"/>
    <w:multiLevelType w:val="hybridMultilevel"/>
    <w:lvl w:ilvl="0">
      <w:lvlJc w:val="left"/>
      <w:lvlText w:val="5"/>
      <w:numFmt w:val="bullet"/>
      <w:start w:val="1"/>
    </w:lvl>
  </w:abstractNum>
  <w:abstractNum w:abstractNumId="260">
    <w:nsid w:val="73BC6770"/>
    <w:multiLevelType w:val="hybridMultilevel"/>
    <w:lvl w:ilvl="0">
      <w:lvlJc w:val="left"/>
      <w:lvlText w:val="%1"/>
      <w:numFmt w:val="decimal"/>
      <w:start w:val="1"/>
    </w:lvl>
    <w:lvl w:ilvl="1">
      <w:lvlJc w:val="left"/>
      <w:lvlText w:val="(%2)"/>
      <w:numFmt w:val="lowerLetter"/>
      <w:start w:val="4"/>
    </w:lvl>
  </w:abstractNum>
  <w:abstractNum w:abstractNumId="261">
    <w:nsid w:val="280E6897"/>
    <w:multiLevelType w:val="hybridMultilevel"/>
    <w:lvl w:ilvl="0">
      <w:lvlJc w:val="left"/>
      <w:lvlText w:val="%1."/>
      <w:numFmt w:val="decimal"/>
      <w:start w:val="13"/>
    </w:lvl>
    <w:lvl w:ilvl="1">
      <w:lvlJc w:val="left"/>
      <w:lvlText w:val="(%2)"/>
      <w:numFmt w:val="lowerLetter"/>
      <w:start w:val="1"/>
    </w:lvl>
  </w:abstractNum>
  <w:abstractNum w:abstractNumId="262">
    <w:nsid w:val="605138DE"/>
    <w:multiLevelType w:val="hybridMultilevel"/>
    <w:lvl w:ilvl="0">
      <w:lvlJc w:val="left"/>
      <w:lvlText w:val="%1."/>
      <w:numFmt w:val="decimal"/>
      <w:start w:val="16"/>
    </w:lvl>
    <w:lvl w:ilvl="1">
      <w:lvlJc w:val="left"/>
      <w:lvlText w:val="(%2)"/>
      <w:numFmt w:val="lowerLetter"/>
      <w:start w:val="1"/>
    </w:lvl>
  </w:abstractNum>
  <w:abstractNum w:abstractNumId="263">
    <w:nsid w:val="2622AD0C"/>
    <w:multiLevelType w:val="hybridMultilevel"/>
    <w:lvl w:ilvl="0">
      <w:lvlJc w:val="left"/>
      <w:lvlText w:val="6"/>
      <w:numFmt w:val="bullet"/>
      <w:start w:val="1"/>
    </w:lvl>
  </w:abstractNum>
  <w:abstractNum w:abstractNumId="264">
    <w:nsid w:val="67997556"/>
    <w:multiLevelType w:val="hybridMultilevel"/>
    <w:lvl w:ilvl="0">
      <w:lvlJc w:val="left"/>
      <w:lvlText w:val="(%1)"/>
      <w:numFmt w:val="lowerLetter"/>
      <w:start w:val="2"/>
    </w:lvl>
  </w:abstractNum>
  <w:abstractNum w:abstractNumId="265">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66">
    <w:nsid w:val="4BA9831A"/>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9"/>
    </w:lvl>
  </w:abstractNum>
  <w:abstractNum w:abstractNumId="267">
    <w:nsid w:val="6D71A2B"/>
    <w:multiLevelType w:val="hybridMultilevel"/>
    <w:lvl w:ilvl="0">
      <w:lvlJc w:val="left"/>
      <w:lvlText w:val="%1"/>
      <w:numFmt w:val="lowerLetter"/>
      <w:start w:val="1"/>
    </w:lvl>
    <w:lvl w:ilvl="1">
      <w:lvlJc w:val="left"/>
      <w:lvlText w:val="(%2)"/>
      <w:numFmt w:val="lowerLetter"/>
      <w:start w:val="35"/>
    </w:lvl>
  </w:abstractNum>
  <w:abstractNum w:abstractNumId="268">
    <w:nsid w:val="CFC7321"/>
    <w:multiLevelType w:val="hybridMultilevel"/>
    <w:lvl w:ilvl="0">
      <w:lvlJc w:val="left"/>
      <w:lvlText w:val="(%1)"/>
      <w:numFmt w:val="lowerLetter"/>
      <w:start w:val="4"/>
    </w:lvl>
    <w:lvl w:ilvl="1">
      <w:lvlJc w:val="left"/>
      <w:lvlText w:val="%2"/>
      <w:numFmt w:val="lowerLetter"/>
      <w:start w:val="1"/>
    </w:lvl>
  </w:abstractNum>
  <w:abstractNum w:abstractNumId="269">
    <w:nsid w:val="1421971B"/>
    <w:multiLevelType w:val="hybridMultilevel"/>
    <w:lvl w:ilvl="0">
      <w:lvlJc w:val="left"/>
      <w:lvlText w:val="%1"/>
      <w:numFmt w:val="decimal"/>
      <w:start w:val="825"/>
    </w:lvl>
  </w:abstractNum>
  <w:abstractNum w:abstractNumId="270">
    <w:nsid w:val="1F404301"/>
    <w:multiLevelType w:val="hybridMultilevel"/>
    <w:lvl w:ilvl="0">
      <w:lvlJc w:val="left"/>
      <w:lvlText w:val="(%1)"/>
      <w:numFmt w:val="lowerLetter"/>
      <w:start w:val="5"/>
    </w:lvl>
  </w:abstractNum>
  <w:abstractNum w:abstractNumId="271">
    <w:nsid w:val="116E0907"/>
    <w:multiLevelType w:val="hybridMultilevel"/>
    <w:lvl w:ilvl="0">
      <w:lvlJc w:val="left"/>
      <w:lvlText w:val="(%1)"/>
      <w:numFmt w:val="lowerLetter"/>
      <w:start w:val="7"/>
    </w:lvl>
    <w:lvl w:ilvl="1">
      <w:lvlJc w:val="left"/>
      <w:lvlText w:val="(%2)"/>
      <w:numFmt w:val="lowerRoman"/>
      <w:start w:val="1"/>
    </w:lvl>
  </w:abstractNum>
  <w:abstractNum w:abstractNumId="272">
    <w:nsid w:val="4B683D0D"/>
    <w:multiLevelType w:val="hybridMultilevel"/>
    <w:lvl w:ilvl="0">
      <w:lvlJc w:val="left"/>
      <w:lvlText w:val="(%1)"/>
      <w:numFmt w:val="lowerLetter"/>
      <w:start w:val="10"/>
    </w:lvl>
  </w:abstractNum>
  <w:abstractNum w:abstractNumId="273">
    <w:nsid w:val="76E41D8"/>
    <w:multiLevelType w:val="hybridMultilevel"/>
    <w:lvl w:ilvl="0">
      <w:lvlJc w:val="left"/>
      <w:lvlText w:val="(%1)"/>
      <w:numFmt w:val="lowerLetter"/>
      <w:start w:val="1"/>
    </w:lvl>
  </w:abstractNum>
  <w:abstractNum w:abstractNumId="274">
    <w:nsid w:val="71DCE0FD"/>
    <w:multiLevelType w:val="hybridMultilevel"/>
    <w:lvl w:ilvl="0">
      <w:lvlJc w:val="left"/>
      <w:lvlText w:val="•"/>
      <w:numFmt w:val="bullet"/>
      <w:start w:val="1"/>
    </w:lvl>
  </w:abstractNum>
  <w:abstractNum w:abstractNumId="275">
    <w:nsid w:val="7906328B"/>
    <w:multiLevelType w:val="hybridMultilevel"/>
    <w:lvl w:ilvl="0">
      <w:lvlJc w:val="left"/>
      <w:lvlText w:val="•"/>
      <w:numFmt w:val="bullet"/>
      <w:start w:val="1"/>
    </w:lvl>
  </w:abstractNum>
  <w:abstractNum w:abstractNumId="276">
    <w:nsid w:val="72BBC16"/>
    <w:multiLevelType w:val="hybridMultilevel"/>
    <w:lvl w:ilvl="0">
      <w:lvlJc w:val="left"/>
      <w:lvlText w:val="•"/>
      <w:numFmt w:val="bullet"/>
      <w:start w:val="1"/>
    </w:lvl>
  </w:abstractNum>
  <w:abstractNum w:abstractNumId="277">
    <w:nsid w:val="766D98C2"/>
    <w:multiLevelType w:val="hybridMultilevel"/>
    <w:lvl w:ilvl="0">
      <w:lvlJc w:val="left"/>
      <w:lvlText w:val="•"/>
      <w:numFmt w:val="bullet"/>
      <w:start w:val="1"/>
    </w:lvl>
  </w:abstractNum>
  <w:abstractNum w:abstractNumId="278">
    <w:nsid w:val="3C09D4A1"/>
    <w:multiLevelType w:val="hybridMultilevel"/>
    <w:lvl w:ilvl="0">
      <w:lvlJc w:val="left"/>
      <w:lvlText w:val="•"/>
      <w:numFmt w:val="bullet"/>
      <w:start w:val="1"/>
    </w:lvl>
  </w:abstractNum>
  <w:abstractNum w:abstractNumId="279">
    <w:nsid w:val="20E45CA4"/>
    <w:multiLevelType w:val="hybridMultilevel"/>
    <w:lvl w:ilvl="0">
      <w:lvlJc w:val="left"/>
      <w:lvlText w:val="•"/>
      <w:numFmt w:val="bullet"/>
      <w:start w:val="1"/>
    </w:lvl>
  </w:abstractNum>
  <w:abstractNum w:abstractNumId="280">
    <w:nsid w:val="4B232EE3"/>
    <w:multiLevelType w:val="hybridMultilevel"/>
    <w:lvl w:ilvl="0">
      <w:lvlJc w:val="left"/>
      <w:lvlText w:val="•"/>
      <w:numFmt w:val="bullet"/>
      <w:start w:val="1"/>
    </w:lvl>
  </w:abstractNum>
  <w:abstractNum w:abstractNumId="281">
    <w:nsid w:val="159C74CF"/>
    <w:multiLevelType w:val="hybridMultilevel"/>
    <w:lvl w:ilvl="0">
      <w:lvlJc w:val="left"/>
      <w:lvlText w:val="•"/>
      <w:numFmt w:val="bullet"/>
      <w:start w:val="1"/>
    </w:lvl>
  </w:abstractNum>
  <w:abstractNum w:abstractNumId="282">
    <w:nsid w:val="4AD3AFD2"/>
    <w:multiLevelType w:val="hybridMultilevel"/>
    <w:lvl w:ilvl="0">
      <w:lvlJc w:val="left"/>
      <w:lvlText w:val="•"/>
      <w:numFmt w:val="bullet"/>
      <w:start w:val="1"/>
    </w:lvl>
    <w:lvl w:ilvl="1">
      <w:lvlJc w:val="left"/>
      <w:lvlText w:val="."/>
      <w:numFmt w:val="bullet"/>
      <w:start w:val="1"/>
    </w:lvl>
  </w:abstractNum>
  <w:abstractNum w:abstractNumId="283">
    <w:nsid w:val="3CF93092"/>
    <w:multiLevelType w:val="hybridMultilevel"/>
    <w:lvl w:ilvl="0">
      <w:lvlJc w:val="left"/>
      <w:lvlText w:val="•"/>
      <w:numFmt w:val="bullet"/>
      <w:start w:val="1"/>
    </w:lvl>
  </w:abstractNum>
  <w:abstractNum w:abstractNumId="284">
    <w:nsid w:val="6863E8D2"/>
    <w:multiLevelType w:val="hybridMultilevel"/>
    <w:lvl w:ilvl="0">
      <w:lvlJc w:val="left"/>
      <w:lvlText w:val="•"/>
      <w:numFmt w:val="bullet"/>
      <w:start w:val="1"/>
    </w:lvl>
  </w:abstractNum>
  <w:abstractNum w:abstractNumId="285">
    <w:nsid w:val="76896198"/>
    <w:multiLevelType w:val="hybridMultilevel"/>
    <w:lvl w:ilvl="0">
      <w:lvlJc w:val="left"/>
      <w:lvlText w:val="•"/>
      <w:numFmt w:val="bullet"/>
      <w:start w:val="1"/>
    </w:lvl>
  </w:abstractNum>
  <w:abstractNum w:abstractNumId="286">
    <w:nsid w:val="4365174B"/>
    <w:multiLevelType w:val="hybridMultilevel"/>
    <w:lvl w:ilvl="0">
      <w:lvlJc w:val="left"/>
      <w:lvlText w:val="•"/>
      <w:numFmt w:val="bullet"/>
      <w:start w:val="1"/>
    </w:lvl>
  </w:abstractNum>
  <w:abstractNum w:abstractNumId="287">
    <w:nsid w:val="4A872C35"/>
    <w:multiLevelType w:val="hybridMultilevel"/>
    <w:lvl w:ilvl="0">
      <w:lvlJc w:val="left"/>
      <w:lvlText w:val="•"/>
      <w:numFmt w:val="bullet"/>
      <w:start w:val="1"/>
    </w:lvl>
  </w:abstractNum>
  <w:abstractNum w:abstractNumId="288">
    <w:nsid w:val="5D5CE761"/>
    <w:multiLevelType w:val="hybridMultilevel"/>
    <w:lvl w:ilvl="0">
      <w:lvlJc w:val="left"/>
      <w:lvlText w:val="•"/>
      <w:numFmt w:val="bullet"/>
      <w:start w:val="1"/>
    </w:lvl>
  </w:abstractNum>
  <w:abstractNum w:abstractNumId="289">
    <w:nsid w:val="1CD484D5"/>
    <w:multiLevelType w:val="hybridMultilevel"/>
    <w:lvl w:ilvl="0">
      <w:lvlJc w:val="left"/>
      <w:lvlText w:val="•"/>
      <w:numFmt w:val="bullet"/>
      <w:start w:val="1"/>
    </w:lvl>
  </w:abstractNum>
  <w:abstractNum w:abstractNumId="290">
    <w:nsid w:val="21D06255"/>
    <w:multiLevelType w:val="hybridMultilevel"/>
    <w:lvl w:ilvl="0">
      <w:lvlJc w:val="left"/>
      <w:lvlText w:val="%1:"/>
      <w:numFmt w:val="upperLetter"/>
      <w:start w:val="17"/>
    </w:lvl>
  </w:abstractNum>
  <w:abstractNum w:abstractNumId="291">
    <w:nsid w:val="51194ED1"/>
    <w:multiLevelType w:val="hybridMultilevel"/>
    <w:lvl w:ilvl="0">
      <w:lvlJc w:val="left"/>
      <w:lvlText w:val="%1:"/>
      <w:numFmt w:val="upperLetter"/>
      <w:start w:val="1"/>
    </w:lvl>
  </w:abstractNum>
  <w:abstractNum w:abstractNumId="292">
    <w:nsid w:val="44E2ED6C"/>
    <w:multiLevelType w:val="hybridMultilevel"/>
    <w:lvl w:ilvl="0">
      <w:lvlJc w:val="left"/>
      <w:lvlText w:val="%1:"/>
      <w:numFmt w:val="upperLetter"/>
      <w:start w:val="17"/>
    </w:lvl>
  </w:abstractNum>
  <w:abstractNum w:abstractNumId="293">
    <w:nsid w:val="2219B33"/>
    <w:multiLevelType w:val="hybridMultilevel"/>
    <w:lvl w:ilvl="0">
      <w:lvlJc w:val="left"/>
      <w:lvlText w:val="%1:"/>
      <w:numFmt w:val="upperLetter"/>
      <w:start w:val="1"/>
    </w:lvl>
  </w:abstractNum>
  <w:abstractNum w:abstractNumId="294">
    <w:nsid w:val="773BFBDD"/>
    <w:multiLevelType w:val="hybridMultilevel"/>
    <w:lvl w:ilvl="0">
      <w:lvlJc w:val="left"/>
      <w:lvlText w:val="%1:"/>
      <w:numFmt w:val="upperLetter"/>
      <w:start w:val="17"/>
    </w:lvl>
  </w:abstractNum>
  <w:abstractNum w:abstractNumId="295">
    <w:nsid w:val="2C7C62C2"/>
    <w:multiLevelType w:val="hybridMultilevel"/>
    <w:lvl w:ilvl="0">
      <w:lvlJc w:val="left"/>
      <w:lvlText w:val="%1:"/>
      <w:numFmt w:val="upperLetter"/>
      <w:start w:val="1"/>
    </w:lvl>
  </w:abstractNum>
  <w:abstractNum w:abstractNumId="296">
    <w:nsid w:val="1A54D7BC"/>
    <w:multiLevelType w:val="hybridMultilevel"/>
    <w:lvl w:ilvl="0">
      <w:lvlJc w:val="left"/>
      <w:lvlText w:val="%1:"/>
      <w:numFmt w:val="upperLetter"/>
      <w:start w:val="17"/>
    </w:lvl>
  </w:abstractNum>
  <w:abstractNum w:abstractNumId="297">
    <w:nsid w:val="42E57EF7"/>
    <w:multiLevelType w:val="hybridMultilevel"/>
    <w:lvl w:ilvl="0">
      <w:lvlJc w:val="left"/>
      <w:lvlText w:val="%1:"/>
      <w:numFmt w:val="upperLetter"/>
      <w:start w:val="1"/>
    </w:lvl>
    <w:lvl w:ilvl="1">
      <w:lvlJc w:val="left"/>
      <w:lvlText w:val="•"/>
      <w:numFmt w:val="bullet"/>
      <w:start w:val="1"/>
    </w:lvl>
  </w:abstractNum>
  <w:abstractNum w:abstractNumId="298">
    <w:nsid w:val="33537CED"/>
    <w:multiLevelType w:val="hybridMultilevel"/>
    <w:lvl w:ilvl="0">
      <w:lvlJc w:val="left"/>
      <w:lvlText w:val="•"/>
      <w:numFmt w:val="bullet"/>
      <w:start w:val="1"/>
    </w:lvl>
  </w:abstractNum>
  <w:abstractNum w:abstractNumId="299">
    <w:nsid w:val="27514ADE"/>
    <w:multiLevelType w:val="hybridMultilevel"/>
    <w:lvl w:ilvl="0">
      <w:lvlJc w:val="left"/>
      <w:lvlText w:val="%1:"/>
      <w:numFmt w:val="upperLetter"/>
      <w:start w:val="17"/>
    </w:lvl>
  </w:abstractNum>
  <w:abstractNum w:abstractNumId="300">
    <w:nsid w:val="57071613"/>
    <w:multiLevelType w:val="hybridMultilevel"/>
    <w:lvl w:ilvl="0">
      <w:lvlJc w:val="left"/>
      <w:lvlText w:val="%1:"/>
      <w:numFmt w:val="upperLetter"/>
      <w:start w:val="1"/>
    </w:lvl>
  </w:abstractNum>
  <w:abstractNum w:abstractNumId="301">
    <w:nsid w:val="5293BFEF"/>
    <w:multiLevelType w:val="hybridMultilevel"/>
    <w:lvl w:ilvl="0">
      <w:lvlJc w:val="left"/>
      <w:lvlText w:val="%1:"/>
      <w:numFmt w:val="upperLetter"/>
      <w:start w:val="17"/>
    </w:lvl>
  </w:abstractNum>
  <w:abstractNum w:abstractNumId="302">
    <w:nsid w:val="38BF53E5"/>
    <w:multiLevelType w:val="hybridMultilevel"/>
    <w:lvl w:ilvl="0">
      <w:lvlJc w:val="left"/>
      <w:lvlText w:val="%1:"/>
      <w:numFmt w:val="upperLetter"/>
      <w:start w:val="17"/>
    </w:lvl>
  </w:abstractNum>
  <w:abstractNum w:abstractNumId="303">
    <w:nsid w:val="226F5320"/>
    <w:multiLevelType w:val="hybridMultilevel"/>
    <w:lvl w:ilvl="0">
      <w:lvlJc w:val="left"/>
      <w:lvlText w:val="%1:"/>
      <w:numFmt w:val="upperLetter"/>
      <w:start w:val="17"/>
    </w:lvl>
  </w:abstractNum>
  <w:abstractNum w:abstractNumId="304">
    <w:nsid w:val="5A0201C7"/>
    <w:multiLevelType w:val="hybridMultilevel"/>
    <w:lvl w:ilvl="0">
      <w:lvlJc w:val="left"/>
      <w:lvlText w:val="%1:"/>
      <w:numFmt w:val="upperLetter"/>
      <w:start w:val="17"/>
    </w:lvl>
  </w:abstractNum>
  <w:abstractNum w:abstractNumId="305">
    <w:nsid w:val="2A9C34E2"/>
    <w:multiLevelType w:val="hybridMultilevel"/>
    <w:lvl w:ilvl="0">
      <w:lvlJc w:val="left"/>
      <w:lvlText w:val="%1:"/>
      <w:numFmt w:val="upperLetter"/>
      <w:start w:val="17"/>
    </w:lvl>
  </w:abstractNum>
  <w:abstractNum w:abstractNumId="306">
    <w:nsid w:val="1B7585AB"/>
    <w:multiLevelType w:val="hybridMultilevel"/>
    <w:lvl w:ilvl="0">
      <w:lvlJc w:val="left"/>
      <w:lvlText w:val="%1:"/>
      <w:numFmt w:val="upperLetter"/>
      <w:start w:val="1"/>
    </w:lvl>
  </w:abstractNum>
  <w:abstractNum w:abstractNumId="307">
    <w:nsid w:val="612DBDDD"/>
    <w:multiLevelType w:val="hybridMultilevel"/>
    <w:lvl w:ilvl="0">
      <w:lvlJc w:val="left"/>
      <w:lvlText w:val="%1:"/>
      <w:numFmt w:val="upperLetter"/>
      <w:start w:val="17"/>
    </w:lvl>
  </w:abstractNum>
  <w:abstractNum w:abstractNumId="308">
    <w:nsid w:val="2109CDA4"/>
    <w:multiLevelType w:val="hybridMultilevel"/>
    <w:lvl w:ilvl="0">
      <w:lvlJc w:val="left"/>
      <w:lvlText w:val="%1:"/>
      <w:numFmt w:val="upperLetter"/>
      <w:start w:val="1"/>
    </w:lvl>
  </w:abstractNum>
  <w:abstractNum w:abstractNumId="309">
    <w:nsid w:val="577F5A4D"/>
    <w:multiLevelType w:val="hybridMultilevel"/>
    <w:lvl w:ilvl="0">
      <w:lvlJc w:val="left"/>
      <w:lvlText w:val="%1:"/>
      <w:numFmt w:val="upperLetter"/>
      <w:start w:val="17"/>
    </w:lvl>
  </w:abstractNum>
  <w:abstractNum w:abstractNumId="310">
    <w:nsid w:val="2121A81"/>
    <w:multiLevelType w:val="hybridMultilevel"/>
    <w:lvl w:ilvl="0">
      <w:lvlJc w:val="left"/>
      <w:lvlText w:val="%1:"/>
      <w:numFmt w:val="upperLetter"/>
      <w:start w:val="1"/>
    </w:lvl>
    <w:lvl w:ilvl="1">
      <w:lvlJc w:val="left"/>
      <w:lvlText w:val="•"/>
      <w:numFmt w:val="bullet"/>
      <w:start w:val="1"/>
    </w:lvl>
  </w:abstractNum>
  <w:abstractNum w:abstractNumId="311">
    <w:nsid w:val="6C2CFC88"/>
    <w:multiLevelType w:val="hybridMultilevel"/>
    <w:lvl w:ilvl="0">
      <w:lvlJc w:val="left"/>
      <w:lvlText w:val="•"/>
      <w:numFmt w:val="bullet"/>
      <w:start w:val="1"/>
    </w:lvl>
  </w:abstractNum>
  <w:abstractNum w:abstractNumId="312">
    <w:nsid w:val="6D1BCF1C"/>
    <w:multiLevelType w:val="hybridMultilevel"/>
    <w:lvl w:ilvl="0">
      <w:lvlJc w:val="left"/>
      <w:lvlText w:val="%1:"/>
      <w:numFmt w:val="upperLetter"/>
      <w:start w:val="17"/>
    </w:lvl>
  </w:abstractNum>
  <w:abstractNum w:abstractNumId="313">
    <w:nsid w:val="4CE5CA53"/>
    <w:multiLevelType w:val="hybridMultilevel"/>
    <w:lvl w:ilvl="0">
      <w:lvlJc w:val="left"/>
      <w:lvlText w:val="%1:"/>
      <w:numFmt w:val="upperLetter"/>
      <w:start w:val="1"/>
    </w:lvl>
  </w:abstractNum>
  <w:abstractNum w:abstractNumId="314">
    <w:nsid w:val="29262D1A"/>
    <w:multiLevelType w:val="hybridMultilevel"/>
    <w:lvl w:ilvl="0">
      <w:lvlJc w:val="left"/>
      <w:lvlText w:val="%1:"/>
      <w:numFmt w:val="upperLetter"/>
      <w:start w:val="17"/>
    </w:lvl>
  </w:abstractNum>
  <w:abstractNum w:abstractNumId="315">
    <w:nsid w:val="557FB7EE"/>
    <w:multiLevelType w:val="hybridMultilevel"/>
    <w:lvl w:ilvl="0">
      <w:lvlJc w:val="left"/>
      <w:lvlText w:val="%1:"/>
      <w:numFmt w:val="upperLetter"/>
      <w:start w:val="1"/>
    </w:lvl>
  </w:abstractNum>
  <w:abstractNum w:abstractNumId="316">
    <w:nsid w:val="436F2BEB"/>
    <w:multiLevelType w:val="hybridMultilevel"/>
    <w:lvl w:ilvl="0">
      <w:lvlJc w:val="left"/>
      <w:lvlText w:val="%1:"/>
      <w:numFmt w:val="upperLetter"/>
      <w:start w:val="17"/>
    </w:lvl>
  </w:abstractNum>
  <w:abstractNum w:abstractNumId="317">
    <w:nsid w:val="6C8B4466"/>
    <w:multiLevelType w:val="hybridMultilevel"/>
    <w:lvl w:ilvl="0">
      <w:lvlJc w:val="left"/>
      <w:lvlText w:val="%1:"/>
      <w:numFmt w:val="upperLetter"/>
      <w:start w:val="1"/>
    </w:lvl>
  </w:abstractNum>
  <w:abstractNum w:abstractNumId="318">
    <w:nsid w:val="2006E424"/>
    <w:multiLevelType w:val="hybridMultilevel"/>
    <w:lvl w:ilvl="0">
      <w:lvlJc w:val="left"/>
      <w:lvlText w:val="%1:"/>
      <w:numFmt w:val="upperLetter"/>
      <w:start w:val="17"/>
    </w:lvl>
  </w:abstractNum>
  <w:abstractNum w:abstractNumId="319">
    <w:nsid w:val="20CC134C"/>
    <w:multiLevelType w:val="hybridMultilevel"/>
    <w:lvl w:ilvl="0">
      <w:lvlJc w:val="left"/>
      <w:lvlText w:val="%1:"/>
      <w:numFmt w:val="upperLetter"/>
      <w:start w:val="1"/>
    </w:lvl>
  </w:abstractNum>
  <w:abstractNum w:abstractNumId="320">
    <w:nsid w:val="95FC93B"/>
    <w:multiLevelType w:val="hybridMultilevel"/>
    <w:lvl w:ilvl="0">
      <w:lvlJc w:val="left"/>
      <w:lvlText w:val="%1:"/>
      <w:numFmt w:val="upperLetter"/>
      <w:start w:val="17"/>
    </w:lvl>
  </w:abstractNum>
  <w:abstractNum w:abstractNumId="321">
    <w:nsid w:val="41D74679"/>
    <w:multiLevelType w:val="hybridMultilevel"/>
    <w:lvl w:ilvl="0">
      <w:lvlJc w:val="left"/>
      <w:lvlText w:val="%1:"/>
      <w:numFmt w:val="upperLetter"/>
      <w:start w:val="1"/>
    </w:lvl>
  </w:abstractNum>
  <w:abstractNum w:abstractNumId="322">
    <w:nsid w:val="71E5621E"/>
    <w:multiLevelType w:val="hybridMultilevel"/>
    <w:lvl w:ilvl="0">
      <w:lvlJc w:val="left"/>
      <w:lvlText w:val="%1:"/>
      <w:numFmt w:val="upperLetter"/>
      <w:start w:val="17"/>
    </w:lvl>
  </w:abstractNum>
  <w:abstractNum w:abstractNumId="323">
    <w:nsid w:val="4E42B6A8"/>
    <w:multiLevelType w:val="hybridMultilevel"/>
    <w:lvl w:ilvl="0">
      <w:lvlJc w:val="left"/>
      <w:lvlText w:val="%1:"/>
      <w:numFmt w:val="upperLetter"/>
      <w:start w:val="1"/>
    </w:lvl>
  </w:abstractNum>
  <w:abstractNum w:abstractNumId="324">
    <w:nsid w:val="43F8E1AC"/>
    <w:multiLevelType w:val="hybridMultilevel"/>
    <w:lvl w:ilvl="0">
      <w:lvlJc w:val="left"/>
      <w:lvlText w:val="%1:"/>
      <w:numFmt w:val="upperLetter"/>
      <w:start w:val="17"/>
    </w:lvl>
  </w:abstractNum>
  <w:abstractNum w:abstractNumId="325">
    <w:nsid w:val="69215DFB"/>
    <w:multiLevelType w:val="hybridMultilevel"/>
    <w:lvl w:ilvl="0">
      <w:lvlJc w:val="left"/>
      <w:lvlText w:val="%1:"/>
      <w:numFmt w:val="upperLetter"/>
      <w:start w:val="1"/>
    </w:lvl>
  </w:abstractNum>
  <w:abstractNum w:abstractNumId="326">
    <w:nsid w:val="7ABF196A"/>
    <w:multiLevelType w:val="hybridMultilevel"/>
    <w:lvl w:ilvl="0">
      <w:lvlJc w:val="left"/>
      <w:lvlText w:val="%1:"/>
      <w:numFmt w:val="upperLetter"/>
      <w:start w:val="17"/>
    </w:lvl>
  </w:abstractNum>
  <w:abstractNum w:abstractNumId="327">
    <w:nsid w:val="5E4DB968"/>
    <w:multiLevelType w:val="hybridMultilevel"/>
    <w:lvl w:ilvl="0">
      <w:lvlJc w:val="left"/>
      <w:lvlText w:val="%1:"/>
      <w:numFmt w:val="upperLetter"/>
      <w:start w:val="1"/>
    </w:lvl>
  </w:abstractNum>
  <w:abstractNum w:abstractNumId="328">
    <w:nsid w:val="2C06DCF3"/>
    <w:multiLevelType w:val="hybridMultilevel"/>
    <w:lvl w:ilvl="0">
      <w:lvlJc w:val="left"/>
      <w:lvlText w:val="%1:"/>
      <w:numFmt w:val="upperLetter"/>
      <w:start w:val="17"/>
    </w:lvl>
  </w:abstractNum>
  <w:abstractNum w:abstractNumId="329">
    <w:nsid w:val="2E129658"/>
    <w:multiLevelType w:val="hybridMultilevel"/>
    <w:lvl w:ilvl="0">
      <w:lvlJc w:val="left"/>
      <w:lvlText w:val="%1:"/>
      <w:numFmt w:val="upperLetter"/>
      <w:start w:val="1"/>
    </w:lvl>
  </w:abstractNum>
  <w:abstractNum w:abstractNumId="330">
    <w:nsid w:val="59F0446"/>
    <w:multiLevelType w:val="hybridMultilevel"/>
    <w:lvl w:ilvl="0">
      <w:lvlJc w:val="left"/>
      <w:lvlText w:val="%1:"/>
      <w:numFmt w:val="upperLetter"/>
      <w:start w:val="17"/>
    </w:lvl>
  </w:abstractNum>
  <w:abstractNum w:abstractNumId="331">
    <w:nsid w:val="30DF306"/>
    <w:multiLevelType w:val="hybridMultilevel"/>
    <w:lvl w:ilvl="0">
      <w:lvlJc w:val="left"/>
      <w:lvlText w:val="%1:"/>
      <w:numFmt w:val="upperLetter"/>
      <w:start w:val="1"/>
    </w:lvl>
  </w:abstractNum>
  <w:abstractNum w:abstractNumId="332">
    <w:nsid w:val="A65647"/>
    <w:multiLevelType w:val="hybridMultilevel"/>
    <w:lvl w:ilvl="0">
      <w:lvlJc w:val="left"/>
      <w:lvlText w:val="%1:"/>
      <w:numFmt w:val="upperLetter"/>
      <w:start w:val="17"/>
    </w:lvl>
  </w:abstractNum>
  <w:abstractNum w:abstractNumId="333">
    <w:nsid w:val="3E5E582B"/>
    <w:multiLevelType w:val="hybridMultilevel"/>
    <w:lvl w:ilvl="0">
      <w:lvlJc w:val="left"/>
      <w:lvlText w:val="%1:"/>
      <w:numFmt w:val="upperLetter"/>
      <w:start w:val="1"/>
    </w:lvl>
  </w:abstractNum>
  <w:abstractNum w:abstractNumId="334">
    <w:nsid w:val="257D4626"/>
    <w:multiLevelType w:val="hybridMultilevel"/>
    <w:lvl w:ilvl="0">
      <w:lvlJc w:val="left"/>
      <w:lvlText w:val="%1:"/>
      <w:numFmt w:val="upperLetter"/>
      <w:start w:val="17"/>
    </w:lvl>
  </w:abstractNum>
  <w:abstractNum w:abstractNumId="335">
    <w:nsid w:val="5AA8580E"/>
    <w:multiLevelType w:val="hybridMultilevel"/>
    <w:lvl w:ilvl="0">
      <w:lvlJc w:val="left"/>
      <w:lvlText w:val="%1:"/>
      <w:numFmt w:val="upperLetter"/>
      <w:start w:val="1"/>
    </w:lvl>
  </w:abstractNum>
  <w:abstractNum w:abstractNumId="336">
    <w:nsid w:val="68FA8D0D"/>
    <w:multiLevelType w:val="hybridMultilevel"/>
    <w:lvl w:ilvl="0">
      <w:lvlJc w:val="left"/>
      <w:lvlText w:val="%1:"/>
      <w:numFmt w:val="upperLetter"/>
      <w:start w:val="17"/>
    </w:lvl>
  </w:abstractNum>
  <w:abstractNum w:abstractNumId="337">
    <w:nsid w:val="40F2CBD2"/>
    <w:multiLevelType w:val="hybridMultilevel"/>
    <w:lvl w:ilvl="0">
      <w:lvlJc w:val="left"/>
      <w:lvlText w:val="%1:"/>
      <w:numFmt w:val="upperLetter"/>
      <w:start w:val="1"/>
    </w:lvl>
  </w:abstractNum>
  <w:abstractNum w:abstractNumId="338">
    <w:nsid w:val="3BD615EB"/>
    <w:multiLevelType w:val="hybridMultilevel"/>
    <w:lvl w:ilvl="0">
      <w:lvlJc w:val="left"/>
      <w:lvlText w:val="%1:"/>
      <w:numFmt w:val="upperLetter"/>
      <w:start w:val="17"/>
    </w:lvl>
  </w:abstractNum>
  <w:abstractNum w:abstractNumId="339">
    <w:nsid w:val="A045AB2"/>
    <w:multiLevelType w:val="hybridMultilevel"/>
    <w:lvl w:ilvl="0">
      <w:lvlJc w:val="left"/>
      <w:lvlText w:val="%1:"/>
      <w:numFmt w:val="upperLetter"/>
      <w:start w:val="1"/>
    </w:lvl>
  </w:abstractNum>
  <w:abstractNum w:abstractNumId="340">
    <w:nsid w:val="1872261F"/>
    <w:multiLevelType w:val="hybridMultilevel"/>
    <w:lvl w:ilvl="0">
      <w:lvlJc w:val="left"/>
      <w:lvlText w:val="%1:"/>
      <w:numFmt w:val="upperLetter"/>
      <w:start w:val="17"/>
    </w:lvl>
  </w:abstractNum>
  <w:abstractNum w:abstractNumId="341">
    <w:nsid w:val="3DE8306C"/>
    <w:multiLevelType w:val="hybridMultilevel"/>
    <w:lvl w:ilvl="0">
      <w:lvlJc w:val="left"/>
      <w:lvlText w:val="%1:"/>
      <w:numFmt w:val="upperLetter"/>
      <w:start w:val="1"/>
    </w:lvl>
  </w:abstractNum>
  <w:abstractNum w:abstractNumId="342">
    <w:nsid w:val="7631573A"/>
    <w:multiLevelType w:val="hybridMultilevel"/>
    <w:lvl w:ilvl="0">
      <w:lvlJc w:val="left"/>
      <w:lvlText w:val="%1:"/>
      <w:numFmt w:val="upperLetter"/>
      <w:start w:val="17"/>
    </w:lvl>
  </w:abstractNum>
  <w:abstractNum w:abstractNumId="343">
    <w:nsid w:val="58DF53B"/>
    <w:multiLevelType w:val="hybridMultilevel"/>
    <w:lvl w:ilvl="0">
      <w:lvlJc w:val="left"/>
      <w:lvlText w:val="%1:"/>
      <w:numFmt w:val="upperLetter"/>
      <w:start w:val="1"/>
    </w:lvl>
  </w:abstractNum>
  <w:abstractNum w:abstractNumId="344">
    <w:nsid w:val="ACDFAC0"/>
    <w:multiLevelType w:val="hybridMultilevel"/>
    <w:lvl w:ilvl="0">
      <w:lvlJc w:val="left"/>
      <w:lvlText w:val="%1:"/>
      <w:numFmt w:val="upperLetter"/>
      <w:start w:val="17"/>
    </w:lvl>
  </w:abstractNum>
  <w:abstractNum w:abstractNumId="345">
    <w:nsid w:val="1F578454"/>
    <w:multiLevelType w:val="hybridMultilevel"/>
    <w:lvl w:ilvl="0">
      <w:lvlJc w:val="left"/>
      <w:lvlText w:val="%1:"/>
      <w:numFmt w:val="upperLetter"/>
      <w:start w:val="1"/>
    </w:lvl>
  </w:abstractNum>
  <w:abstractNum w:abstractNumId="346">
    <w:nsid w:val="5B0DAD2A"/>
    <w:multiLevelType w:val="hybridMultilevel"/>
    <w:lvl w:ilvl="0">
      <w:lvlJc w:val="left"/>
      <w:lvlText w:val="%1:"/>
      <w:numFmt w:val="upperLetter"/>
      <w:start w:val="17"/>
    </w:lvl>
  </w:abstractNum>
  <w:abstractNum w:abstractNumId="347">
    <w:nsid w:val="4E3D26AB"/>
    <w:multiLevelType w:val="hybridMultilevel"/>
    <w:lvl w:ilvl="0">
      <w:lvlJc w:val="left"/>
      <w:lvlText w:val="%1:"/>
      <w:numFmt w:val="upperLetter"/>
      <w:start w:val="1"/>
    </w:lvl>
  </w:abstractNum>
  <w:abstractNum w:abstractNumId="348">
    <w:nsid w:val="BE2C8BA"/>
    <w:multiLevelType w:val="hybridMultilevel"/>
    <w:lvl w:ilvl="0">
      <w:lvlJc w:val="left"/>
      <w:lvlText w:val="•"/>
      <w:numFmt w:val="bullet"/>
      <w:start w:val="1"/>
    </w:lvl>
  </w:abstractNum>
  <w:abstractNum w:abstractNumId="349">
    <w:nsid w:val="7B14914E"/>
    <w:multiLevelType w:val="hybridMultilevel"/>
    <w:lvl w:ilvl="0">
      <w:lvlJc w:val="left"/>
      <w:lvlText w:val="•"/>
      <w:numFmt w:val="bullet"/>
      <w:start w:val="1"/>
    </w:lvl>
  </w:abstractNum>
  <w:abstractNum w:abstractNumId="350">
    <w:nsid w:val="6F0939F8"/>
    <w:multiLevelType w:val="hybridMultilevel"/>
    <w:lvl w:ilvl="0">
      <w:lvlJc w:val="left"/>
      <w:lvlText w:val="•"/>
      <w:numFmt w:val="bullet"/>
      <w:start w:val="1"/>
    </w:lvl>
  </w:abstractNum>
  <w:abstractNum w:abstractNumId="351">
    <w:nsid w:val="154291F6"/>
    <w:multiLevelType w:val="hybridMultilevel"/>
    <w:lvl w:ilvl="0">
      <w:lvlJc w:val="left"/>
      <w:lvlText w:val="•"/>
      <w:numFmt w:val="bullet"/>
      <w:start w:val="1"/>
    </w:lvl>
  </w:abstractNum>
  <w:abstractNum w:abstractNumId="352">
    <w:nsid w:val="3CEBD7C7"/>
    <w:multiLevelType w:val="hybridMultilevel"/>
    <w:lvl w:ilvl="0">
      <w:lvlJc w:val="left"/>
      <w:lvlText w:val="•"/>
      <w:numFmt w:val="bullet"/>
      <w:start w:val="1"/>
    </w:lvl>
  </w:abstractNum>
  <w:abstractNum w:abstractNumId="353">
    <w:nsid w:val="60EE9C16"/>
    <w:multiLevelType w:val="hybridMultilevel"/>
    <w:lvl w:ilvl="0">
      <w:lvlJc w:val="left"/>
      <w:lvlText w:val="•"/>
      <w:numFmt w:val="bullet"/>
      <w:start w:val="1"/>
    </w:lvl>
  </w:abstractNum>
  <w:abstractNum w:abstractNumId="354">
    <w:nsid w:val="6385489E"/>
    <w:multiLevelType w:val="hybridMultilevel"/>
    <w:lvl w:ilvl="0">
      <w:lvlJc w:val="left"/>
      <w:lvlText w:val="•"/>
      <w:numFmt w:val="bullet"/>
      <w:start w:val="1"/>
    </w:lvl>
  </w:abstractNum>
  <w:abstractNum w:abstractNumId="355">
    <w:nsid w:val="E4B973"/>
    <w:multiLevelType w:val="hybridMultilevel"/>
    <w:lvl w:ilvl="0">
      <w:lvlJc w:val="left"/>
      <w:lvlText w:val="•"/>
      <w:numFmt w:val="bullet"/>
      <w:start w:val="1"/>
    </w:lvl>
  </w:abstractNum>
  <w:abstractNum w:abstractNumId="356">
    <w:nsid w:val="4A0FFA11"/>
    <w:multiLevelType w:val="hybridMultilevel"/>
    <w:lvl w:ilvl="0">
      <w:lvlJc w:val="left"/>
      <w:lvlText w:val="•"/>
      <w:numFmt w:val="bullet"/>
      <w:start w:val="1"/>
    </w:lvl>
  </w:abstractNum>
  <w:abstractNum w:abstractNumId="357">
    <w:nsid w:val="5E446208"/>
    <w:multiLevelType w:val="hybridMultilevel"/>
    <w:lvl w:ilvl="0">
      <w:lvlJc w:val="left"/>
      <w:lvlText w:val="•"/>
      <w:numFmt w:val="bullet"/>
      <w:start w:val="1"/>
    </w:lvl>
  </w:abstractNum>
  <w:abstractNum w:abstractNumId="358">
    <w:nsid w:val="5F3272DB"/>
    <w:multiLevelType w:val="hybridMultilevel"/>
    <w:lvl w:ilvl="0">
      <w:lvlJc w:val="left"/>
      <w:lvlText w:val="•"/>
      <w:numFmt w:val="bullet"/>
      <w:start w:val="1"/>
    </w:lvl>
  </w:abstractNum>
  <w:abstractNum w:abstractNumId="359">
    <w:nsid w:val="7616D704"/>
    <w:multiLevelType w:val="hybridMultilevel"/>
    <w:lvl w:ilvl="0">
      <w:lvlJc w:val="left"/>
      <w:lvlText w:val="•"/>
      <w:numFmt w:val="bullet"/>
      <w:start w:val="1"/>
    </w:lvl>
  </w:abstractNum>
  <w:abstractNum w:abstractNumId="360">
    <w:nsid w:val="C56F860"/>
    <w:multiLevelType w:val="hybridMultilevel"/>
    <w:lvl w:ilvl="0">
      <w:lvlJc w:val="left"/>
      <w:lvlText w:val="•"/>
      <w:numFmt w:val="bullet"/>
      <w:start w:val="1"/>
    </w:lvl>
  </w:abstractNum>
  <w:abstractNum w:abstractNumId="361">
    <w:nsid w:val="64D17722"/>
    <w:multiLevelType w:val="hybridMultilevel"/>
    <w:lvl w:ilvl="0">
      <w:lvlJc w:val="left"/>
      <w:lvlText w:val="•"/>
      <w:numFmt w:val="bullet"/>
      <w:start w:val="1"/>
    </w:lvl>
  </w:abstractNum>
  <w:abstractNum w:abstractNumId="362">
    <w:nsid w:val="7924CA0A"/>
    <w:multiLevelType w:val="hybridMultilevel"/>
    <w:lvl w:ilvl="0">
      <w:lvlJc w:val="left"/>
      <w:lvlText w:val="•"/>
      <w:numFmt w:val="bullet"/>
      <w:start w:val="1"/>
    </w:lvl>
  </w:abstractNum>
  <w:abstractNum w:abstractNumId="363">
    <w:nsid w:val="CFD4EA7"/>
    <w:multiLevelType w:val="hybridMultilevel"/>
    <w:lvl w:ilvl="0">
      <w:lvlJc w:val="left"/>
      <w:lvlText w:val="•"/>
      <w:numFmt w:val="bullet"/>
      <w:start w:val="1"/>
    </w:lvl>
  </w:abstractNum>
  <w:abstractNum w:abstractNumId="364">
    <w:nsid w:val="232FCF4D"/>
    <w:multiLevelType w:val="hybridMultilevel"/>
    <w:lvl w:ilvl="0">
      <w:lvlJc w:val="left"/>
      <w:lvlText w:val="•"/>
      <w:numFmt w:val="bullet"/>
      <w:start w:val="1"/>
    </w:lvl>
  </w:abstractNum>
  <w:abstractNum w:abstractNumId="365">
    <w:nsid w:val="1EA21031"/>
    <w:multiLevelType w:val="hybridMultilevel"/>
    <w:lvl w:ilvl="0">
      <w:lvlJc w:val="left"/>
      <w:lvlText w:val="•"/>
      <w:numFmt w:val="bullet"/>
      <w:start w:val="1"/>
    </w:lvl>
  </w:abstractNum>
  <w:abstractNum w:abstractNumId="366">
    <w:nsid w:val="67A5A6B5"/>
    <w:multiLevelType w:val="hybridMultilevel"/>
    <w:lvl w:ilvl="0">
      <w:lvlJc w:val="left"/>
      <w:lvlText w:val="•"/>
      <w:numFmt w:val="bullet"/>
      <w:start w:val="1"/>
    </w:lvl>
  </w:abstractNum>
  <w:abstractNum w:abstractNumId="367">
    <w:nsid w:val="C2A5C5B"/>
    <w:multiLevelType w:val="hybridMultilevel"/>
    <w:lvl w:ilvl="0">
      <w:lvlJc w:val="left"/>
      <w:lvlText w:val="•"/>
      <w:numFmt w:val="bullet"/>
      <w:start w:val="1"/>
    </w:lvl>
  </w:abstractNum>
  <w:abstractNum w:abstractNumId="368">
    <w:nsid w:val="5F94DC03"/>
    <w:multiLevelType w:val="hybridMultilevel"/>
    <w:lvl w:ilvl="0">
      <w:lvlJc w:val="left"/>
      <w:lvlText w:val="•"/>
      <w:numFmt w:val="bullet"/>
      <w:start w:val="1"/>
    </w:lvl>
  </w:abstractNum>
  <w:abstractNum w:abstractNumId="369">
    <w:nsid w:val="237BBCA0"/>
    <w:multiLevelType w:val="hybridMultilevel"/>
    <w:lvl w:ilvl="0">
      <w:lvlJc w:val="left"/>
      <w:lvlText w:val="•"/>
      <w:numFmt w:val="bullet"/>
      <w:start w:val="1"/>
    </w:lvl>
  </w:abstractNum>
  <w:abstractNum w:abstractNumId="370">
    <w:nsid w:val="162EB70D"/>
    <w:multiLevelType w:val="hybridMultilevel"/>
    <w:lvl w:ilvl="0">
      <w:lvlJc w:val="left"/>
      <w:lvlText w:val="•"/>
      <w:numFmt w:val="bullet"/>
      <w:start w:val="1"/>
    </w:lvl>
  </w:abstractNum>
  <w:abstractNum w:abstractNumId="371">
    <w:nsid w:val="78070222"/>
    <w:multiLevelType w:val="hybridMultilevel"/>
    <w:lvl w:ilvl="0">
      <w:lvlJc w:val="left"/>
      <w:lvlText w:val="•"/>
      <w:numFmt w:val="bullet"/>
      <w:start w:val="1"/>
    </w:lvl>
  </w:abstractNum>
  <w:abstractNum w:abstractNumId="372">
    <w:nsid w:val="6163ED0D"/>
    <w:multiLevelType w:val="hybridMultilevel"/>
    <w:lvl w:ilvl="0">
      <w:lvlJc w:val="left"/>
      <w:lvlText w:val="•"/>
      <w:numFmt w:val="bullet"/>
      <w:start w:val="1"/>
    </w:lvl>
  </w:abstractNum>
  <w:abstractNum w:abstractNumId="373">
    <w:nsid w:val="C600E47"/>
    <w:multiLevelType w:val="hybridMultilevel"/>
    <w:lvl w:ilvl="0">
      <w:lvlJc w:val="left"/>
      <w:lvlText w:val="•"/>
      <w:numFmt w:val="bullet"/>
      <w:start w:val="1"/>
    </w:lvl>
  </w:abstractNum>
  <w:abstractNum w:abstractNumId="374">
    <w:nsid w:val="7D94F75D"/>
    <w:multiLevelType w:val="hybridMultilevel"/>
    <w:lvl w:ilvl="0">
      <w:lvlJc w:val="left"/>
      <w:lvlText w:val="•"/>
      <w:numFmt w:val="bullet"/>
      <w:start w:val="1"/>
    </w:lvl>
  </w:abstractNum>
  <w:abstractNum w:abstractNumId="375">
    <w:nsid w:val="6C31E7CD"/>
    <w:multiLevelType w:val="hybridMultilevel"/>
    <w:lvl w:ilvl="0">
      <w:lvlJc w:val="left"/>
      <w:lvlText w:val="•"/>
      <w:numFmt w:val="bullet"/>
      <w:start w:val="1"/>
    </w:lvl>
  </w:abstractNum>
  <w:abstractNum w:abstractNumId="376">
    <w:nsid w:val="2BB7929B"/>
    <w:multiLevelType w:val="hybridMultilevel"/>
    <w:lvl w:ilvl="0">
      <w:lvlJc w:val="left"/>
      <w:lvlText w:val="•"/>
      <w:numFmt w:val="bullet"/>
      <w:start w:val="1"/>
    </w:lvl>
  </w:abstractNum>
  <w:abstractNum w:abstractNumId="377">
    <w:nsid w:val="58A2A487"/>
    <w:multiLevelType w:val="hybridMultilevel"/>
    <w:lvl w:ilvl="0">
      <w:lvlJc w:val="left"/>
      <w:lvlText w:val="•"/>
      <w:numFmt w:val="bullet"/>
      <w:start w:val="1"/>
    </w:lvl>
  </w:abstractNum>
  <w:abstractNum w:abstractNumId="378">
    <w:nsid w:val="3A6F0E78"/>
    <w:multiLevelType w:val="hybridMultilevel"/>
    <w:lvl w:ilvl="0">
      <w:lvlJc w:val="left"/>
      <w:lvlText w:val="•"/>
      <w:numFmt w:val="bullet"/>
      <w:start w:val="1"/>
    </w:lvl>
  </w:abstractNum>
  <w:abstractNum w:abstractNumId="379">
    <w:nsid w:val="379A5B56"/>
    <w:multiLevelType w:val="hybridMultilevel"/>
    <w:lvl w:ilvl="0">
      <w:lvlJc w:val="left"/>
      <w:lvlText w:val="•"/>
      <w:numFmt w:val="bullet"/>
      <w:start w:val="1"/>
    </w:lvl>
  </w:abstractNum>
  <w:abstractNum w:abstractNumId="380">
    <w:nsid w:val="53B735D5"/>
    <w:multiLevelType w:val="hybridMultilevel"/>
    <w:lvl w:ilvl="0">
      <w:lvlJc w:val="left"/>
      <w:lvlText w:val="•"/>
      <w:numFmt w:val="bullet"/>
      <w:start w:val="1"/>
    </w:lvl>
  </w:abstractNum>
  <w:abstractNum w:abstractNumId="381">
    <w:nsid w:val="29784870"/>
    <w:multiLevelType w:val="hybridMultilevel"/>
    <w:lvl w:ilvl="0">
      <w:lvlJc w:val="left"/>
      <w:lvlText w:val="•"/>
      <w:numFmt w:val="bullet"/>
      <w:start w:val="1"/>
    </w:lvl>
  </w:abstractNum>
  <w:abstractNum w:abstractNumId="382">
    <w:nsid w:val="4CDCED4C"/>
    <w:multiLevelType w:val="hybridMultilevel"/>
    <w:lvl w:ilvl="0">
      <w:lvlJc w:val="left"/>
      <w:lvlText w:val="•"/>
      <w:numFmt w:val="bullet"/>
      <w:start w:val="1"/>
    </w:lvl>
  </w:abstractNum>
  <w:abstractNum w:abstractNumId="383">
    <w:nsid w:val="10A30D9C"/>
    <w:multiLevelType w:val="hybridMultilevel"/>
    <w:lvl w:ilvl="0">
      <w:lvlJc w:val="left"/>
      <w:lvlText w:val="$"/>
      <w:numFmt w:val="bullet"/>
      <w:start w:val="1"/>
    </w:lvl>
  </w:abstractNum>
  <w:abstractNum w:abstractNumId="384">
    <w:nsid w:val="A66E486"/>
    <w:multiLevelType w:val="hybridMultilevel"/>
    <w:lvl w:ilvl="0">
      <w:lvlJc w:val="left"/>
      <w:lvlText w:val="•"/>
      <w:numFmt w:val="bullet"/>
      <w:start w:val="1"/>
    </w:lvl>
  </w:abstractNum>
  <w:abstractNum w:abstractNumId="385">
    <w:nsid w:val="306235EA"/>
    <w:multiLevelType w:val="hybridMultilevel"/>
    <w:lvl w:ilvl="0">
      <w:lvlJc w:val="left"/>
      <w:lvlText w:val="•"/>
      <w:numFmt w:val="bullet"/>
      <w:start w:val="1"/>
    </w:lvl>
  </w:abstractNum>
  <w:abstractNum w:abstractNumId="386">
    <w:nsid w:val="1187C70F"/>
    <w:multiLevelType w:val="hybridMultilevel"/>
    <w:lvl w:ilvl="0">
      <w:lvlJc w:val="left"/>
      <w:lvlText w:val="•"/>
      <w:numFmt w:val="bullet"/>
      <w:start w:val="1"/>
    </w:lvl>
  </w:abstractNum>
  <w:abstractNum w:abstractNumId="387">
    <w:nsid w:val="5476DE98"/>
    <w:multiLevelType w:val="hybridMultilevel"/>
    <w:lvl w:ilvl="0">
      <w:lvlJc w:val="left"/>
      <w:lvlText w:val="•"/>
      <w:numFmt w:val="bullet"/>
      <w:start w:val="1"/>
    </w:lvl>
  </w:abstractNum>
  <w:abstractNum w:abstractNumId="388">
    <w:nsid w:val="EA697F2"/>
    <w:multiLevelType w:val="hybridMultilevel"/>
    <w:lvl w:ilvl="0">
      <w:lvlJc w:val="left"/>
      <w:lvlText w:val="•"/>
      <w:numFmt w:val="bullet"/>
      <w:start w:val="1"/>
    </w:lvl>
  </w:abstractNum>
  <w:abstractNum w:abstractNumId="389">
    <w:nsid w:val="70BA39EB"/>
    <w:multiLevelType w:val="hybridMultilevel"/>
    <w:lvl w:ilvl="0">
      <w:lvlJc w:val="left"/>
      <w:lvlText w:val="•"/>
      <w:numFmt w:val="bullet"/>
      <w:start w:val="1"/>
    </w:lvl>
  </w:abstractNum>
  <w:abstractNum w:abstractNumId="390">
    <w:nsid w:val="4A8DB59C"/>
    <w:multiLevelType w:val="hybridMultilevel"/>
    <w:lvl w:ilvl="0">
      <w:lvlJc w:val="left"/>
      <w:lvlText w:val="•"/>
      <w:numFmt w:val="bullet"/>
      <w:start w:val="1"/>
    </w:lvl>
  </w:abstractNum>
  <w:abstractNum w:abstractNumId="391">
    <w:nsid w:val="1AFD9053"/>
    <w:multiLevelType w:val="hybridMultilevel"/>
    <w:lvl w:ilvl="0">
      <w:lvlJc w:val="left"/>
      <w:lvlText w:val="•"/>
      <w:numFmt w:val="bullet"/>
      <w:start w:val="1"/>
    </w:lvl>
  </w:abstractNum>
  <w:abstractNum w:abstractNumId="392">
    <w:nsid w:val="558BB10D"/>
    <w:multiLevelType w:val="hybridMultilevel"/>
    <w:lvl w:ilvl="0">
      <w:lvlJc w:val="left"/>
      <w:lvlText w:val="•"/>
      <w:numFmt w:val="bullet"/>
      <w:start w:val="1"/>
    </w:lvl>
  </w:abstractNum>
  <w:abstractNum w:abstractNumId="393">
    <w:nsid w:val="43B27FA7"/>
    <w:multiLevelType w:val="hybridMultilevel"/>
    <w:lvl w:ilvl="0">
      <w:lvlJc w:val="left"/>
      <w:lvlText w:val="•"/>
      <w:numFmt w:val="bullet"/>
      <w:start w:val="1"/>
    </w:lvl>
  </w:abstractNum>
  <w:abstractNum w:abstractNumId="394">
    <w:nsid w:val="27FADEFA"/>
    <w:multiLevelType w:val="hybridMultilevel"/>
    <w:lvl w:ilvl="0">
      <w:lvlJc w:val="left"/>
      <w:lvlText w:val="•"/>
      <w:numFmt w:val="bullet"/>
      <w:start w:val="1"/>
    </w:lvl>
  </w:abstractNum>
  <w:abstractNum w:abstractNumId="395">
    <w:nsid w:val="78BB805A"/>
    <w:multiLevelType w:val="hybridMultilevel"/>
    <w:lvl w:ilvl="0">
      <w:lvlJc w:val="left"/>
      <w:lvlText w:val="$"/>
      <w:numFmt w:val="bullet"/>
      <w:start w:val="1"/>
    </w:lvl>
  </w:abstractNum>
  <w:abstractNum w:abstractNumId="396">
    <w:nsid w:val="62548FD8"/>
    <w:multiLevelType w:val="hybridMultilevel"/>
    <w:lvl w:ilvl="0">
      <w:lvlJc w:val="left"/>
      <w:lvlText w:val="•"/>
      <w:numFmt w:val="bullet"/>
      <w:start w:val="1"/>
    </w:lvl>
  </w:abstractNum>
  <w:abstractNum w:abstractNumId="397">
    <w:nsid w:val="FA085B0"/>
    <w:multiLevelType w:val="hybridMultilevel"/>
    <w:lvl w:ilvl="0">
      <w:lvlJc w:val="left"/>
      <w:lvlText w:val="•"/>
      <w:numFmt w:val="bullet"/>
      <w:start w:val="1"/>
    </w:lvl>
  </w:abstractNum>
  <w:abstractNum w:abstractNumId="398">
    <w:nsid w:val="4E5DCB5"/>
    <w:multiLevelType w:val="hybridMultilevel"/>
    <w:lvl w:ilvl="0">
      <w:lvlJc w:val="left"/>
      <w:lvlText w:val="•"/>
      <w:numFmt w:val="bullet"/>
      <w:start w:val="1"/>
    </w:lvl>
  </w:abstractNum>
  <w:abstractNum w:abstractNumId="399">
    <w:nsid w:val="41E96BDB"/>
    <w:multiLevelType w:val="hybridMultilevel"/>
    <w:lvl w:ilvl="0">
      <w:lvlJc w:val="left"/>
      <w:lvlText w:val="•"/>
      <w:numFmt w:val="bullet"/>
      <w:start w:val="1"/>
    </w:lvl>
  </w:abstractNum>
  <w:abstractNum w:abstractNumId="400">
    <w:nsid w:val="331C4250"/>
    <w:multiLevelType w:val="hybridMultilevel"/>
    <w:lvl w:ilvl="0">
      <w:lvlJc w:val="left"/>
      <w:lvlText w:val="•"/>
      <w:numFmt w:val="bullet"/>
      <w:start w:val="1"/>
    </w:lvl>
  </w:abstractNum>
  <w:abstractNum w:abstractNumId="401">
    <w:nsid w:val="1B1493C2"/>
    <w:multiLevelType w:val="hybridMultilevel"/>
    <w:lvl w:ilvl="0">
      <w:lvlJc w:val="left"/>
      <w:lvlText w:val="•"/>
      <w:numFmt w:val="bullet"/>
      <w:start w:val="1"/>
    </w:lvl>
  </w:abstractNum>
  <w:abstractNum w:abstractNumId="402">
    <w:nsid w:val="39F06DFD"/>
    <w:multiLevelType w:val="hybridMultilevel"/>
    <w:lvl w:ilvl="0">
      <w:lvlJc w:val="left"/>
      <w:lvlText w:val="•"/>
      <w:numFmt w:val="bullet"/>
      <w:start w:val="1"/>
    </w:lvl>
  </w:abstractNum>
  <w:abstractNum w:abstractNumId="403">
    <w:nsid w:val="14802F5D"/>
    <w:multiLevelType w:val="hybridMultilevel"/>
    <w:lvl w:ilvl="0">
      <w:lvlJc w:val="left"/>
      <w:lvlText w:val="•"/>
      <w:numFmt w:val="bullet"/>
      <w:start w:val="1"/>
    </w:lvl>
  </w:abstractNum>
  <w:abstractNum w:abstractNumId="404">
    <w:nsid w:val="2774A209"/>
    <w:multiLevelType w:val="hybridMultilevel"/>
    <w:lvl w:ilvl="0">
      <w:lvlJc w:val="left"/>
      <w:lvlText w:val="•"/>
      <w:numFmt w:val="bullet"/>
      <w:start w:val="1"/>
    </w:lvl>
  </w:abstractNum>
  <w:abstractNum w:abstractNumId="405">
    <w:nsid w:val="3785655A"/>
    <w:multiLevelType w:val="hybridMultilevel"/>
    <w:lvl w:ilvl="0">
      <w:lvlJc w:val="left"/>
      <w:lvlText w:val="•"/>
      <w:numFmt w:val="bullet"/>
      <w:start w:val="1"/>
    </w:lvl>
  </w:abstractNum>
  <w:abstractNum w:abstractNumId="406">
    <w:nsid w:val="B2172A"/>
    <w:multiLevelType w:val="hybridMultilevel"/>
    <w:lvl w:ilvl="0">
      <w:lvlJc w:val="left"/>
      <w:lvlText w:val="•"/>
      <w:numFmt w:val="bullet"/>
      <w:start w:val="1"/>
    </w:lvl>
  </w:abstractNum>
  <w:abstractNum w:abstractNumId="407">
    <w:nsid w:val="532C34A5"/>
    <w:multiLevelType w:val="hybridMultilevel"/>
    <w:lvl w:ilvl="0">
      <w:lvlJc w:val="left"/>
      <w:lvlText w:val="•"/>
      <w:numFmt w:val="bullet"/>
      <w:start w:val="1"/>
    </w:lvl>
  </w:abstractNum>
  <w:abstractNum w:abstractNumId="408">
    <w:nsid w:val="102809E2"/>
    <w:multiLevelType w:val="hybridMultilevel"/>
    <w:lvl w:ilvl="0">
      <w:lvlJc w:val="left"/>
      <w:lvlText w:val="•"/>
      <w:numFmt w:val="bullet"/>
      <w:start w:val="1"/>
    </w:lvl>
  </w:abstractNum>
  <w:abstractNum w:abstractNumId="409">
    <w:nsid w:val="3B2125A3"/>
    <w:multiLevelType w:val="hybridMultilevel"/>
    <w:lvl w:ilvl="0">
      <w:lvlJc w:val="left"/>
      <w:lvlText w:val="•"/>
      <w:numFmt w:val="bullet"/>
      <w:start w:val="1"/>
    </w:lvl>
  </w:abstractNum>
  <w:abstractNum w:abstractNumId="410">
    <w:nsid w:val="AC68FFB"/>
    <w:multiLevelType w:val="hybridMultilevel"/>
    <w:lvl w:ilvl="0">
      <w:lvlJc w:val="left"/>
      <w:lvlText w:val="•"/>
      <w:numFmt w:val="bullet"/>
      <w:start w:val="1"/>
    </w:lvl>
  </w:abstractNum>
  <w:abstractNum w:abstractNumId="411">
    <w:nsid w:val="63DF3FB7"/>
    <w:multiLevelType w:val="hybridMultilevel"/>
    <w:lvl w:ilvl="0">
      <w:lvlJc w:val="left"/>
      <w:lvlText w:val="•"/>
      <w:numFmt w:val="bullet"/>
      <w:start w:val="1"/>
    </w:lvl>
  </w:abstractNum>
  <w:abstractNum w:abstractNumId="412">
    <w:nsid w:val="64996E13"/>
    <w:multiLevelType w:val="hybridMultilevel"/>
    <w:lvl w:ilvl="0">
      <w:lvlJc w:val="left"/>
      <w:lvlText w:val="•"/>
      <w:numFmt w:val="bullet"/>
      <w:start w:val="1"/>
    </w:lvl>
  </w:abstractNum>
  <w:abstractNum w:abstractNumId="413">
    <w:nsid w:val="57A37D47"/>
    <w:multiLevelType w:val="hybridMultilevel"/>
    <w:lvl w:ilvl="0">
      <w:lvlJc w:val="left"/>
      <w:lvlText w:val="•"/>
      <w:numFmt w:val="bullet"/>
      <w:start w:val="1"/>
    </w:lvl>
  </w:abstractNum>
  <w:abstractNum w:abstractNumId="414">
    <w:nsid w:val="74824D54"/>
    <w:multiLevelType w:val="hybridMultilevel"/>
    <w:lvl w:ilvl="0">
      <w:lvlJc w:val="left"/>
      <w:lvlText w:val="•"/>
      <w:numFmt w:val="bullet"/>
      <w:start w:val="1"/>
    </w:lvl>
  </w:abstractNum>
  <w:abstractNum w:abstractNumId="415">
    <w:nsid w:val="6F00529A"/>
    <w:multiLevelType w:val="hybridMultilevel"/>
    <w:lvl w:ilvl="0">
      <w:lvlJc w:val="left"/>
      <w:lvlText w:val="•"/>
      <w:numFmt w:val="bullet"/>
      <w:start w:val="1"/>
    </w:lvl>
  </w:abstractNum>
  <w:abstractNum w:abstractNumId="416">
    <w:nsid w:val="805B331"/>
    <w:multiLevelType w:val="hybridMultilevel"/>
    <w:lvl w:ilvl="0">
      <w:lvlJc w:val="left"/>
      <w:lvlText w:val="•"/>
      <w:numFmt w:val="bullet"/>
      <w:start w:val="1"/>
    </w:lvl>
  </w:abstractNum>
  <w:abstractNum w:abstractNumId="417">
    <w:nsid w:val="60A1463"/>
    <w:multiLevelType w:val="hybridMultilevel"/>
    <w:lvl w:ilvl="0">
      <w:lvlJc w:val="left"/>
      <w:lvlText w:val="•"/>
      <w:numFmt w:val="bullet"/>
      <w:start w:val="1"/>
    </w:lvl>
  </w:abstractNum>
  <w:abstractNum w:abstractNumId="418">
    <w:nsid w:val="43773132"/>
    <w:multiLevelType w:val="hybridMultilevel"/>
    <w:lvl w:ilvl="0">
      <w:lvlJc w:val="left"/>
      <w:lvlText w:val="•"/>
      <w:numFmt w:val="bullet"/>
      <w:start w:val="1"/>
    </w:lvl>
  </w:abstractNum>
  <w:abstractNum w:abstractNumId="419">
    <w:nsid w:val="16AC4B23"/>
    <w:multiLevelType w:val="hybridMultilevel"/>
    <w:lvl w:ilvl="0">
      <w:lvlJc w:val="left"/>
      <w:lvlText w:val="(%1)"/>
      <w:numFmt w:val="decimal"/>
      <w:start w:val="1"/>
    </w:lvl>
  </w:abstractNum>
  <w:abstractNum w:abstractNumId="420">
    <w:nsid w:val="76C44E4E"/>
    <w:multiLevelType w:val="hybridMultilevel"/>
    <w:lvl w:ilvl="0">
      <w:lvlJc w:val="left"/>
      <w:lvlText w:val="(%1)"/>
      <w:numFmt w:val="decimal"/>
      <w:start w:val="1"/>
    </w:lvl>
  </w:abstractNum>
  <w:abstractNum w:abstractNumId="421">
    <w:nsid w:val="E04E6CE"/>
    <w:multiLevelType w:val="hybridMultilevel"/>
    <w:lvl w:ilvl="0">
      <w:lvlJc w:val="left"/>
      <w:lvlText w:val="•"/>
      <w:numFmt w:val="bullet"/>
      <w:start w:val="1"/>
    </w:lvl>
  </w:abstractNum>
  <w:abstractNum w:abstractNumId="422">
    <w:nsid w:val="31A9DB76"/>
    <w:multiLevelType w:val="hybridMultilevel"/>
    <w:lvl w:ilvl="0">
      <w:lvlJc w:val="left"/>
      <w:lvlText w:val="•"/>
      <w:numFmt w:val="bullet"/>
      <w:start w:val="1"/>
    </w:lvl>
  </w:abstractNum>
  <w:abstractNum w:abstractNumId="423">
    <w:nsid w:val="4C4FFF5B"/>
    <w:multiLevelType w:val="hybridMultilevel"/>
    <w:lvl w:ilvl="0">
      <w:lvlJc w:val="left"/>
      <w:lvlText w:val="•"/>
      <w:numFmt w:val="bullet"/>
      <w:start w:val="1"/>
    </w:lvl>
  </w:abstractNum>
  <w:abstractNum w:abstractNumId="424">
    <w:nsid w:val="51B76675"/>
    <w:multiLevelType w:val="hybridMultilevel"/>
    <w:lvl w:ilvl="0">
      <w:lvlJc w:val="left"/>
      <w:lvlText w:val="•"/>
      <w:numFmt w:val="bullet"/>
      <w:start w:val="1"/>
    </w:lvl>
  </w:abstractNum>
  <w:abstractNum w:abstractNumId="425">
    <w:nsid w:val="59A4BA71"/>
    <w:multiLevelType w:val="hybridMultilevel"/>
    <w:lvl w:ilvl="0">
      <w:lvlJc w:val="left"/>
      <w:lvlText w:val="•"/>
      <w:numFmt w:val="bullet"/>
      <w:start w:val="1"/>
    </w:lvl>
  </w:abstractNum>
  <w:abstractNum w:abstractNumId="426">
    <w:nsid w:val="450B7FB6"/>
    <w:multiLevelType w:val="hybridMultilevel"/>
    <w:lvl w:ilvl="0">
      <w:lvlJc w:val="left"/>
      <w:lvlText w:val="•"/>
      <w:numFmt w:val="bullet"/>
      <w:start w:val="1"/>
    </w:lvl>
  </w:abstractNum>
  <w:abstractNum w:abstractNumId="427">
    <w:nsid w:val="340BF64D"/>
    <w:multiLevelType w:val="hybridMultilevel"/>
    <w:lvl w:ilvl="0">
      <w:lvlJc w:val="left"/>
      <w:lvlText w:val="•"/>
      <w:numFmt w:val="bullet"/>
      <w:start w:val="1"/>
    </w:lvl>
  </w:abstractNum>
  <w:abstractNum w:abstractNumId="428">
    <w:nsid w:val="69454021"/>
    <w:multiLevelType w:val="hybridMultilevel"/>
    <w:lvl w:ilvl="0">
      <w:lvlJc w:val="left"/>
      <w:lvlText w:val="•"/>
      <w:numFmt w:val="bullet"/>
      <w:start w:val="1"/>
    </w:lvl>
  </w:abstractNum>
  <w:abstractNum w:abstractNumId="429">
    <w:nsid w:val="49F15C6B"/>
    <w:multiLevelType w:val="hybridMultilevel"/>
    <w:lvl w:ilvl="0">
      <w:lvlJc w:val="left"/>
      <w:lvlText w:val="•"/>
      <w:numFmt w:val="bullet"/>
      <w:start w:val="1"/>
    </w:lvl>
  </w:abstractNum>
  <w:abstractNum w:abstractNumId="430">
    <w:nsid w:val="75F56228"/>
    <w:multiLevelType w:val="hybridMultilevel"/>
    <w:lvl w:ilvl="0">
      <w:lvlJc w:val="left"/>
      <w:lvlText w:val="•"/>
      <w:numFmt w:val="bullet"/>
      <w:start w:val="1"/>
    </w:lvl>
  </w:abstractNum>
  <w:abstractNum w:abstractNumId="431">
    <w:nsid w:val="1C618271"/>
    <w:multiLevelType w:val="hybridMultilevel"/>
    <w:lvl w:ilvl="0">
      <w:lvlJc w:val="left"/>
      <w:lvlText w:val="•"/>
      <w:numFmt w:val="bullet"/>
      <w:start w:val="1"/>
    </w:lvl>
  </w:abstractNum>
  <w:abstractNum w:abstractNumId="432">
    <w:nsid w:val="6505F02E"/>
    <w:multiLevelType w:val="hybridMultilevel"/>
    <w:lvl w:ilvl="0">
      <w:lvlJc w:val="left"/>
      <w:lvlText w:val="(%1)"/>
      <w:numFmt w:val="lowerRoman"/>
      <w:start w:val="2"/>
    </w:lvl>
  </w:abstractNum>
  <w:abstractNum w:abstractNumId="433">
    <w:nsid w:val="2FE5D025"/>
    <w:multiLevelType w:val="hybridMultilevel"/>
    <w:lvl w:ilvl="0">
      <w:lvlJc w:val="left"/>
      <w:lvlText w:val="•"/>
      <w:numFmt w:val="bullet"/>
      <w:start w:val="1"/>
    </w:lvl>
  </w:abstractNum>
  <w:abstractNum w:abstractNumId="434">
    <w:nsid w:val="30E1B1CF"/>
    <w:multiLevelType w:val="hybridMultilevel"/>
    <w:lvl w:ilvl="0">
      <w:lvlJc w:val="left"/>
      <w:lvlText w:val="•"/>
      <w:numFmt w:val="bullet"/>
      <w:start w:val="1"/>
    </w:lvl>
  </w:abstractNum>
  <w:abstractNum w:abstractNumId="435">
    <w:nsid w:val="C7A9237"/>
    <w:multiLevelType w:val="hybridMultilevel"/>
    <w:lvl w:ilvl="0">
      <w:lvlJc w:val="left"/>
      <w:lvlText w:val="(%1)"/>
      <w:numFmt w:val="decimal"/>
      <w:start w:val="1"/>
    </w:lvl>
  </w:abstractNum>
  <w:abstractNum w:abstractNumId="436">
    <w:nsid w:val="676B3580"/>
    <w:multiLevelType w:val="hybridMultilevel"/>
    <w:lvl w:ilvl="0">
      <w:lvlJc w:val="left"/>
      <w:lvlText w:val="(%1)"/>
      <w:numFmt w:val="decimal"/>
      <w:start w:val="1"/>
    </w:lvl>
  </w:abstractNum>
  <w:abstractNum w:abstractNumId="437">
    <w:nsid w:val="3193C8F9"/>
    <w:multiLevelType w:val="hybridMultilevel"/>
    <w:lvl w:ilvl="0">
      <w:lvlJc w:val="left"/>
      <w:lvlText w:val="*"/>
      <w:numFmt w:val="bullet"/>
      <w:start w:val="1"/>
    </w:lvl>
  </w:abstractNum>
  <w:abstractNum w:abstractNumId="438">
    <w:nsid w:val="5FA6C6DC"/>
    <w:multiLevelType w:val="hybridMultilevel"/>
    <w:lvl w:ilvl="0">
      <w:lvlJc w:val="left"/>
      <w:lvlText w:val="%1)"/>
      <w:numFmt w:val="decimal"/>
      <w:start w:val="1"/>
    </w:lvl>
  </w:abstractNum>
  <w:abstractNum w:abstractNumId="439">
    <w:nsid w:val="77933F6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2024-05-11T05:20:32Z</dcterms:created>
  <dcterms:modified xsi:type="dcterms:W3CDTF">2024-05-11T05:20:32Z</dcterms:modified>
</cp:coreProperties>
</file>