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133350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GRAIL, LLC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be converted into a corporation named</w:t>
      </w:r>
    </w:p>
    <w:p>
      <w:pPr>
        <w:spacing w:after="0" w:line="1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GRAIL,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107315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35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001-42045</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86-3673636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1525 O’Brien Drive</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Menlo Park,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94025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694-2553</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3"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GRAL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Effective June 11, 2024, Illumina, Inc., as sole member of GRAIL, LLC (the “Company”), established a board of directors of the Company (the “Board”) and appointed each of Charles Dadswell, Ankur Dhingra and William (Bill) Chase (together, the “Directors”) to the Board. As of the effective time of their appointment to the Board, each of the Directors was appointed to serve as a member of the Audit Committee, the Nominating and Governance Committee and the Compensation Committee. Mr. Dadswell was appointed chair of the Board and chair of each of the Audit Committee, the Nominating and Governance Committee and the Compensation Committee.</w:t>
      </w:r>
    </w:p>
    <w:p>
      <w:pPr>
        <w:spacing w:after="0" w:line="183"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Mr. Dadswell is the General Counsel &amp; Secretary of Illumina, Inc. (“Illumina”), the Company’s sole member. Biographical information about Mr. Dadswell and compensation information for his position at Illumina can be found in Illumina’s Definitive Proxy Statement on Schedule 14A filed with the SEC on April 4, 2024. Mr. Dhingra is the Chief Financial Officer of Illumina. Biographical information about Mr. Dhingra and compensation information for his position at Illumina can be found in the Current Report on Form 8-K filed by Illumina with the SEC on April 9, 2024. Neither Mr. Dadswell nor Mr. Dhingra will receive compensation for his service as a director of the Company. Biographical information for Mr. Chase can be found in the Company’s Information Statement, filed as Exhibit 99.1 to the Company’s Current Report on Form 8-K filed with the SEC on June 3, 2024 (the “Information Statement”). Mr. Chase will participate in the Company’s director compensation package for non-employee directors described in the Information Statement. Mr. Chase will also enter into an indemnification agreement with the Company. There are no transactions in which the Company or any of its subsidiaries is a party and in which any of the Directors has a material interest subject to disclosure under Item 404(a) of Regulation S-K.</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GRAIL, LLC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Abram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Abram Barth</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2024-06-12T05:17:57Z</dcterms:created>
  <dcterms:modified xsi:type="dcterms:W3CDTF">2024-06-12T05:17:57Z</dcterms:modified>
</cp:coreProperties>
</file>