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12579.xml.htm"/>
      <w:bookmarkStart w:id="1" w:name="kswkform4_17914125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Freidin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GRAIL,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S. MATHILDA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GRAIL, Inc.</w:t>
              </w:r>
            </w:hyperlink>
            <w:r>
              <w:rPr/>
              <w:t xml:space="preserve"> [ </w:t>
            </w:r>
            <w:r>
              <w:rPr>
                <w:rFonts w:ascii="Times;serif" w:hAnsi="Times;serif"/>
                <w:color w:val="0000FF"/>
                <w:sz w:val="24"/>
                <w:shd w:fill="FFFFFF" w:val="clear"/>
              </w:rPr>
              <w:t>GRAL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23,619</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146.39</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225,364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automatic 'sell-to-cover' transactions by an executing broker to cover withholding taxes upon award vesting and share delivery. The price reported in Column 4 is a weighted average price calculated by the broker executing these transactions. These shares were sold as part of a block trade in multiple transactions, and the Reporting Person undertakes to provide to the Issuer, any security holder of the Issuer, or the staff of the Securities and Exchange Commission, upon request, full information regarding the number of shares sold at each separate sales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/s/Donald Lang, as Attorney-in-Fact for Aaron Freidin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4196" TargetMode="External"/><Relationship Id="rId5" Type="http://schemas.openxmlformats.org/officeDocument/2006/relationships/hyperlink" Target="http://www.sec.gov/cgi-bin/browse-edgar?action=getcompany&amp;CIK=0001699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3600</Characters>
  <CharactersWithSpaces>4191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