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200" w:after="283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DC 20549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2"/>
        </w:rPr>
      </w:pPr>
      <w:r>
        <w:rPr>
          <w:rFonts w:ascii="Times New Roman;serif" w:hAnsi="Times New Roman;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(Rule 14a-101)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INFORMATION REQUIRED IN PROXY STATEMENT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SCHEDULE 14A INFORMATION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 xml:space="preserve">Proxy Statement Pursuant to Section 14(a) of the </w:t>
      </w:r>
    </w:p>
    <w:p>
      <w:pPr>
        <w:pStyle w:val="TextBody"/>
        <w:bidi w:val="0"/>
        <w:spacing w:lineRule="auto" w:line="288" w:before="0" w:after="12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Exchange Act of 1934 (Amendment No.  )</w:t>
      </w:r>
    </w:p>
    <w:p>
      <w:pPr>
        <w:pStyle w:val="TextBody"/>
        <w:bidi w:val="0"/>
        <w:spacing w:lineRule="auto" w:line="288" w:before="200" w:after="20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    </w:t>
      </w:r>
      <w:r>
        <w:rPr>
          <w:rFonts w:ascii="Times New Roman;serif" w:hAnsi="Times New Roman;serif"/>
          <w:b w:val="false"/>
          <w:color w:val="000000"/>
          <w:sz w:val="20"/>
        </w:rPr>
        <w:t>Filed by a Party other than the Registrant  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200" w:after="20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☒    </w:t>
      </w:r>
      <w:r>
        <w:rPr>
          <w:rFonts w:ascii="Times New Roman;serif" w:hAnsi="Times New Roman;serif"/>
          <w:b w:val="false"/>
          <w:color w:val="000000"/>
          <w:sz w:val="20"/>
        </w:rPr>
        <w:t>Definitive Additional Materials</w:t>
      </w:r>
    </w:p>
    <w:p>
      <w:pPr>
        <w:pStyle w:val="TextBody"/>
        <w:bidi w:val="0"/>
        <w:spacing w:lineRule="auto" w:line="288" w:before="0" w:after="20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20"/>
        </w:rPr>
        <w:t>Soliciting Material under §240.14a-12</w:t>
      </w:r>
    </w:p>
    <w:p>
      <w:pPr>
        <w:pStyle w:val="TextBody"/>
        <w:bidi w:val="0"/>
        <w:spacing w:lineRule="auto" w:line="288" w:before="200" w:after="120"/>
        <w:jc w:val="center"/>
        <w:rPr>
          <w:rFonts w:ascii="Times New Roman;serif" w:hAnsi="Times New Roman;serif"/>
          <w:b/>
          <w:color w:val="000000"/>
          <w:sz w:val="48"/>
        </w:rPr>
      </w:pPr>
      <w:r>
        <w:rPr>
          <w:rFonts w:ascii="Times New Roman;serif" w:hAnsi="Times New Roman;serif"/>
          <w:b/>
          <w:color w:val="000000"/>
          <w:sz w:val="48"/>
        </w:rPr>
        <w:t>GRAIL, INC.</w:t>
      </w:r>
    </w:p>
    <w:p>
      <w:pPr>
        <w:pStyle w:val="TextBody"/>
        <w:bidi w:val="0"/>
        <w:spacing w:lineRule="auto" w:line="288" w:before="0" w:after="20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(Name of Registrant as Specified in its Charter)</w:t>
      </w:r>
    </w:p>
    <w:p>
      <w:pPr>
        <w:pStyle w:val="TextBody"/>
        <w:bidi w:val="0"/>
        <w:spacing w:lineRule="auto" w:line="288" w:before="0" w:after="20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200" w:after="20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☒    </w:t>
      </w:r>
      <w:r>
        <w:rPr>
          <w:rFonts w:ascii="Times New Roman;serif" w:hAnsi="Times New Roman;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 25(b) per Exchange Act Rules 14a-6(i)(1) and 0-11.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488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772400" cy="100488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144</Words>
  <Characters>788</Characters>
  <CharactersWithSpaces>939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