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pBdr>
          <w:bottom w:val="single" w:sz="2" w:space="1" w:color="000000"/>
        </w:pBdr>
        <w:bidi w:val="0"/>
        <w:spacing w:lineRule="atLeast" w:line="142" w:before="0" w:after="0"/>
        <w:jc w:val="left"/>
        <w:rPr/>
      </w:pPr>
      <w:bookmarkStart w:id="0" w:name="d869907dsc13g.htm"/>
      <w:bookmarkStart w:id="1" w:name="ksd869907dsc13g"/>
      <w:bookmarkEnd w:id="0"/>
      <w:bookmarkEnd w:id="1"/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40"/>
        <w:jc w:val="left"/>
        <w:rPr/>
      </w:pPr>
      <w:r>
        <w:rPr/>
        <w:t> </w:t>
      </w:r>
    </w:p>
    <w:p>
      <w:pPr>
        <w:pStyle w:val="TextBody"/>
        <w:bidi w:val="0"/>
        <w:spacing w:before="8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DC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36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SCHEDULE 13G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Under the Securities Exchange Act of 1934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(Amendment No. )*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360" w:after="0"/>
        <w:jc w:val="center"/>
        <w:rPr>
          <w:rFonts w:ascii="Times New Roman" w:hAnsi="Times New Roman"/>
          <w:b/>
          <w:sz w:val="44"/>
        </w:rPr>
      </w:pPr>
      <w:r>
        <w:rPr>
          <w:rFonts w:ascii="Times New Roman" w:hAnsi="Times New Roman"/>
          <w:b/>
          <w:sz w:val="44"/>
        </w:rPr>
        <w:t xml:space="preserve">GRAIL, INC.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(Name of Issuer) </w:t>
      </w:r>
    </w:p>
    <w:p>
      <w:pPr>
        <w:pStyle w:val="TextBody"/>
        <w:bidi w:val="0"/>
        <w:spacing w:before="48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Common Stock, $0.001 par value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(Title of Class of Securities) </w:t>
      </w:r>
    </w:p>
    <w:p>
      <w:pPr>
        <w:pStyle w:val="TextBody"/>
        <w:bidi w:val="0"/>
        <w:spacing w:before="48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384747 101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(CUSIP Number) </w:t>
      </w:r>
    </w:p>
    <w:p>
      <w:pPr>
        <w:pStyle w:val="TextBody"/>
        <w:bidi w:val="0"/>
        <w:spacing w:before="48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June 30, 2024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(Date of Event Which Requires Filing of this Statement)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36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Check the appropriate box to designate the rule pursuant to which this Schedule is filed: </w:t>
      </w:r>
    </w:p>
    <w:p>
      <w:pPr>
        <w:pStyle w:val="TextBody"/>
        <w:bidi w:val="0"/>
        <w:spacing w:before="120" w:after="0"/>
        <w:jc w:val="left"/>
        <w:rPr/>
      </w:pPr>
      <w:r>
        <w:rPr/>
        <w:t xml:space="preserve">☐ </w:t>
      </w:r>
      <w:r>
        <w:rPr>
          <w:rFonts w:ascii="Times New Roman" w:hAnsi="Times New Roman"/>
          <w:sz w:val="20"/>
        </w:rPr>
        <w:t xml:space="preserve">Rule 13d-1(b) </w:t>
      </w:r>
    </w:p>
    <w:p>
      <w:pPr>
        <w:pStyle w:val="TextBody"/>
        <w:bidi w:val="0"/>
        <w:spacing w:before="240" w:after="0"/>
        <w:jc w:val="left"/>
        <w:rPr/>
      </w:pPr>
      <w:r>
        <w:rPr/>
        <w:t xml:space="preserve">☐ </w:t>
      </w:r>
      <w:r>
        <w:rPr>
          <w:rFonts w:ascii="Times New Roman" w:hAnsi="Times New Roman"/>
          <w:sz w:val="20"/>
        </w:rPr>
        <w:t xml:space="preserve">Rule 13d-1(c) </w:t>
      </w:r>
    </w:p>
    <w:p>
      <w:pPr>
        <w:pStyle w:val="TextBody"/>
        <w:bidi w:val="0"/>
        <w:spacing w:before="240" w:after="0"/>
        <w:jc w:val="left"/>
        <w:rPr/>
      </w:pPr>
      <w:r>
        <w:rPr/>
        <w:t xml:space="preserve">☒ </w:t>
      </w:r>
      <w:r>
        <w:rPr>
          <w:rFonts w:ascii="Times New Roman" w:hAnsi="Times New Roman"/>
          <w:sz w:val="20"/>
        </w:rPr>
        <w:t xml:space="preserve">Rule 13d-1(d)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*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The remainder of this cover page shall be filled out for a reporting persons initial filing on this form with respect to the subject class of securities, and for any subsequent amendment containing information which would alter the disclosures provided in a prior cover page. </w:t>
            </w:r>
          </w:p>
        </w:tc>
      </w:tr>
    </w:tbl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The information required on the remainder of this cover page shall not be deemed to be filed for the purpose of Section 18 of the Securities Exchange Act of 1934 (</w:t>
      </w:r>
      <w:r>
        <w:rPr>
          <w:rFonts w:ascii="Times New Roman" w:hAnsi="Times New Roman"/>
          <w:sz w:val="20"/>
          <w:u w:val="single"/>
        </w:rPr>
        <w:t>Act</w:t>
      </w:r>
      <w:r>
        <w:rPr>
          <w:rFonts w:ascii="Times New Roman" w:hAnsi="Times New Roman"/>
          <w:sz w:val="20"/>
        </w:rPr>
        <w:t xml:space="preserve">) or otherwise subject to the liabilities of that section of the Act but shall be subject to all other provisions of the Act (however, see the Notes).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40"/>
        <w:jc w:val="left"/>
        <w:rPr/>
      </w:pPr>
      <w:r>
        <w:rPr/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15"/>
        <w:gridCol w:w="122"/>
        <w:gridCol w:w="3371"/>
        <w:gridCol w:w="122"/>
        <w:gridCol w:w="3075"/>
      </w:tblGrid>
      <w:tr>
        <w:trPr/>
        <w:tc>
          <w:tcPr>
            <w:tcW w:w="35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 384747 101</w:t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371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SCHEDULE 13G</w:t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075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Page 2 of 5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495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2"/>
        <w:gridCol w:w="125"/>
        <w:gridCol w:w="883"/>
        <w:gridCol w:w="220"/>
        <w:gridCol w:w="220"/>
        <w:gridCol w:w="220"/>
        <w:gridCol w:w="7922"/>
      </w:tblGrid>
      <w:tr>
        <w:trPr/>
        <w:tc>
          <w:tcPr>
            <w:tcW w:w="5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60" w:type="dxa"/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 </w:t>
            </w:r>
            <w:r>
              <w:rPr/>
              <w:t>1 </w:t>
            </w:r>
          </w:p>
        </w:tc>
        <w:tc>
          <w:tcPr>
            <w:tcW w:w="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465" w:type="dxa"/>
            <w:gridSpan w:val="5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bottom w:w="28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NAME OF REPORTING PERSON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Illumina, Inc.</w:t>
            </w:r>
          </w:p>
        </w:tc>
      </w:tr>
      <w:tr>
        <w:trPr/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tcMar>
              <w:left w:w="160" w:type="dxa"/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 </w:t>
            </w:r>
            <w:r>
              <w:rPr/>
              <w:t>2</w:t>
            </w:r>
          </w:p>
        </w:tc>
        <w:tc>
          <w:tcPr>
            <w:tcW w:w="12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465" w:type="dxa"/>
            <w:gridSpan w:val="5"/>
            <w:tcBorders>
              <w:bottom w:val="single" w:sz="2" w:space="0" w:color="000000"/>
              <w:right w:val="single" w:sz="2" w:space="0" w:color="000000"/>
            </w:tcBorders>
            <w:tcMar>
              <w:bottom w:w="28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CHECK THE APPROPRIATE BOX IF A MEMBER OF A GROUP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(a) ☐  (b) ☐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tcMar>
              <w:left w:w="160" w:type="dxa"/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 </w:t>
            </w:r>
            <w:r>
              <w:rPr/>
              <w:t>3</w:t>
            </w:r>
          </w:p>
        </w:tc>
        <w:tc>
          <w:tcPr>
            <w:tcW w:w="12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465" w:type="dxa"/>
            <w:gridSpan w:val="5"/>
            <w:tcBorders>
              <w:bottom w:val="single" w:sz="2" w:space="0" w:color="000000"/>
              <w:right w:val="single" w:sz="2" w:space="0" w:color="000000"/>
            </w:tcBorders>
            <w:tcMar>
              <w:bottom w:w="28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SEC USE ONLY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12" w:type="dxa"/>
            <w:tcBorders>
              <w:left w:val="single" w:sz="2" w:space="0" w:color="000000"/>
              <w:bottom w:val="single" w:sz="2" w:space="0" w:color="000000"/>
            </w:tcBorders>
            <w:tcMar>
              <w:left w:w="160" w:type="dxa"/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 </w:t>
            </w:r>
            <w:r>
              <w:rPr/>
              <w:t>4</w:t>
            </w:r>
          </w:p>
        </w:tc>
        <w:tc>
          <w:tcPr>
            <w:tcW w:w="12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465" w:type="dxa"/>
            <w:gridSpan w:val="5"/>
            <w:tcBorders>
              <w:bottom w:val="single" w:sz="2" w:space="0" w:color="000000"/>
              <w:right w:val="single" w:sz="2" w:space="0" w:color="000000"/>
            </w:tcBorders>
            <w:tcMar>
              <w:bottom w:w="28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CITIZENSHIP OR PLACE OF ORGANIZATION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Delaware</w:t>
            </w:r>
          </w:p>
        </w:tc>
      </w:tr>
    </w:tbl>
    <w:tbl>
      <w:tblPr>
        <w:tblW w:w="495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0"/>
        <w:gridCol w:w="481"/>
        <w:gridCol w:w="865"/>
        <w:gridCol w:w="177"/>
        <w:gridCol w:w="270"/>
        <w:gridCol w:w="126"/>
        <w:gridCol w:w="7473"/>
      </w:tblGrid>
      <w:tr>
        <w:trPr/>
        <w:tc>
          <w:tcPr>
            <w:tcW w:w="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6" w:type="dxa"/>
            <w:gridSpan w:val="3"/>
            <w:vMerge w:val="restart"/>
            <w:tcBorders>
              <w:left w:val="single" w:sz="2" w:space="0" w:color="000000"/>
            </w:tcBorders>
            <w:tcMar>
              <w:left w:w="16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NUMBER OF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SHARES  BENEFICIALLY 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OWNED BY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EACH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REPORTING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PERSON</w:t>
            </w:r>
          </w:p>
          <w:p>
            <w:pPr>
              <w:pStyle w:val="TableContents"/>
              <w:bidi w:val="0"/>
              <w:spacing w:before="0" w:after="2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WITH</w:t>
            </w:r>
          </w:p>
        </w:tc>
        <w:tc>
          <w:tcPr>
            <w:tcW w:w="17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270" w:type="dxa"/>
            <w:tcBorders>
              <w:bottom w:val="single" w:sz="2" w:space="0" w:color="000000"/>
            </w:tcBorders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5 </w:t>
            </w:r>
          </w:p>
        </w:tc>
        <w:tc>
          <w:tcPr>
            <w:tcW w:w="126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473" w:type="dxa"/>
            <w:tcBorders>
              <w:bottom w:val="single" w:sz="2" w:space="0" w:color="000000"/>
              <w:right w:val="single" w:sz="2" w:space="0" w:color="000000"/>
            </w:tcBorders>
            <w:tcMar>
              <w:bottom w:w="28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SOLE VOTING POWER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4,502,126 (See Note 1)</w:t>
            </w:r>
          </w:p>
        </w:tc>
      </w:tr>
      <w:tr>
        <w:trPr/>
        <w:tc>
          <w:tcPr>
            <w:tcW w:w="2056" w:type="dxa"/>
            <w:gridSpan w:val="3"/>
            <w:vMerge w:val="continue"/>
            <w:tcBorders>
              <w:left w:val="single" w:sz="2" w:space="0" w:color="000000"/>
            </w:tcBorders>
            <w:tcMar>
              <w:left w:w="16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7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270" w:type="dxa"/>
            <w:tcBorders>
              <w:bottom w:val="single" w:sz="2" w:space="0" w:color="000000"/>
            </w:tcBorders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6</w:t>
            </w:r>
          </w:p>
        </w:tc>
        <w:tc>
          <w:tcPr>
            <w:tcW w:w="126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473" w:type="dxa"/>
            <w:tcBorders>
              <w:bottom w:val="single" w:sz="2" w:space="0" w:color="000000"/>
              <w:right w:val="single" w:sz="2" w:space="0" w:color="000000"/>
            </w:tcBorders>
            <w:tcMar>
              <w:bottom w:w="28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SHARED VOTING POWER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>
        <w:trPr/>
        <w:tc>
          <w:tcPr>
            <w:tcW w:w="2056" w:type="dxa"/>
            <w:gridSpan w:val="3"/>
            <w:vMerge w:val="continue"/>
            <w:tcBorders>
              <w:left w:val="single" w:sz="2" w:space="0" w:color="000000"/>
            </w:tcBorders>
            <w:tcMar>
              <w:left w:w="16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7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270" w:type="dxa"/>
            <w:tcBorders>
              <w:bottom w:val="single" w:sz="2" w:space="0" w:color="000000"/>
            </w:tcBorders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7</w:t>
            </w:r>
          </w:p>
        </w:tc>
        <w:tc>
          <w:tcPr>
            <w:tcW w:w="126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473" w:type="dxa"/>
            <w:tcBorders>
              <w:bottom w:val="single" w:sz="2" w:space="0" w:color="000000"/>
              <w:right w:val="single" w:sz="2" w:space="0" w:color="000000"/>
            </w:tcBorders>
            <w:tcMar>
              <w:bottom w:w="28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SOLE DISPOSITIVE POWER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4,502,126 (See Note 1)</w:t>
            </w:r>
          </w:p>
        </w:tc>
      </w:tr>
      <w:tr>
        <w:trPr/>
        <w:tc>
          <w:tcPr>
            <w:tcW w:w="2056" w:type="dxa"/>
            <w:gridSpan w:val="3"/>
            <w:vMerge w:val="continue"/>
            <w:tcBorders>
              <w:left w:val="single" w:sz="2" w:space="0" w:color="000000"/>
            </w:tcBorders>
            <w:tcMar>
              <w:left w:w="16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77" w:type="dxa"/>
            <w:tcBorders>
              <w:left w:val="single" w:sz="2" w:space="0" w:color="000000"/>
            </w:tcBorders>
            <w:tcMar>
              <w:left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2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8</w:t>
            </w:r>
          </w:p>
        </w:tc>
        <w:tc>
          <w:tcPr>
            <w:tcW w:w="126" w:type="dxa"/>
            <w:tcBorders>
              <w:left w:val="single" w:sz="2" w:space="0" w:color="000000"/>
            </w:tcBorders>
            <w:tcMar>
              <w:left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473" w:type="dxa"/>
            <w:tcBorders>
              <w:right w:val="single" w:sz="2" w:space="0" w:color="000000"/>
            </w:tcBorders>
            <w:tcMar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SHARED DISPOSITIVE POWER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0</w:t>
            </w:r>
          </w:p>
        </w:tc>
      </w:tr>
    </w:tbl>
    <w:tbl>
      <w:tblPr>
        <w:tblW w:w="495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1"/>
        <w:gridCol w:w="129"/>
        <w:gridCol w:w="723"/>
        <w:gridCol w:w="281"/>
        <w:gridCol w:w="280"/>
        <w:gridCol w:w="281"/>
        <w:gridCol w:w="7877"/>
      </w:tblGrid>
      <w:tr>
        <w:trPr/>
        <w:tc>
          <w:tcPr>
            <w:tcW w:w="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60" w:type="dxa"/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 </w:t>
            </w:r>
            <w:r>
              <w:rPr/>
              <w:t>9 </w:t>
            </w:r>
          </w:p>
        </w:tc>
        <w:tc>
          <w:tcPr>
            <w:tcW w:w="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442" w:type="dxa"/>
            <w:gridSpan w:val="5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bottom w:w="28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AGGREGATE AMOUNT BENEFICIALLY OWNED BY EACH REPORTING PERSON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4,502,126 (See Note 1)</w:t>
            </w:r>
          </w:p>
        </w:tc>
      </w:tr>
      <w:tr>
        <w:trPr/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tcMar>
              <w:left w:w="160" w:type="dxa"/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129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442" w:type="dxa"/>
            <w:gridSpan w:val="5"/>
            <w:tcBorders>
              <w:bottom w:val="single" w:sz="2" w:space="0" w:color="000000"/>
              <w:right w:val="single" w:sz="2" w:space="0" w:color="000000"/>
            </w:tcBorders>
            <w:tcMar>
              <w:bottom w:w="28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CHECK BOX IF THE AGGREGATE AMOUNT IN ROW (9) EXCLUDES CERTAIN SHARES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 ☐</w:t>
            </w:r>
          </w:p>
        </w:tc>
      </w:tr>
      <w:tr>
        <w:trPr/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tcMar>
              <w:left w:w="160" w:type="dxa"/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129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442" w:type="dxa"/>
            <w:gridSpan w:val="5"/>
            <w:tcBorders>
              <w:bottom w:val="single" w:sz="2" w:space="0" w:color="000000"/>
              <w:right w:val="single" w:sz="2" w:space="0" w:color="000000"/>
            </w:tcBorders>
            <w:tcMar>
              <w:bottom w:w="28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PERCENT OF CLASS REPRESENTED BY AMOUNT IN ROW (9)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14.5% (See Note 2)</w:t>
            </w:r>
          </w:p>
        </w:tc>
      </w:tr>
      <w:tr>
        <w:trPr/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tcMar>
              <w:left w:w="160" w:type="dxa"/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129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442" w:type="dxa"/>
            <w:gridSpan w:val="5"/>
            <w:tcBorders>
              <w:bottom w:val="single" w:sz="2" w:space="0" w:color="000000"/>
              <w:right w:val="single" w:sz="2" w:space="0" w:color="000000"/>
            </w:tcBorders>
            <w:tcMar>
              <w:bottom w:w="28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TYPE OF REPORTING PERSON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 </w:t>
            </w:r>
            <w:r>
              <w:rPr>
                <w:rFonts w:ascii="Times New Roman" w:hAnsi="Times New Roman"/>
                <w:sz w:val="20"/>
              </w:rPr>
              <w:t>CO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60" w:before="0" w:after="4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1"/>
        <w:gridCol w:w="9594"/>
      </w:tblGrid>
      <w:tr>
        <w:trPr/>
        <w:tc>
          <w:tcPr>
            <w:tcW w:w="61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Note 1:</w:t>
            </w:r>
          </w:p>
        </w:tc>
        <w:tc>
          <w:tcPr>
            <w:tcW w:w="9594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On June 24, 2024, Illumina, Inc. (Illumina) completed the separation of GRAIL, Inc. (the Company) through the distribution of approximately 85.5% of the shares of the Companys common stock, par value $0.001 (Common Stock), to holders of Illuminas common stock (the Spin-Off). Immediately following the Spin-Off, Illumina directly owned 4,502,126 shares, or approximately 14.5%, of the outstanding shares of Common Stock. Pursuant to a Stockholder and Registration Rights Agreement, dated as of June 21, 2024 (the Stockholder and Registration Rights Agreement), between Illumina and the Company, Illumina granted to the Company a proxy to vote the shares of Common Stock owned by Illumina immediately after the distribution in proportion to the votes cast by the Companys other stockholders. 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1"/>
        <w:gridCol w:w="9594"/>
      </w:tblGrid>
      <w:tr>
        <w:trPr/>
        <w:tc>
          <w:tcPr>
            <w:tcW w:w="61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Note 2:</w:t>
            </w:r>
          </w:p>
        </w:tc>
        <w:tc>
          <w:tcPr>
            <w:tcW w:w="9594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The denominator for this calculation is based on 31,049,148 shares of Common Stock outstanding as of August 11, 2024, as reported in the Companys Quarterly Report on Form 10-Q filed with the U.S. Securities and Exchange Commission on August 13, 2024. </w:t>
            </w:r>
          </w:p>
        </w:tc>
      </w:tr>
    </w:tbl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br w:type="page"/>
      </w: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15"/>
        <w:gridCol w:w="122"/>
        <w:gridCol w:w="3371"/>
        <w:gridCol w:w="122"/>
        <w:gridCol w:w="3075"/>
      </w:tblGrid>
      <w:tr>
        <w:trPr/>
        <w:tc>
          <w:tcPr>
            <w:tcW w:w="35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 384747 101</w:t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371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SCHEDULE 13G</w:t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075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Page 3 of 5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0"/>
        <w:gridCol w:w="120"/>
        <w:gridCol w:w="540"/>
        <w:gridCol w:w="120"/>
        <w:gridCol w:w="8455"/>
      </w:tblGrid>
      <w:tr>
        <w:trPr/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Item 1.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4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4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Name of Issuer:</w:t>
            </w:r>
          </w:p>
        </w:tc>
      </w:tr>
      <w:tr>
        <w:trPr>
          <w:trHeight w:val="12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4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4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GRAIL, Inc.</w:t>
            </w:r>
          </w:p>
        </w:tc>
      </w:tr>
      <w:tr>
        <w:trPr>
          <w:trHeight w:val="12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4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4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Address of Issuers Principal Executive Offices:</w:t>
            </w:r>
          </w:p>
        </w:tc>
      </w:tr>
      <w:tr>
        <w:trPr>
          <w:trHeight w:val="12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4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4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1525 OBrien Drive, Menlo Park, CA 94025</w:t>
            </w:r>
          </w:p>
        </w:tc>
      </w:tr>
      <w:tr>
        <w:trPr>
          <w:trHeight w:val="36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Item 2.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4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4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Name of Person Filing:</w:t>
            </w:r>
          </w:p>
        </w:tc>
      </w:tr>
      <w:tr>
        <w:trPr>
          <w:trHeight w:val="12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4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4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Illumina, Inc.</w:t>
            </w:r>
          </w:p>
        </w:tc>
      </w:tr>
      <w:tr>
        <w:trPr>
          <w:trHeight w:val="12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4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4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Address of Principal Business Office, or if none, Residence:</w:t>
            </w:r>
          </w:p>
        </w:tc>
      </w:tr>
      <w:tr>
        <w:trPr>
          <w:trHeight w:val="12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4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4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5200 Illumina Way, San Diego, CA 92122</w:t>
            </w:r>
          </w:p>
        </w:tc>
      </w:tr>
      <w:tr>
        <w:trPr>
          <w:trHeight w:val="12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4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4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Citizenship:</w:t>
            </w:r>
          </w:p>
        </w:tc>
      </w:tr>
      <w:tr>
        <w:trPr>
          <w:trHeight w:val="12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4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4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Delaware</w:t>
            </w:r>
          </w:p>
        </w:tc>
      </w:tr>
      <w:tr>
        <w:trPr>
          <w:trHeight w:val="12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4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4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Title of Class of Securities:</w:t>
            </w:r>
          </w:p>
        </w:tc>
      </w:tr>
      <w:tr>
        <w:trPr>
          <w:trHeight w:val="12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4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4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Common Stock, $0.001 par value</w:t>
            </w:r>
          </w:p>
        </w:tc>
      </w:tr>
      <w:tr>
        <w:trPr>
          <w:trHeight w:val="12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4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4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Number:</w:t>
            </w:r>
          </w:p>
        </w:tc>
      </w:tr>
      <w:tr>
        <w:trPr>
          <w:trHeight w:val="12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4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4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384747 101</w:t>
            </w:r>
          </w:p>
        </w:tc>
      </w:tr>
      <w:tr>
        <w:trPr>
          <w:trHeight w:val="36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Item 3.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15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b/>
              </w:rPr>
              <w:t>If this statement is filed pursuant to §§240.13d-1(b) or 240.13d-2(b) or (c),</w:t>
            </w:r>
            <w:r>
              <w:rPr/>
              <w:t xml:space="preserve"> </w:t>
            </w:r>
            <w:r>
              <w:rPr>
                <w:b/>
              </w:rPr>
              <w:t>check whether the person filing is a:</w:t>
            </w:r>
          </w:p>
        </w:tc>
      </w:tr>
      <w:tr>
        <w:trPr>
          <w:trHeight w:val="12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15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 applicable.</w:t>
            </w:r>
          </w:p>
        </w:tc>
      </w:tr>
      <w:tr>
        <w:trPr>
          <w:trHeight w:val="36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Item 4.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15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Ownership.</w:t>
            </w:r>
          </w:p>
        </w:tc>
      </w:tr>
      <w:tr>
        <w:trPr>
          <w:trHeight w:val="12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4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(a)-(c)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4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12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15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The responses of the Reporting Person to Rows 5, 6, 7, 8, 9 and 11 in the cover page to this Section 13G are incorporated herein by reference.</w:t>
            </w:r>
          </w:p>
        </w:tc>
      </w:tr>
      <w:tr>
        <w:trPr>
          <w:trHeight w:val="120" w:hRule="atLeast"/>
        </w:trPr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15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Additional Note: On June 24, 2024, Illumina completed the Spin-Off. Immediately following the Spin-Off, Illumina directly owned 4,502,126 shares, or approximately 14.5% of the outstanding shares of Common Stock. Pursuant to the Stockholder and Registration Rights Agreement, Illumina granted to the Company a proxy to vote the shares of Common Stock owned by Illumina in proportion to the votes cast by the Companys other stockholders.</w:t>
            </w:r>
          </w:p>
        </w:tc>
      </w:tr>
    </w:tbl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br w:type="page"/>
      </w: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15"/>
        <w:gridCol w:w="122"/>
        <w:gridCol w:w="3371"/>
        <w:gridCol w:w="122"/>
        <w:gridCol w:w="3075"/>
      </w:tblGrid>
      <w:tr>
        <w:trPr/>
        <w:tc>
          <w:tcPr>
            <w:tcW w:w="35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 384747 101</w:t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371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SCHEDULE 13G</w:t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075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Page 4 of 5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120"/>
        <w:gridCol w:w="9113"/>
      </w:tblGrid>
      <w:tr>
        <w:trPr/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b/>
              </w:rPr>
              <w:t>Item</w:t>
            </w:r>
            <w:r>
              <w:rPr/>
              <w:t xml:space="preserve"> </w:t>
            </w:r>
            <w:r>
              <w:rPr>
                <w:b/>
              </w:rPr>
              <w:t>5.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1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Ownership of Five Percent or Less of a Class.</w:t>
            </w:r>
          </w:p>
        </w:tc>
      </w:tr>
      <w:tr>
        <w:trPr>
          <w:trHeight w:val="120" w:hRule="atLeast"/>
        </w:trPr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1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 applicable.</w:t>
            </w:r>
          </w:p>
        </w:tc>
      </w:tr>
      <w:tr>
        <w:trPr>
          <w:trHeight w:val="360" w:hRule="atLeast"/>
        </w:trPr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b/>
              </w:rPr>
              <w:t>Item</w:t>
            </w:r>
            <w:r>
              <w:rPr/>
              <w:t xml:space="preserve"> </w:t>
            </w:r>
            <w:r>
              <w:rPr>
                <w:b/>
              </w:rPr>
              <w:t>6.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1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Ownership of More than Five Percent on Behalf of Another Person.</w:t>
            </w:r>
          </w:p>
        </w:tc>
      </w:tr>
      <w:tr>
        <w:trPr>
          <w:trHeight w:val="120" w:hRule="atLeast"/>
        </w:trPr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1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 applicable.</w:t>
            </w:r>
          </w:p>
        </w:tc>
      </w:tr>
      <w:tr>
        <w:trPr>
          <w:trHeight w:val="360" w:hRule="atLeast"/>
        </w:trPr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b/>
              </w:rPr>
              <w:t>Item</w:t>
            </w:r>
            <w:r>
              <w:rPr/>
              <w:t xml:space="preserve"> </w:t>
            </w:r>
            <w:r>
              <w:rPr>
                <w:b/>
              </w:rPr>
              <w:t>7.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1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b/>
              </w:rPr>
              <w:t>Identification and Classification of the Subsidiary Which Acquired the</w:t>
            </w:r>
            <w:r>
              <w:rPr/>
              <w:t xml:space="preserve"> </w:t>
            </w:r>
            <w:r>
              <w:rPr>
                <w:b/>
              </w:rPr>
              <w:t>Security Being Reported on by the Parent Holding Company or Control</w:t>
            </w:r>
            <w:r>
              <w:rPr/>
              <w:t xml:space="preserve"> </w:t>
            </w:r>
            <w:r>
              <w:rPr>
                <w:b/>
              </w:rPr>
              <w:t>Person.</w:t>
            </w:r>
          </w:p>
        </w:tc>
      </w:tr>
      <w:tr>
        <w:trPr>
          <w:trHeight w:val="120" w:hRule="atLeast"/>
        </w:trPr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1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 applicable.</w:t>
            </w:r>
          </w:p>
        </w:tc>
      </w:tr>
      <w:tr>
        <w:trPr>
          <w:trHeight w:val="360" w:hRule="atLeast"/>
        </w:trPr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b/>
              </w:rPr>
              <w:t>Item</w:t>
            </w:r>
            <w:r>
              <w:rPr/>
              <w:t xml:space="preserve"> </w:t>
            </w:r>
            <w:r>
              <w:rPr>
                <w:b/>
              </w:rPr>
              <w:t>8.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1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Identification and Classification of Members of the Group.</w:t>
            </w:r>
          </w:p>
        </w:tc>
      </w:tr>
      <w:tr>
        <w:trPr>
          <w:trHeight w:val="120" w:hRule="atLeast"/>
        </w:trPr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1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 applicable.</w:t>
            </w:r>
          </w:p>
        </w:tc>
      </w:tr>
      <w:tr>
        <w:trPr>
          <w:trHeight w:val="360" w:hRule="atLeast"/>
        </w:trPr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b/>
              </w:rPr>
              <w:t>Item</w:t>
            </w:r>
            <w:r>
              <w:rPr/>
              <w:t xml:space="preserve"> </w:t>
            </w:r>
            <w:r>
              <w:rPr>
                <w:b/>
              </w:rPr>
              <w:t>9.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1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Notice of Dissolution of Group.</w:t>
            </w:r>
          </w:p>
        </w:tc>
      </w:tr>
      <w:tr>
        <w:trPr>
          <w:trHeight w:val="120" w:hRule="atLeast"/>
        </w:trPr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1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 applicable.</w:t>
            </w:r>
          </w:p>
        </w:tc>
      </w:tr>
      <w:tr>
        <w:trPr>
          <w:trHeight w:val="360" w:hRule="atLeast"/>
        </w:trPr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b/>
              </w:rPr>
              <w:t>Item</w:t>
            </w:r>
            <w:r>
              <w:rPr/>
              <w:t xml:space="preserve"> </w:t>
            </w:r>
            <w:r>
              <w:rPr>
                <w:b/>
              </w:rPr>
              <w:t>10.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1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Certifications.</w:t>
            </w:r>
          </w:p>
        </w:tc>
      </w:tr>
      <w:tr>
        <w:trPr>
          <w:trHeight w:val="120" w:hRule="atLeast"/>
        </w:trPr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1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 applicable.</w:t>
            </w:r>
          </w:p>
        </w:tc>
      </w:tr>
    </w:tbl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br w:type="page"/>
      </w: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15"/>
        <w:gridCol w:w="122"/>
        <w:gridCol w:w="3371"/>
        <w:gridCol w:w="122"/>
        <w:gridCol w:w="3075"/>
      </w:tblGrid>
      <w:tr>
        <w:trPr/>
        <w:tc>
          <w:tcPr>
            <w:tcW w:w="35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 384747 101</w:t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371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SCHEDULE 13G</w:t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075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Page 5 of 5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SIGNATURE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After reasonable inquiry and to the best of my knowledge and belief, I certify that the information set forth in this statement is true, complete and correct.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Dated: August 14, 2024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2000" w:type="pct"/>
        <w:jc w:val="righ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72"/>
        <w:gridCol w:w="60"/>
        <w:gridCol w:w="3650"/>
      </w:tblGrid>
      <w:tr>
        <w:trPr/>
        <w:tc>
          <w:tcPr>
            <w:tcW w:w="3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ILLUMINA, INC.</w:t>
            </w:r>
          </w:p>
        </w:tc>
      </w:tr>
      <w:tr>
        <w:trPr>
          <w:trHeight w:val="240" w:hRule="atLeast"/>
        </w:trPr>
        <w:tc>
          <w:tcPr>
            <w:tcW w:w="3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1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60" w:type="dxa"/>
            <w:tcBorders>
              <w:bottom w:val="single" w:sz="2" w:space="0" w:color="000000"/>
            </w:tcBorders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0" w:type="dxa"/>
            <w:tcBorders>
              <w:bottom w:val="single" w:sz="2" w:space="0" w:color="000000"/>
            </w:tcBorders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ANKUR DHINGRA</w:t>
            </w:r>
          </w:p>
        </w:tc>
      </w:tr>
      <w:tr>
        <w:trPr/>
        <w:tc>
          <w:tcPr>
            <w:tcW w:w="37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 Ankur Dhingra</w:t>
            </w:r>
          </w:p>
        </w:tc>
      </w:tr>
      <w:tr>
        <w:trPr/>
        <w:tc>
          <w:tcPr>
            <w:tcW w:w="37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 Chief Financial Officer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849</Words>
  <Characters>4100</Characters>
  <CharactersWithSpaces>4997</CharactersWithSpaces>
  <Paragraphs>241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SC 13G</dc:title>
</cp:coreProperties>
</file>