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181717"/>
          <w:sz w:val="32"/>
        </w:rPr>
      </w:pPr>
      <w:r>
        <w:rPr>
          <w:rFonts w:ascii="Times New Roman;serif" w:hAnsi="Times New Roman;serif"/>
          <w:b/>
          <w:color w:val="181717"/>
          <w:sz w:val="32"/>
        </w:rPr>
        <w:t>UNITED STATES</w:t>
      </w:r>
    </w:p>
    <w:p>
      <w:pPr>
        <w:pStyle w:val="TextBody"/>
        <w:bidi w:val="0"/>
        <w:spacing w:lineRule="auto" w:line="288" w:before="0" w:after="0"/>
        <w:jc w:val="center"/>
        <w:rPr>
          <w:rFonts w:ascii="Times New Roman;serif" w:hAnsi="Times New Roman;serif"/>
          <w:b/>
          <w:color w:val="181717"/>
          <w:sz w:val="32"/>
        </w:rPr>
      </w:pPr>
      <w:r>
        <w:rPr>
          <w:rFonts w:ascii="Times New Roman;serif" w:hAnsi="Times New Roman;serif"/>
          <w:b/>
          <w:color w:val="181717"/>
          <w:sz w:val="32"/>
        </w:rPr>
        <w:t>SECURITIES AND EXCHANGE COMMISSION</w:t>
      </w:r>
    </w:p>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Washington, D.C. 20549</w:t>
      </w:r>
    </w:p>
    <w:p>
      <w:pPr>
        <w:pStyle w:val="TextBody"/>
        <w:bidi w:val="0"/>
        <w:spacing w:lineRule="auto" w:line="288" w:before="0" w:after="0"/>
        <w:jc w:val="center"/>
        <w:rPr/>
      </w:pPr>
      <w:r>
        <w:rPr>
          <w:rFonts w:ascii="Times New Roman;serif" w:hAnsi="Times New Roman;serif"/>
          <w:b/>
          <w:color w:val="181717"/>
          <w:sz w:val="16"/>
        </w:rPr>
        <w:t>______________________</w:t>
      </w:r>
      <w:r>
        <w:rPr>
          <w:rFonts w:ascii="Times New Roman;serif" w:hAnsi="Times New Roman;serif"/>
          <w:b/>
          <w:color w:val="231F20"/>
          <w:sz w:val="16"/>
        </w:rPr>
        <w:t>_______________</w:t>
      </w:r>
      <w:r>
        <w:rPr>
          <w:rFonts w:ascii="Times New Roman;serif" w:hAnsi="Times New Roman;serif"/>
          <w:b/>
          <w:color w:val="181717"/>
          <w:sz w:val="16"/>
        </w:rPr>
        <w:t>___</w:t>
      </w:r>
      <w:r>
        <w:rPr>
          <w:rFonts w:ascii="Times New Roman;serif" w:hAnsi="Times New Roman;serif"/>
          <w:b/>
          <w:color w:val="231F20"/>
          <w:sz w:val="16"/>
        </w:rPr>
        <w:t>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181717"/>
          <w:sz w:val="32"/>
        </w:rPr>
      </w:pPr>
      <w:r>
        <w:rPr>
          <w:rFonts w:ascii="Times New Roman;serif" w:hAnsi="Times New Roman;serif"/>
          <w:b/>
          <w:color w:val="181717"/>
          <w:sz w:val="32"/>
        </w:rPr>
        <w:t>FORM 10-Q</w:t>
      </w:r>
    </w:p>
    <w:p>
      <w:pPr>
        <w:pStyle w:val="TextBody"/>
        <w:bidi w:val="0"/>
        <w:spacing w:lineRule="auto" w:line="288" w:before="0" w:after="0"/>
        <w:jc w:val="center"/>
        <w:rPr/>
      </w:pPr>
      <w:r>
        <w:rPr>
          <w:rFonts w:ascii="Times New Roman;serif" w:hAnsi="Times New Roman;serif"/>
          <w:b/>
          <w:color w:val="181717"/>
          <w:sz w:val="16"/>
        </w:rPr>
        <w:t>______________________</w:t>
      </w:r>
      <w:r>
        <w:rPr>
          <w:rFonts w:ascii="Times New Roman;serif" w:hAnsi="Times New Roman;serif"/>
          <w:b/>
          <w:color w:val="231F20"/>
          <w:sz w:val="16"/>
        </w:rPr>
        <w:t>_______________</w:t>
      </w:r>
      <w:r>
        <w:rPr>
          <w:rFonts w:ascii="Times New Roman;serif" w:hAnsi="Times New Roman;serif"/>
          <w:b/>
          <w:color w:val="181717"/>
          <w:sz w:val="16"/>
        </w:rPr>
        <w:t>___</w:t>
      </w:r>
      <w:r>
        <w:rPr>
          <w:rFonts w:ascii="Times New Roman;serif" w:hAnsi="Times New Roman;serif"/>
          <w:b/>
          <w:color w:val="231F20"/>
          <w:sz w:val="16"/>
        </w:rPr>
        <w:t>___</w:t>
      </w:r>
    </w:p>
    <w:p>
      <w:pPr>
        <w:pStyle w:val="TextBody"/>
        <w:bidi w:val="0"/>
        <w:spacing w:lineRule="auto" w:line="288" w:before="0" w:after="0"/>
        <w:jc w:val="left"/>
        <w:rPr>
          <w:rFonts w:ascii="Times New Roman;serif" w:hAnsi="Times New Roman;serif"/>
          <w:b/>
          <w:color w:val="181717"/>
          <w:sz w:val="16"/>
        </w:rPr>
      </w:pPr>
      <w:r>
        <w:rPr>
          <w:rFonts w:ascii="Times New Roman;serif" w:hAnsi="Times New Roman;serif"/>
          <w:b/>
          <w:color w:val="181717"/>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181717"/>
          <w:sz w:val="18"/>
        </w:rPr>
        <w:t xml:space="preserve">For the quarterly period ended </w:t>
      </w:r>
      <w:r>
        <w:rPr>
          <w:rFonts w:ascii="Times New Roman;serif" w:hAnsi="Times New Roman;serif"/>
          <w:b/>
          <w:color w:val="231F20"/>
          <w:sz w:val="18"/>
        </w:rPr>
        <w:t>June 30, 2026</w:t>
      </w:r>
    </w:p>
    <w:p>
      <w:pPr>
        <w:pStyle w:val="TextBody"/>
        <w:bidi w:val="0"/>
        <w:spacing w:lineRule="auto" w:line="288" w:before="0" w:after="0"/>
        <w:jc w:val="center"/>
        <w:rPr>
          <w:rFonts w:ascii="Times New Roman;serif" w:hAnsi="Times New Roman;serif"/>
          <w:b/>
          <w:color w:val="181717"/>
          <w:sz w:val="18"/>
        </w:rPr>
      </w:pPr>
      <w:r>
        <w:rPr>
          <w:rFonts w:ascii="Times New Roman;serif" w:hAnsi="Times New Roman;serif"/>
          <w:b/>
          <w:color w:val="181717"/>
          <w:sz w:val="18"/>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181717"/>
          <w:sz w:val="16"/>
        </w:rPr>
      </w:pPr>
      <w:r>
        <w:rPr>
          <w:rFonts w:ascii="Times New Roman;serif" w:hAnsi="Times New Roman;serif"/>
          <w:b/>
          <w:color w:val="181717"/>
          <w:sz w:val="16"/>
        </w:rPr>
        <w:t xml:space="preserve">For the transition period from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181717"/>
          <w:sz w:val="16"/>
        </w:rPr>
      </w:pPr>
      <w:r>
        <w:rPr>
          <w:rFonts w:ascii="Times New Roman;serif" w:hAnsi="Times New Roman;serif"/>
          <w:b/>
          <w:color w:val="181717"/>
          <w:sz w:val="16"/>
        </w:rPr>
        <w:t>Commission file number 001-42045</w:t>
      </w:r>
    </w:p>
    <w:p>
      <w:pPr>
        <w:pStyle w:val="TextBody"/>
        <w:bidi w:val="0"/>
        <w:spacing w:lineRule="auto" w:line="288" w:before="0" w:after="0"/>
        <w:jc w:val="center"/>
        <w:rPr/>
      </w:pPr>
      <w:r>
        <w:rPr>
          <w:rFonts w:ascii="Times New Roman;serif" w:hAnsi="Times New Roman;serif"/>
          <w:b/>
          <w:color w:val="181717"/>
          <w:sz w:val="16"/>
        </w:rPr>
        <w:t>______________________</w:t>
      </w:r>
      <w:r>
        <w:rPr>
          <w:rFonts w:ascii="Times New Roman;serif" w:hAnsi="Times New Roman;serif"/>
          <w:b/>
          <w:color w:val="231F20"/>
          <w:sz w:val="16"/>
        </w:rPr>
        <w:t>_______________</w:t>
      </w:r>
      <w:r>
        <w:rPr>
          <w:rFonts w:ascii="Times New Roman;serif" w:hAnsi="Times New Roman;serif"/>
          <w:b/>
          <w:color w:val="181717"/>
          <w:sz w:val="16"/>
        </w:rPr>
        <w:t>___</w:t>
      </w:r>
      <w:r>
        <w:rPr>
          <w:rFonts w:ascii="Times New Roman;serif" w:hAnsi="Times New Roman;serif"/>
          <w:b/>
          <w:color w:val="231F20"/>
          <w:sz w:val="16"/>
        </w:rPr>
        <w:t>___</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231F20"/>
          <w:sz w:val="36"/>
        </w:rPr>
      </w:pPr>
      <w:r>
        <w:rPr>
          <w:rFonts w:ascii="Times New Roman;serif" w:hAnsi="Times New Roman;serif"/>
          <w:b/>
          <w:color w:val="231F20"/>
          <w:sz w:val="36"/>
        </w:rPr>
        <w:t>GRAIL, Inc.</w:t>
      </w:r>
    </w:p>
    <w:p>
      <w:pPr>
        <w:pStyle w:val="TextBody"/>
        <w:bidi w:val="0"/>
        <w:spacing w:lineRule="auto" w:line="288" w:before="0" w:after="0"/>
        <w:jc w:val="center"/>
        <w:rPr>
          <w:rFonts w:ascii="Times New Roman;serif" w:hAnsi="Times New Roman;serif"/>
          <w:b/>
          <w:color w:val="181717"/>
          <w:sz w:val="16"/>
        </w:rPr>
      </w:pPr>
      <w:r>
        <w:rPr>
          <w:rFonts w:ascii="Times New Roman;serif" w:hAnsi="Times New Roman;serif"/>
          <w:b/>
          <w:color w:val="181717"/>
          <w:sz w:val="16"/>
        </w:rPr>
        <w:t>(Exact name of registrant as specified in its charter)</w:t>
      </w:r>
    </w:p>
    <w:p>
      <w:pPr>
        <w:pStyle w:val="TextBody"/>
        <w:bidi w:val="0"/>
        <w:spacing w:lineRule="auto" w:line="288" w:before="0" w:after="0"/>
        <w:jc w:val="center"/>
        <w:rPr/>
      </w:pPr>
      <w:r>
        <w:rPr>
          <w:rFonts w:ascii="Times New Roman;serif" w:hAnsi="Times New Roman;serif"/>
          <w:b/>
          <w:color w:val="181717"/>
          <w:sz w:val="16"/>
        </w:rPr>
        <w:t>______________________</w:t>
      </w:r>
      <w:r>
        <w:rPr>
          <w:rFonts w:ascii="Times New Roman;serif" w:hAnsi="Times New Roman;serif"/>
          <w:b/>
          <w:color w:val="231F20"/>
          <w:sz w:val="16"/>
        </w:rPr>
        <w:t>_______________</w:t>
      </w:r>
      <w:r>
        <w:rPr>
          <w:rFonts w:ascii="Times New Roman;serif" w:hAnsi="Times New Roman;serif"/>
          <w:b/>
          <w:color w:val="181717"/>
          <w:sz w:val="16"/>
        </w:rPr>
        <w:t>___</w:t>
      </w:r>
      <w:r>
        <w:rPr>
          <w:rFonts w:ascii="Times New Roman;serif" w:hAnsi="Times New Roman;serif"/>
          <w:b/>
          <w:color w:val="231F20"/>
          <w:sz w:val="16"/>
        </w:rPr>
        <w:t>___</w:t>
      </w:r>
    </w:p>
    <w:tbl>
      <w:tblPr>
        <w:tblW w:w="5760" w:type="dxa"/>
        <w:jc w:val="left"/>
        <w:tblInd w:w="0" w:type="dxa"/>
        <w:tblLayout w:type="fixed"/>
        <w:tblCellMar>
          <w:top w:w="28" w:type="dxa"/>
          <w:left w:w="28" w:type="dxa"/>
          <w:bottom w:w="28" w:type="dxa"/>
          <w:right w:w="28" w:type="dxa"/>
        </w:tblCellMar>
      </w:tblPr>
      <w:tblGrid>
        <w:gridCol w:w="1298"/>
        <w:gridCol w:w="1140"/>
        <w:gridCol w:w="1147"/>
        <w:gridCol w:w="635"/>
        <w:gridCol w:w="635"/>
        <w:gridCol w:w="905"/>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86-3673636</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217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231F20"/>
                <w:sz w:val="14"/>
              </w:rPr>
            </w:pPr>
            <w:r>
              <w:rPr>
                <w:rFonts w:ascii="Times New Roman;serif" w:hAnsi="Times New Roman;serif"/>
                <w:b w:val="false"/>
                <w:color w:val="231F20"/>
                <w:sz w:val="14"/>
              </w:rPr>
              <w:t>(I.R.S. Employer Identification No.)</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1525 O’Brien Drive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Menlo Park, California</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94025</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(833) 694-2553</w:t>
      </w:r>
    </w:p>
    <w:p>
      <w:pPr>
        <w:pStyle w:val="TextBody"/>
        <w:bidi w:val="0"/>
        <w:spacing w:lineRule="auto" w:line="288" w:before="0" w:after="0"/>
        <w:jc w:val="center"/>
        <w:rPr>
          <w:rFonts w:ascii="Times New Roman;serif" w:hAnsi="Times New Roman;serif"/>
          <w:b w:val="false"/>
          <w:color w:val="181717"/>
          <w:sz w:val="14"/>
        </w:rPr>
      </w:pPr>
      <w:r>
        <w:rPr>
          <w:rFonts w:ascii="Times New Roman;serif" w:hAnsi="Times New Roman;serif"/>
          <w:b w:val="false"/>
          <w:color w:val="181717"/>
          <w:sz w:val="14"/>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181717"/>
          <w:sz w:val="16"/>
        </w:rPr>
      </w:pPr>
      <w:r>
        <w:rPr>
          <w:rFonts w:ascii="Times New Roman;serif" w:hAnsi="Times New Roman;serif"/>
          <w:b w:val="false"/>
          <w:color w:val="181717"/>
          <w:sz w:val="16"/>
        </w:rPr>
        <w:t>Securities registered pursuant to Section 12(b) of the Act:</w:t>
      </w:r>
    </w:p>
    <w:tbl>
      <w:tblPr>
        <w:tblW w:w="7934" w:type="dxa"/>
        <w:jc w:val="left"/>
        <w:tblInd w:w="0" w:type="dxa"/>
        <w:tblLayout w:type="fixed"/>
        <w:tblCellMar>
          <w:top w:w="28" w:type="dxa"/>
          <w:left w:w="28" w:type="dxa"/>
          <w:bottom w:w="28" w:type="dxa"/>
          <w:right w:w="28" w:type="dxa"/>
        </w:tblCellMar>
      </w:tblPr>
      <w:tblGrid>
        <w:gridCol w:w="1191"/>
        <w:gridCol w:w="1040"/>
        <w:gridCol w:w="1054"/>
        <w:gridCol w:w="474"/>
        <w:gridCol w:w="474"/>
        <w:gridCol w:w="476"/>
        <w:gridCol w:w="945"/>
        <w:gridCol w:w="945"/>
        <w:gridCol w:w="1335"/>
      </w:tblGrid>
      <w:tr>
        <w:trPr/>
        <w:tc>
          <w:tcPr>
            <w:tcW w:w="119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xml:space="preserve">Common stock, par value $0.001 per share </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GRAL</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Nasdaq Global Select Market</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181717"/>
          <w:sz w:val="16"/>
        </w:rPr>
      </w:pPr>
      <w:r>
        <w:rPr>
          <w:rFonts w:ascii="Times New Roman;serif" w:hAnsi="Times New Roman;serif"/>
          <w:b w:val="false"/>
          <w:color w:val="181717"/>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181717"/>
          <w:sz w:val="16"/>
        </w:rPr>
        <w:t>Yes</w:t>
      </w:r>
      <w:r>
        <w:rPr>
          <w:color w:val="181717"/>
        </w:rPr>
        <w:t xml:space="preserve"> </w:t>
      </w:r>
      <w:r>
        <w:rPr>
          <w:rFonts w:ascii="Wingdings;sans-serif" w:hAnsi="Wingdings;sans-serif"/>
          <w:b w:val="false"/>
          <w:color w:val="181717"/>
          <w:sz w:val="16"/>
        </w:rPr>
        <w:t>x</w:t>
      </w:r>
      <w:r>
        <w:rPr>
          <w:color w:val="181717"/>
        </w:rPr>
        <w:t>  </w:t>
      </w:r>
      <w:r>
        <w:rPr>
          <w:rFonts w:ascii="Times New Roman;serif" w:hAnsi="Times New Roman;serif"/>
          <w:b w:val="false"/>
          <w:color w:val="181717"/>
          <w:sz w:val="16"/>
        </w:rPr>
        <w:t xml:space="preserve">No </w:t>
      </w:r>
      <w:r>
        <w:rPr>
          <w:rFonts w:ascii="Wingdings;sans-serif" w:hAnsi="Wingdings;sans-serif"/>
          <w:b w:val="false"/>
          <w:color w:val="181717"/>
          <w:sz w:val="16"/>
        </w:rPr>
        <w:t>o</w:t>
      </w:r>
    </w:p>
    <w:p>
      <w:pPr>
        <w:pStyle w:val="TextBody"/>
        <w:bidi w:val="0"/>
        <w:spacing w:lineRule="auto" w:line="288" w:before="0" w:after="0"/>
        <w:jc w:val="left"/>
        <w:rPr>
          <w:rFonts w:ascii="Times New Roman;serif" w:hAnsi="Times New Roman;serif"/>
          <w:b w:val="false"/>
          <w:color w:val="181717"/>
          <w:sz w:val="16"/>
        </w:rPr>
      </w:pPr>
      <w:r>
        <w:rPr>
          <w:rFonts w:ascii="Times New Roman;serif" w:hAnsi="Times New Roman;serif"/>
          <w:b w:val="false"/>
          <w:color w:val="181717"/>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181717"/>
          <w:sz w:val="16"/>
        </w:rPr>
        <w:t xml:space="preserve">Yes </w:t>
      </w:r>
      <w:r>
        <w:rPr>
          <w:rFonts w:ascii="Wingdings;sans-serif" w:hAnsi="Wingdings;sans-serif"/>
          <w:b w:val="false"/>
          <w:color w:val="181717"/>
          <w:sz w:val="16"/>
        </w:rPr>
        <w:t>x</w:t>
      </w:r>
      <w:r>
        <w:rPr>
          <w:color w:val="181717"/>
        </w:rPr>
        <w:t>   </w:t>
      </w:r>
      <w:r>
        <w:rPr>
          <w:rFonts w:ascii="Times New Roman;serif" w:hAnsi="Times New Roman;serif"/>
          <w:b w:val="false"/>
          <w:color w:val="181717"/>
          <w:sz w:val="16"/>
        </w:rPr>
        <w:t xml:space="preserve">No </w:t>
      </w:r>
      <w:r>
        <w:rPr>
          <w:rFonts w:ascii="Wingdings;sans-serif" w:hAnsi="Wingdings;sans-serif"/>
          <w:b w:val="false"/>
          <w:color w:val="181717"/>
          <w:sz w:val="16"/>
        </w:rPr>
        <w:t>o</w:t>
      </w:r>
    </w:p>
    <w:p>
      <w:pPr>
        <w:pStyle w:val="TextBody"/>
        <w:bidi w:val="0"/>
        <w:spacing w:lineRule="auto" w:line="288" w:before="0" w:after="0"/>
        <w:jc w:val="both"/>
        <w:rPr>
          <w:rFonts w:ascii="Times New Roman;serif" w:hAnsi="Times New Roman;serif"/>
          <w:b w:val="false"/>
          <w:color w:val="181717"/>
          <w:sz w:val="16"/>
        </w:rPr>
      </w:pPr>
      <w:r>
        <w:rPr>
          <w:rFonts w:ascii="Times New Roman;serif" w:hAnsi="Times New Roman;serif"/>
          <w:b w:val="false"/>
          <w:color w:val="181717"/>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0" w:after="0"/>
        <w:jc w:val="left"/>
        <w:rPr/>
      </w:pPr>
      <w:r>
        <w:rPr>
          <w:rFonts w:ascii="Times New Roman;serif" w:hAnsi="Times New Roman;serif"/>
          <w:b w:val="false"/>
          <w:color w:val="181717"/>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231F20"/>
        </w:rPr>
        <w:t xml:space="preserve"> </w:t>
      </w:r>
      <w:r>
        <w:rPr>
          <w:rFonts w:ascii="Wingdings;sans-serif" w:hAnsi="Wingdings;sans-serif"/>
          <w:b w:val="false"/>
          <w:color w:val="231F20"/>
          <w:sz w:val="16"/>
        </w:rPr>
        <w:t>x</w:t>
      </w:r>
    </w:p>
    <w:p>
      <w:pPr>
        <w:pStyle w:val="TextBody"/>
        <w:bidi w:val="0"/>
        <w:spacing w:lineRule="auto" w:line="288" w:before="0" w:after="0"/>
        <w:jc w:val="left"/>
        <w:rPr>
          <w:rFonts w:ascii="Times New Roman;serif" w:hAnsi="Times New Roman;serif"/>
          <w:b w:val="false"/>
          <w:color w:val="181717"/>
          <w:sz w:val="16"/>
        </w:rPr>
      </w:pPr>
      <w:r>
        <w:rPr>
          <w:rFonts w:ascii="Times New Roman;serif" w:hAnsi="Times New Roman;serif"/>
          <w:b w:val="false"/>
          <w:color w:val="181717"/>
          <w:sz w:val="16"/>
        </w:rPr>
        <w:t>Indicate by check mark whether the registrant is a shell company (as defined in Rule 12b-2 of the Act).</w:t>
      </w:r>
    </w:p>
    <w:p>
      <w:pPr>
        <w:pStyle w:val="TextBody"/>
        <w:bidi w:val="0"/>
        <w:spacing w:lineRule="auto" w:line="288" w:before="0" w:after="0"/>
        <w:jc w:val="right"/>
        <w:rPr/>
      </w:pPr>
      <w:r>
        <w:rPr>
          <w:rFonts w:ascii="Times New Roman;serif" w:hAnsi="Times New Roman;serif"/>
          <w:b w:val="false"/>
          <w:color w:val="181717"/>
          <w:sz w:val="16"/>
        </w:rPr>
        <w:t>Yes</w:t>
      </w:r>
      <w:r>
        <w:rPr>
          <w:color w:val="181717"/>
        </w:rPr>
        <w:t xml:space="preserve"> </w:t>
      </w:r>
      <w:r>
        <w:rPr>
          <w:rFonts w:ascii="Wingdings;sans-serif" w:hAnsi="Wingdings;sans-serif"/>
          <w:b w:val="false"/>
          <w:color w:val="000000"/>
          <w:sz w:val="16"/>
        </w:rPr>
        <w:t>o</w:t>
      </w:r>
      <w:r>
        <w:rPr>
          <w:color w:val="181717"/>
        </w:rPr>
        <w:t xml:space="preserve"> </w:t>
      </w:r>
      <w:r>
        <w:rPr>
          <w:rFonts w:ascii="Times New Roman;serif" w:hAnsi="Times New Roman;serif"/>
          <w:b w:val="false"/>
          <w:color w:val="181717"/>
          <w:sz w:val="16"/>
        </w:rPr>
        <w:t xml:space="preserve">No </w:t>
      </w:r>
      <w:r>
        <w:rPr>
          <w:color w:val="181717"/>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181717"/>
          <w:sz w:val="16"/>
        </w:rPr>
        <w:t xml:space="preserve">As of August 3, 2026, the registrant had </w:t>
      </w:r>
      <w:r>
        <w:rPr>
          <w:rFonts w:ascii="Times New Roman;serif" w:hAnsi="Times New Roman;serif"/>
          <w:b w:val="false"/>
          <w:color w:val="231F20"/>
          <w:sz w:val="16"/>
        </w:rPr>
        <w:t>44,666,234</w:t>
      </w:r>
      <w:r>
        <w:rPr>
          <w:color w:val="181717"/>
        </w:rPr>
        <w:t xml:space="preserve"> </w:t>
      </w:r>
      <w:r>
        <w:rPr>
          <w:rFonts w:ascii="Times New Roman;serif" w:hAnsi="Times New Roman;serif"/>
          <w:b w:val="false"/>
          <w:color w:val="181717"/>
          <w:sz w:val="16"/>
        </w:rPr>
        <w:t>shares of common stock, par value $0.001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w:t>
                      </w:r>
                    </w:p>
                  </w:txbxContent>
                </v:textbox>
                <w10:wrap type="none"/>
              </v:rect>
            </w:pict>
          </mc:Fallback>
        </mc:AlternateContent>
      </w:r>
    </w:p>
    <w:p>
      <w:pPr>
        <w:pStyle w:val="TextBody"/>
        <w:bidi w:val="0"/>
        <w:spacing w:before="360" w:after="283"/>
        <w:jc w:val="center"/>
        <w:rPr/>
      </w:pPr>
      <w:r>
        <w:rPr/>
      </w:r>
    </w:p>
    <w:p>
      <w:pPr>
        <w:pStyle w:val="TextBody"/>
        <w:bidi w:val="0"/>
        <w:spacing w:lineRule="auto" w:line="288" w:before="360" w:after="283"/>
        <w:jc w:val="center"/>
        <w:rPr>
          <w:rFonts w:ascii="Arial;sans-serif" w:hAnsi="Arial;sans-serif"/>
          <w:b/>
          <w:color w:val="231F20"/>
          <w:sz w:val="20"/>
        </w:rPr>
      </w:pPr>
      <w:r>
        <w:rPr>
          <w:rFonts w:ascii="Arial;sans-serif" w:hAnsi="Arial;sans-serif"/>
          <w:b/>
          <w:color w:val="231F20"/>
          <w:sz w:val="20"/>
        </w:rPr>
        <w:t xml:space="preserve">TABLE OF CONTENTS </w:t>
      </w:r>
    </w:p>
    <w:tbl>
      <w:tblPr>
        <w:tblW w:w="9060" w:type="dxa"/>
        <w:jc w:val="center"/>
        <w:tblInd w:w="0" w:type="dxa"/>
        <w:tblLayout w:type="fixed"/>
        <w:tblCellMar>
          <w:top w:w="28" w:type="dxa"/>
          <w:left w:w="28" w:type="dxa"/>
          <w:bottom w:w="28" w:type="dxa"/>
          <w:right w:w="28" w:type="dxa"/>
        </w:tblCellMar>
      </w:tblPr>
      <w:tblGrid>
        <w:gridCol w:w="3088"/>
        <w:gridCol w:w="2713"/>
        <w:gridCol w:w="2718"/>
        <w:gridCol w:w="158"/>
        <w:gridCol w:w="158"/>
        <w:gridCol w:w="225"/>
      </w:tblGrid>
      <w:tr>
        <w:trPr/>
        <w:tc>
          <w:tcPr>
            <w:tcW w:w="3088"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Page</w:t>
            </w:r>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231F20"/>
                <w:sz w:val="20"/>
              </w:rPr>
            </w:pPr>
            <w:r>
              <w:rPr>
                <w:rFonts w:ascii="Arial;sans-serif" w:hAnsi="Arial;sans-serif"/>
                <w:b/>
                <w:color w:val="231F20"/>
                <w:sz w:val="20"/>
              </w:rPr>
              <w:t>Cautionary Note Regarding Forward-Looking Statements</w:t>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hyperlink w:anchor="ib519e90a53de4f919bc17ff3f5e23102_10">
              <w:r>
                <w:rPr>
                  <w:rStyle w:val="InternetLink"/>
                  <w:rFonts w:ascii="Arial;sans-serif" w:hAnsi="Arial;sans-serif"/>
                  <w:b w:val="false"/>
                  <w:strike w:val="false"/>
                  <w:dstrike w:val="false"/>
                  <w:color w:val="000000"/>
                  <w:sz w:val="20"/>
                  <w:u w:val="none"/>
                  <w:effect w:val="none"/>
                </w:rPr>
                <w:t>1</w:t>
              </w:r>
            </w:hyperlink>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3">
              <w:r>
                <w:rPr>
                  <w:rStyle w:val="InternetLink"/>
                  <w:rFonts w:ascii="Arial;sans-serif" w:hAnsi="Arial;sans-serif"/>
                  <w:b/>
                  <w:strike w:val="false"/>
                  <w:dstrike w:val="false"/>
                  <w:color w:val="000000"/>
                  <w:sz w:val="20"/>
                  <w:u w:val="none"/>
                  <w:effect w:val="none"/>
                </w:rPr>
                <w:t>Part I - Financial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6">
              <w:r>
                <w:rPr>
                  <w:rStyle w:val="InternetLink"/>
                  <w:rFonts w:ascii="Arial;sans-serif" w:hAnsi="Arial;sans-serif"/>
                  <w:b w:val="false"/>
                  <w:strike w:val="false"/>
                  <w:dstrike w:val="false"/>
                  <w:color w:val="000000"/>
                  <w:sz w:val="20"/>
                  <w:u w:val="none"/>
                  <w:effect w:val="none"/>
                </w:rPr>
                <w:t>Item 1.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6">
              <w:r>
                <w:rPr>
                  <w:rStyle w:val="InternetLink"/>
                  <w:rFonts w:ascii="Arial;sans-serif" w:hAnsi="Arial;sans-serif"/>
                  <w:b w:val="false"/>
                  <w:strike w:val="false"/>
                  <w:dstrike w:val="false"/>
                  <w:color w:val="000000"/>
                  <w:sz w:val="20"/>
                  <w:u w:val="none"/>
                  <w:effect w:val="none"/>
                </w:rPr>
                <w:t>2</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9">
              <w:r>
                <w:rPr>
                  <w:rStyle w:val="InternetLink"/>
                  <w:rFonts w:ascii="Arial;sans-serif" w:hAnsi="Arial;sans-serif"/>
                  <w:b w:val="false"/>
                  <w:strike w:val="false"/>
                  <w:dstrike w:val="false"/>
                  <w:color w:val="231F20"/>
                  <w:sz w:val="20"/>
                  <w:u w:val="none"/>
                  <w:effect w:val="none"/>
                </w:rPr>
                <w:t>2</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25">
              <w:r>
                <w:rPr>
                  <w:rStyle w:val="InternetLink"/>
                  <w:rFonts w:ascii="Arial;sans-serif" w:hAnsi="Arial;sans-serif"/>
                  <w:b w:val="false"/>
                  <w:strike w:val="false"/>
                  <w:dstrike w:val="false"/>
                  <w:color w:val="231F20"/>
                  <w:sz w:val="20"/>
                  <w:u w:val="none"/>
                  <w:effect w:val="none"/>
                </w:rPr>
                <w:t>3</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Comprehensive Loss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28">
              <w:r>
                <w:rPr>
                  <w:rStyle w:val="InternetLink"/>
                  <w:rFonts w:ascii="Arial;sans-serif" w:hAnsi="Arial;sans-serif"/>
                  <w:b w:val="false"/>
                  <w:strike w:val="false"/>
                  <w:dstrike w:val="false"/>
                  <w:color w:val="231F20"/>
                  <w:sz w:val="20"/>
                  <w:u w:val="none"/>
                  <w:effect w:val="none"/>
                </w:rPr>
                <w:t>4</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31">
              <w:r>
                <w:rPr>
                  <w:rStyle w:val="InternetLink"/>
                  <w:rFonts w:ascii="Arial;sans-serif" w:hAnsi="Arial;sans-serif"/>
                  <w:b w:val="false"/>
                  <w:strike w:val="false"/>
                  <w:dstrike w:val="false"/>
                  <w:color w:val="231F20"/>
                  <w:sz w:val="20"/>
                  <w:u w:val="none"/>
                  <w:effect w:val="none"/>
                </w:rPr>
                <w:t>5</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34">
              <w:r>
                <w:rPr>
                  <w:rStyle w:val="InternetLink"/>
                  <w:rFonts w:ascii="Arial;sans-serif" w:hAnsi="Arial;sans-serif"/>
                  <w:b w:val="false"/>
                  <w:strike w:val="false"/>
                  <w:dstrike w:val="false"/>
                  <w:color w:val="231F20"/>
                  <w:sz w:val="20"/>
                  <w:u w:val="none"/>
                  <w:effect w:val="none"/>
                </w:rPr>
                <w:t>7</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Notes to Condensed Consolidated Statements</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37">
              <w:r>
                <w:rPr>
                  <w:rStyle w:val="InternetLink"/>
                  <w:rFonts w:ascii="Arial;sans-serif" w:hAnsi="Arial;sans-serif"/>
                  <w:b w:val="false"/>
                  <w:strike w:val="false"/>
                  <w:dstrike w:val="false"/>
                  <w:color w:val="231F20"/>
                  <w:sz w:val="20"/>
                  <w:u w:val="none"/>
                  <w:effect w:val="none"/>
                </w:rPr>
                <w:t>8</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94">
              <w:r>
                <w:rPr>
                  <w:rStyle w:val="InternetLink"/>
                  <w:rFonts w:ascii="Arial;sans-serif" w:hAnsi="Arial;sans-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94">
              <w:r>
                <w:rPr>
                  <w:rStyle w:val="InternetLink"/>
                  <w:rFonts w:ascii="Arial;sans-serif" w:hAnsi="Arial;sans-serif"/>
                  <w:b w:val="false"/>
                  <w:strike w:val="false"/>
                  <w:dstrike w:val="false"/>
                  <w:color w:val="000000"/>
                  <w:sz w:val="20"/>
                  <w:u w:val="none"/>
                  <w:effect w:val="none"/>
                </w:rPr>
                <w:t>22</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27">
              <w:r>
                <w:rPr>
                  <w:rStyle w:val="InternetLink"/>
                  <w:rFonts w:ascii="Arial;sans-serif" w:hAnsi="Arial;sans-serif"/>
                  <w:b w:val="false"/>
                  <w:strike w:val="false"/>
                  <w:dstrike w:val="false"/>
                  <w:color w:val="000000"/>
                  <w:sz w:val="20"/>
                  <w:u w:val="none"/>
                  <w:effect w:val="non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27">
              <w:r>
                <w:rPr>
                  <w:rStyle w:val="InternetLink"/>
                  <w:rFonts w:ascii="Arial;sans-serif" w:hAnsi="Arial;sans-serif"/>
                  <w:b w:val="false"/>
                  <w:strike w:val="false"/>
                  <w:dstrike w:val="false"/>
                  <w:color w:val="000000"/>
                  <w:sz w:val="20"/>
                  <w:u w:val="none"/>
                  <w:effect w:val="none"/>
                </w:rPr>
                <w:t>40</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30">
              <w:r>
                <w:rPr>
                  <w:rStyle w:val="InternetLink"/>
                  <w:rFonts w:ascii="Arial;sans-serif" w:hAnsi="Arial;sans-serif"/>
                  <w:b w:val="false"/>
                  <w:strike w:val="false"/>
                  <w:dstrike w:val="false"/>
                  <w:color w:val="000000"/>
                  <w:sz w:val="20"/>
                  <w:u w:val="none"/>
                  <w:effect w:val="none"/>
                </w:rPr>
                <w:t>Item 4. Controls and Procedures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30">
              <w:r>
                <w:rPr>
                  <w:rStyle w:val="InternetLink"/>
                  <w:rFonts w:ascii="Arial;sans-serif" w:hAnsi="Arial;sans-serif"/>
                  <w:b w:val="false"/>
                  <w:strike w:val="false"/>
                  <w:dstrike w:val="false"/>
                  <w:color w:val="000000"/>
                  <w:sz w:val="20"/>
                  <w:u w:val="none"/>
                  <w:effect w:val="none"/>
                </w:rPr>
                <w:t>41</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33">
              <w:r>
                <w:rPr>
                  <w:rStyle w:val="InternetLink"/>
                  <w:rFonts w:ascii="Arial;sans-serif" w:hAnsi="Arial;sans-serif"/>
                  <w:b/>
                  <w:strike w:val="false"/>
                  <w:dstrike w:val="false"/>
                  <w:color w:val="000000"/>
                  <w:sz w:val="20"/>
                  <w:u w:val="none"/>
                  <w:effect w:val="none"/>
                </w:rPr>
                <w:t>Part II -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36">
              <w:r>
                <w:rPr>
                  <w:rStyle w:val="InternetLink"/>
                  <w:rFonts w:ascii="Arial;sans-serif" w:hAnsi="Arial;sans-serif"/>
                  <w:b w:val="false"/>
                  <w:strike w:val="false"/>
                  <w:dstrike w:val="false"/>
                  <w:color w:val="000000"/>
                  <w:sz w:val="20"/>
                  <w:u w:val="none"/>
                  <w:effect w:val="non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36">
              <w:r>
                <w:rPr>
                  <w:rStyle w:val="InternetLink"/>
                  <w:rFonts w:ascii="Arial;sans-serif" w:hAnsi="Arial;sans-serif"/>
                  <w:b w:val="false"/>
                  <w:strike w:val="false"/>
                  <w:dstrike w:val="false"/>
                  <w:color w:val="000000"/>
                  <w:sz w:val="20"/>
                  <w:u w:val="none"/>
                  <w:effect w:val="none"/>
                </w:rPr>
                <w:t>42</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39">
              <w:r>
                <w:rPr>
                  <w:rStyle w:val="InternetLink"/>
                  <w:rFonts w:ascii="Arial;sans-serif" w:hAnsi="Arial;sans-serif"/>
                  <w:b w:val="false"/>
                  <w:strike w:val="false"/>
                  <w:dstrike w:val="false"/>
                  <w:color w:val="000000"/>
                  <w:sz w:val="20"/>
                  <w:u w:val="none"/>
                  <w:effect w:val="non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39">
              <w:r>
                <w:rPr>
                  <w:rStyle w:val="InternetLink"/>
                  <w:rFonts w:ascii="Arial;sans-serif" w:hAnsi="Arial;sans-serif"/>
                  <w:b w:val="false"/>
                  <w:strike w:val="false"/>
                  <w:dstrike w:val="false"/>
                  <w:color w:val="000000"/>
                  <w:sz w:val="20"/>
                  <w:u w:val="none"/>
                  <w:effect w:val="none"/>
                </w:rPr>
                <w:t>42</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42">
              <w:r>
                <w:rPr>
                  <w:rStyle w:val="InternetLink"/>
                  <w:rFonts w:ascii="Arial;sans-serif" w:hAnsi="Arial;sans-serif"/>
                  <w:b w:val="false"/>
                  <w:strike w:val="false"/>
                  <w:dstrike w:val="false"/>
                  <w:color w:val="000000"/>
                  <w:sz w:val="20"/>
                  <w:u w:val="none"/>
                  <w:effect w:val="non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42">
              <w:r>
                <w:rPr>
                  <w:rStyle w:val="InternetLink"/>
                  <w:rFonts w:ascii="Arial;sans-serif" w:hAnsi="Arial;sans-serif"/>
                  <w:b w:val="false"/>
                  <w:strike w:val="false"/>
                  <w:dstrike w:val="false"/>
                  <w:color w:val="000000"/>
                  <w:sz w:val="20"/>
                  <w:u w:val="none"/>
                  <w:effect w:val="none"/>
                </w:rPr>
                <w:t>42</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45">
              <w:r>
                <w:rPr>
                  <w:rStyle w:val="InternetLink"/>
                  <w:rFonts w:ascii="Arial;sans-serif" w:hAnsi="Arial;sans-serif"/>
                  <w:b w:val="false"/>
                  <w:strike w:val="false"/>
                  <w:dstrike w:val="false"/>
                  <w:color w:val="000000"/>
                  <w:sz w:val="20"/>
                  <w:u w:val="none"/>
                  <w:effect w:val="non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45">
              <w:r>
                <w:rPr>
                  <w:rStyle w:val="InternetLink"/>
                  <w:rFonts w:ascii="Arial;sans-serif" w:hAnsi="Arial;sans-serif"/>
                  <w:b w:val="false"/>
                  <w:strike w:val="false"/>
                  <w:dstrike w:val="false"/>
                  <w:color w:val="000000"/>
                  <w:sz w:val="20"/>
                  <w:u w:val="none"/>
                  <w:effect w:val="none"/>
                </w:rPr>
                <w:t>43</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48">
              <w:r>
                <w:rPr>
                  <w:rStyle w:val="InternetLink"/>
                  <w:rFonts w:ascii="Arial;sans-serif" w:hAnsi="Arial;sans-serif"/>
                  <w:b w:val="false"/>
                  <w:strike w:val="false"/>
                  <w:dstrike w:val="false"/>
                  <w:color w:val="000000"/>
                  <w:sz w:val="20"/>
                  <w:u w:val="none"/>
                  <w:effect w:val="non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48">
              <w:r>
                <w:rPr>
                  <w:rStyle w:val="InternetLink"/>
                  <w:rFonts w:ascii="Arial;sans-serif" w:hAnsi="Arial;sans-serif"/>
                  <w:b w:val="false"/>
                  <w:strike w:val="false"/>
                  <w:dstrike w:val="false"/>
                  <w:color w:val="000000"/>
                  <w:sz w:val="20"/>
                  <w:u w:val="none"/>
                  <w:effect w:val="none"/>
                </w:rPr>
                <w:t>43</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51">
              <w:r>
                <w:rPr>
                  <w:rStyle w:val="InternetLink"/>
                  <w:rFonts w:ascii="Arial;sans-serif" w:hAnsi="Arial;sans-serif"/>
                  <w:b w:val="false"/>
                  <w:strike w:val="false"/>
                  <w:dstrike w:val="false"/>
                  <w:color w:val="000000"/>
                  <w:sz w:val="20"/>
                  <w:u w:val="none"/>
                  <w:effect w:val="non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51">
              <w:r>
                <w:rPr>
                  <w:rStyle w:val="InternetLink"/>
                  <w:rFonts w:ascii="Arial;sans-serif" w:hAnsi="Arial;sans-serif"/>
                  <w:b w:val="false"/>
                  <w:strike w:val="false"/>
                  <w:dstrike w:val="false"/>
                  <w:color w:val="000000"/>
                  <w:sz w:val="20"/>
                  <w:u w:val="none"/>
                  <w:effect w:val="none"/>
                </w:rPr>
                <w:t>43</w:t>
              </w:r>
            </w:hyperlink>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57">
              <w:r>
                <w:rPr>
                  <w:rStyle w:val="InternetLink"/>
                  <w:rFonts w:ascii="Arial;sans-serif" w:hAnsi="Arial;sans-serif"/>
                  <w:b w:val="false"/>
                  <w:strike w:val="false"/>
                  <w:dstrike w:val="false"/>
                  <w:color w:val="000000"/>
                  <w:sz w:val="20"/>
                  <w:u w:val="none"/>
                  <w:effect w:val="non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57">
              <w:r>
                <w:rPr>
                  <w:rStyle w:val="InternetLink"/>
                  <w:rFonts w:ascii="Arial;sans-serif" w:hAnsi="Arial;sans-serif"/>
                  <w:b w:val="false"/>
                  <w:strike w:val="false"/>
                  <w:dstrike w:val="false"/>
                  <w:color w:val="000000"/>
                  <w:sz w:val="20"/>
                  <w:u w:val="none"/>
                  <w:effect w:val="none"/>
                </w:rPr>
                <w:t>44</w:t>
              </w:r>
            </w:hyperlink>
          </w:p>
        </w:tc>
      </w:tr>
      <w:tr>
        <w:trPr/>
        <w:tc>
          <w:tcPr>
            <w:tcW w:w="8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19e90a53de4f919bc17ff3f5e23102_160">
              <w:r>
                <w:rPr>
                  <w:rStyle w:val="InternetLink"/>
                  <w:rFonts w:ascii="Arial;sans-serif" w:hAnsi="Arial;sans-serif"/>
                  <w:b/>
                  <w:strike w:val="false"/>
                  <w:dstrike w:val="false"/>
                  <w:color w:val="000000"/>
                  <w:sz w:val="20"/>
                  <w:u w:val="none"/>
                  <w:effect w:val="non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19e90a53de4f919bc17ff3f5e23102_160">
              <w:r>
                <w:rPr>
                  <w:rStyle w:val="InternetLink"/>
                  <w:rFonts w:ascii="Arial;sans-serif" w:hAnsi="Arial;sans-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31F20"/>
          <w:sz w:val="20"/>
        </w:rPr>
      </w:pPr>
      <w:r>
        <w:rPr>
          <w:rFonts w:ascii="Arial;sans-serif" w:hAnsi="Arial;sans-serif"/>
          <w:b/>
          <w:color w:val="231F2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31F20"/>
          <w:sz w:val="20"/>
        </w:rPr>
        <w:t>This Quarterly Report on Form 10-Q (this “Form 10-Q”)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w:t>
      </w:r>
      <w:r>
        <w:rPr>
          <w:rFonts w:ascii="Arial;sans-serif" w:hAnsi="Arial;sans-serif"/>
          <w:b w:val="false"/>
          <w:color w:val="000000"/>
          <w:sz w:val="20"/>
        </w:rPr>
        <w:t>tations and projections of our future financial performance, future tests or products, technology, clinical studies, review of our clinical data by the FDA Molecular and Clinical Genetics Panel of the Medical Devices Advisory Committee and the timing thereof, regulatory landscape, compliance and strategy, potential market opportunity, increased competition, anticipated growth strategies including international expansion, sufficiency of cash on hand to finance our business, seasonality, cost savings, facilities plans and lease commencement, budgets and strategies, restructuring and stock-based compensation costs, legal proceedings, impact of the restructuring on our operations, anticipated benefits from our collaboration with Samsung, and anticipated trends in our business.</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231F20"/>
          <w:sz w:val="20"/>
        </w:rPr>
      </w:pPr>
      <w:r>
        <w:rPr>
          <w:rFonts w:ascii="Arial;sans-serif" w:hAnsi="Arial;sans-serif"/>
          <w:b w:val="false"/>
          <w:color w:val="231F20"/>
          <w:sz w:val="20"/>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Item 1A. “Risk Factors” in this Form 10-Q and in our Annual Report on Form 10-K (filed on March 12, 2026) for the year ended December 31, 2025 (the “2025 Form 10-K”). You should specifically consider the numerous risks described under these sections.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pStyle w:val="TextBody"/>
        <w:bidi w:val="0"/>
        <w:spacing w:lineRule="auto" w:line="288" w:before="0" w:after="240"/>
        <w:jc w:val="left"/>
        <w:rPr>
          <w:rFonts w:ascii="Arial;sans-serif" w:hAnsi="Arial;sans-serif"/>
          <w:b w:val="false"/>
          <w:color w:val="231F20"/>
          <w:sz w:val="20"/>
        </w:rPr>
      </w:pPr>
      <w:r>
        <w:rPr>
          <w:rFonts w:ascii="Arial;sans-serif" w:hAnsi="Arial;sans-serif"/>
          <w:b w:val="false"/>
          <w:color w:val="231F20"/>
          <w:sz w:val="20"/>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Form 10-Q to conform our prior statements to actual results or revised expectations or to reflect new information or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31F20"/>
          <w:sz w:val="20"/>
        </w:rPr>
      </w:pPr>
      <w:r>
        <w:rPr>
          <w:rFonts w:ascii="Arial;sans-serif" w:hAnsi="Arial;sans-serif"/>
          <w:b/>
          <w:color w:val="231F2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CONDENSED CONSOLIDATED BALANCE SHEETS </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(amounts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47"/>
        <w:gridCol w:w="2197"/>
        <w:gridCol w:w="2195"/>
        <w:gridCol w:w="211"/>
        <w:gridCol w:w="976"/>
        <w:gridCol w:w="109"/>
        <w:gridCol w:w="109"/>
        <w:gridCol w:w="109"/>
        <w:gridCol w:w="109"/>
        <w:gridCol w:w="211"/>
        <w:gridCol w:w="976"/>
        <w:gridCol w:w="156"/>
      </w:tblGrid>
      <w:tr>
        <w:trPr/>
        <w:tc>
          <w:tcPr>
            <w:tcW w:w="284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w:t>
              <w:br/>
              <w:t>2025</w:t>
            </w:r>
          </w:p>
        </w:tc>
      </w:tr>
      <w:tr>
        <w:trPr/>
        <w:tc>
          <w:tcPr>
            <w:tcW w:w="7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Short-term 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654,703 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Supplies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914,722 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1,850,556 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2,922,015 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Liabilities and stockholders’ equity</w:t>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Current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79,670 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Deferred tax liability,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Preferred stock, par value of $0.001 per share; 50,000,000 shares authorized, no shares issued and outstanding as of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Common stock $0.001 par value per share, 1,500,000,000 shares authorized as of June 30, 2026 and December 31, 2025 and 44,666,234 and 40,331,360 shares issued and outstanding as of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12,955,884 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12,786,848 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(10,415,115)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(10,211,681)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2,577,862 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2,922,015 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231F20"/>
          <w:sz w:val="20"/>
        </w:rPr>
        <w:t>See accompanying notes to condensed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w:t>
                      </w:r>
                    </w:p>
                  </w:txbxContent>
                </v:textbox>
                <w10:wrap type="none"/>
              </v:rect>
            </w:pict>
          </mc:Fallback>
        </mc:AlternateContent>
      </w:r>
    </w:p>
    <w:p>
      <w:pPr>
        <w:pStyle w:val="TextBody"/>
        <w:bidi w:val="0"/>
        <w:spacing w:before="360" w:after="283"/>
        <w:jc w:val="center"/>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CONDENSED CONSOLIDATED STATEMENTS OF OPERATIONS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(amounts in thousands, except share and per share data)</w:t>
      </w:r>
    </w:p>
    <w:p>
      <w:pPr>
        <w:pStyle w:val="TextBody"/>
        <w:bidi w:val="0"/>
        <w:spacing w:before="360" w:after="283"/>
        <w:jc w:val="center"/>
        <w:rPr/>
      </w:pPr>
      <w:r>
        <w:rPr/>
      </w:r>
    </w:p>
    <w:tbl>
      <w:tblPr>
        <w:tblW w:w="10205" w:type="dxa"/>
        <w:jc w:val="left"/>
        <w:tblInd w:w="0" w:type="dxa"/>
        <w:tblLayout w:type="fixed"/>
        <w:tblCellMar>
          <w:top w:w="28" w:type="dxa"/>
          <w:left w:w="28" w:type="dxa"/>
          <w:bottom w:w="28" w:type="dxa"/>
          <w:right w:w="28" w:type="dxa"/>
        </w:tblCellMar>
      </w:tblPr>
      <w:tblGrid>
        <w:gridCol w:w="1777"/>
        <w:gridCol w:w="1281"/>
        <w:gridCol w:w="1293"/>
        <w:gridCol w:w="211"/>
        <w:gridCol w:w="886"/>
        <w:gridCol w:w="109"/>
        <w:gridCol w:w="109"/>
        <w:gridCol w:w="109"/>
        <w:gridCol w:w="109"/>
        <w:gridCol w:w="211"/>
        <w:gridCol w:w="886"/>
        <w:gridCol w:w="109"/>
        <w:gridCol w:w="109"/>
        <w:gridCol w:w="109"/>
        <w:gridCol w:w="109"/>
        <w:gridCol w:w="211"/>
        <w:gridCol w:w="886"/>
        <w:gridCol w:w="109"/>
        <w:gridCol w:w="109"/>
        <w:gridCol w:w="109"/>
        <w:gridCol w:w="109"/>
        <w:gridCol w:w="211"/>
        <w:gridCol w:w="886"/>
        <w:gridCol w:w="158"/>
      </w:tblGrid>
      <w:tr>
        <w:trPr/>
        <w:tc>
          <w:tcPr>
            <w:tcW w:w="177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Revenue:</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 revenue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revenue</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Costs and operating expenses: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screening revenue (exclusive of amortization of intangible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development services revenue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revenue — amortization of intangible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Research and development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Sales and marketing</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General and administrative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82,988 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and other assets impairment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costs and operating expenses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379,842 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Loss from operations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(312,461)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Other income: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Interest income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income (expense),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other income, net</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Loss before income taxes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(299,268)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79,070 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(220,198)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loss per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(6.28)</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Weighted-average shares of common stock used in computing net loss per share: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43,112,595 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35,793,154 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41,883,565 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35,054,896 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240" w:after="283"/>
        <w:jc w:val="center"/>
        <w:rPr>
          <w:rFonts w:ascii="Arial;sans-serif" w:hAnsi="Arial;sans-serif"/>
          <w:b w:val="false"/>
          <w:color w:val="231F20"/>
          <w:sz w:val="20"/>
        </w:rPr>
      </w:pPr>
      <w:r>
        <w:rPr>
          <w:rFonts w:ascii="Arial;sans-serif" w:hAnsi="Arial;sans-serif"/>
          <w:b w:val="false"/>
          <w:color w:val="231F2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w:t>
                      </w:r>
                    </w:p>
                  </w:txbxContent>
                </v:textbox>
                <w10:wrap type="none"/>
              </v:rect>
            </w:pict>
          </mc:Fallback>
        </mc:AlternateContent>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CONDENSED CONSOLIDATED STATEMENTS OF COMPREHENSIVE LOSS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(amounts in thousands)</w:t>
      </w:r>
    </w:p>
    <w:p>
      <w:pPr>
        <w:pStyle w:val="TextBody"/>
        <w:bidi w:val="0"/>
        <w:spacing w:before="0" w:after="0"/>
        <w:jc w:val="center"/>
        <w:rPr/>
      </w:pPr>
      <w:r>
        <w:rPr/>
      </w:r>
    </w:p>
    <w:p>
      <w:pPr>
        <w:pStyle w:val="TextBody"/>
        <w:bidi w:val="0"/>
        <w:spacing w:before="360" w:after="283"/>
        <w:jc w:val="center"/>
        <w:rPr/>
      </w:pPr>
      <w:r>
        <w:rPr/>
      </w:r>
    </w:p>
    <w:tbl>
      <w:tblPr>
        <w:tblW w:w="10205" w:type="dxa"/>
        <w:jc w:val="left"/>
        <w:tblInd w:w="0" w:type="dxa"/>
        <w:tblLayout w:type="fixed"/>
        <w:tblCellMar>
          <w:top w:w="28" w:type="dxa"/>
          <w:left w:w="28" w:type="dxa"/>
          <w:bottom w:w="28" w:type="dxa"/>
          <w:right w:w="28" w:type="dxa"/>
        </w:tblCellMar>
      </w:tblPr>
      <w:tblGrid>
        <w:gridCol w:w="1566"/>
        <w:gridCol w:w="1369"/>
        <w:gridCol w:w="1380"/>
        <w:gridCol w:w="211"/>
        <w:gridCol w:w="895"/>
        <w:gridCol w:w="109"/>
        <w:gridCol w:w="109"/>
        <w:gridCol w:w="109"/>
        <w:gridCol w:w="109"/>
        <w:gridCol w:w="211"/>
        <w:gridCol w:w="895"/>
        <w:gridCol w:w="109"/>
        <w:gridCol w:w="109"/>
        <w:gridCol w:w="109"/>
        <w:gridCol w:w="109"/>
        <w:gridCol w:w="211"/>
        <w:gridCol w:w="895"/>
        <w:gridCol w:w="109"/>
        <w:gridCol w:w="109"/>
        <w:gridCol w:w="109"/>
        <w:gridCol w:w="109"/>
        <w:gridCol w:w="211"/>
        <w:gridCol w:w="895"/>
        <w:gridCol w:w="158"/>
      </w:tblGrid>
      <w:tr>
        <w:trPr/>
        <w:tc>
          <w:tcPr>
            <w:tcW w:w="15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43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(220,198)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comprehensive income (loss):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Change in net unrealized loss on marketable securities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Foreign currency translation adjustment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(110,280)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(113,348)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(204,249)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(219,346)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Arial;sans-serif" w:hAnsi="Arial;sans-serif"/>
          <w:b w:val="false"/>
          <w:color w:val="231F20"/>
          <w:sz w:val="20"/>
        </w:rPr>
        <w:t>See accompanying notes to condensed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CONDENSED CONSOLIDATED</w:t>
      </w:r>
      <w:r>
        <w:rPr>
          <w:color w:val="231F20"/>
        </w:rPr>
        <w:t xml:space="preserve"> </w:t>
      </w:r>
      <w:r>
        <w:rPr>
          <w:rFonts w:ascii="Adelle Sans;sans-serif" w:hAnsi="Adelle Sans;sans-serif"/>
          <w:b/>
          <w:color w:val="231F20"/>
          <w:sz w:val="20"/>
        </w:rPr>
        <w:t>STATEMENTS</w:t>
      </w:r>
      <w:r>
        <w:rPr>
          <w:color w:val="231F20"/>
        </w:rPr>
        <w:t xml:space="preserve"> </w:t>
      </w:r>
      <w:r>
        <w:rPr>
          <w:rFonts w:ascii="Adelle Sans;sans-serif" w:hAnsi="Adelle Sans;sans-serif"/>
          <w:b/>
          <w:color w:val="231F20"/>
          <w:sz w:val="20"/>
        </w:rPr>
        <w:t>OF</w:t>
      </w:r>
      <w:r>
        <w:rPr>
          <w:color w:val="231F20"/>
        </w:rPr>
        <w:t xml:space="preserve"> </w:t>
      </w:r>
      <w:r>
        <w:rPr>
          <w:rFonts w:ascii="Adelle Sans;sans-serif" w:hAnsi="Adelle Sans;sans-serif"/>
          <w:b/>
          <w:color w:val="231F20"/>
          <w:sz w:val="20"/>
        </w:rPr>
        <w:t>STOCKHOLDERS’ EQUITY</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(amounts in thousands, except share data)</w:t>
      </w:r>
    </w:p>
    <w:tbl>
      <w:tblPr>
        <w:tblW w:w="10791" w:type="dxa"/>
        <w:jc w:val="center"/>
        <w:tblInd w:w="0" w:type="dxa"/>
        <w:tblLayout w:type="fixed"/>
        <w:tblCellMar>
          <w:top w:w="28" w:type="dxa"/>
          <w:left w:w="28" w:type="dxa"/>
          <w:bottom w:w="28" w:type="dxa"/>
          <w:right w:w="28" w:type="dxa"/>
        </w:tblCellMar>
      </w:tblPr>
      <w:tblGrid>
        <w:gridCol w:w="730"/>
        <w:gridCol w:w="325"/>
        <w:gridCol w:w="326"/>
        <w:gridCol w:w="540"/>
        <w:gridCol w:w="541"/>
        <w:gridCol w:w="216"/>
        <w:gridCol w:w="109"/>
        <w:gridCol w:w="109"/>
        <w:gridCol w:w="109"/>
        <w:gridCol w:w="232"/>
        <w:gridCol w:w="398"/>
        <w:gridCol w:w="121"/>
        <w:gridCol w:w="109"/>
        <w:gridCol w:w="109"/>
        <w:gridCol w:w="109"/>
        <w:gridCol w:w="109"/>
        <w:gridCol w:w="109"/>
        <w:gridCol w:w="211"/>
        <w:gridCol w:w="1081"/>
        <w:gridCol w:w="109"/>
        <w:gridCol w:w="109"/>
        <w:gridCol w:w="109"/>
        <w:gridCol w:w="109"/>
        <w:gridCol w:w="304"/>
        <w:gridCol w:w="889"/>
        <w:gridCol w:w="158"/>
        <w:gridCol w:w="109"/>
        <w:gridCol w:w="109"/>
        <w:gridCol w:w="109"/>
        <w:gridCol w:w="211"/>
        <w:gridCol w:w="1096"/>
        <w:gridCol w:w="109"/>
        <w:gridCol w:w="109"/>
        <w:gridCol w:w="109"/>
        <w:gridCol w:w="109"/>
        <w:gridCol w:w="211"/>
        <w:gridCol w:w="976"/>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Accumulated</w:t>
            </w:r>
          </w:p>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Other</w:t>
            </w:r>
          </w:p>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Comprehensive</w:t>
            </w:r>
          </w:p>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Total Stockholders’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at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40,331,360 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12,786,848 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(10,211,681)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2,577,862 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Release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802,859 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at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41,134,219 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12,803,640 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(10,304,868)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2,500,686 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(110,247)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(110,247)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Issuance of common stock under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87,446 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Release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1,874,261 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Issuance of common stock and recognition of the Samsung Stock Purchase Agreement, including the deferred asset, net of tax benefit and issuance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1,570,308 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128,098 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at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44,666,234 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12,955,884 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(10,415,115)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2,542,654 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CONDENSED CONSOLIDATED</w:t>
      </w:r>
      <w:r>
        <w:rPr>
          <w:color w:val="231F20"/>
        </w:rPr>
        <w:t xml:space="preserve"> </w:t>
      </w:r>
      <w:r>
        <w:rPr>
          <w:rFonts w:ascii="Adelle Sans;sans-serif" w:hAnsi="Adelle Sans;sans-serif"/>
          <w:b/>
          <w:color w:val="231F20"/>
          <w:sz w:val="20"/>
        </w:rPr>
        <w:t>STATEMENTS</w:t>
      </w:r>
      <w:r>
        <w:rPr>
          <w:color w:val="231F20"/>
        </w:rPr>
        <w:t xml:space="preserve"> </w:t>
      </w:r>
      <w:r>
        <w:rPr>
          <w:rFonts w:ascii="Adelle Sans;sans-serif" w:hAnsi="Adelle Sans;sans-serif"/>
          <w:b/>
          <w:color w:val="231F20"/>
          <w:sz w:val="20"/>
        </w:rPr>
        <w:t>OF</w:t>
      </w:r>
      <w:r>
        <w:rPr>
          <w:color w:val="231F20"/>
        </w:rPr>
        <w:t xml:space="preserve"> </w:t>
      </w:r>
      <w:r>
        <w:rPr>
          <w:rFonts w:ascii="Adelle Sans;sans-serif" w:hAnsi="Adelle Sans;sans-serif"/>
          <w:b/>
          <w:color w:val="231F20"/>
          <w:sz w:val="20"/>
        </w:rPr>
        <w:t>STOCKHOLDERS’ EQUITY</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(amounts in thousands, except share data)</w:t>
      </w:r>
    </w:p>
    <w:tbl>
      <w:tblPr>
        <w:tblW w:w="10791" w:type="dxa"/>
        <w:jc w:val="left"/>
        <w:tblInd w:w="0" w:type="dxa"/>
        <w:tblLayout w:type="fixed"/>
        <w:tblCellMar>
          <w:top w:w="28" w:type="dxa"/>
          <w:left w:w="28" w:type="dxa"/>
          <w:bottom w:w="28" w:type="dxa"/>
          <w:right w:w="28" w:type="dxa"/>
        </w:tblCellMar>
      </w:tblPr>
      <w:tblGrid>
        <w:gridCol w:w="730"/>
        <w:gridCol w:w="325"/>
        <w:gridCol w:w="326"/>
        <w:gridCol w:w="540"/>
        <w:gridCol w:w="541"/>
        <w:gridCol w:w="216"/>
        <w:gridCol w:w="109"/>
        <w:gridCol w:w="109"/>
        <w:gridCol w:w="109"/>
        <w:gridCol w:w="232"/>
        <w:gridCol w:w="398"/>
        <w:gridCol w:w="121"/>
        <w:gridCol w:w="109"/>
        <w:gridCol w:w="109"/>
        <w:gridCol w:w="109"/>
        <w:gridCol w:w="109"/>
        <w:gridCol w:w="109"/>
        <w:gridCol w:w="211"/>
        <w:gridCol w:w="1081"/>
        <w:gridCol w:w="109"/>
        <w:gridCol w:w="109"/>
        <w:gridCol w:w="109"/>
        <w:gridCol w:w="109"/>
        <w:gridCol w:w="304"/>
        <w:gridCol w:w="889"/>
        <w:gridCol w:w="158"/>
        <w:gridCol w:w="109"/>
        <w:gridCol w:w="109"/>
        <w:gridCol w:w="109"/>
        <w:gridCol w:w="211"/>
        <w:gridCol w:w="1096"/>
        <w:gridCol w:w="109"/>
        <w:gridCol w:w="109"/>
        <w:gridCol w:w="109"/>
        <w:gridCol w:w="109"/>
        <w:gridCol w:w="211"/>
        <w:gridCol w:w="976"/>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Total Stockholders’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33,893,409 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12,305,250 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(9,803,330)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2,503,405 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(106,213)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(106,213)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comprehensive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Release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1,403,449 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as of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35,296,858 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12,321,510 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(9,909,543)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2,413,668 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Release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750,941 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as of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36,047,799 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12,335,832 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2,303 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(10,023,528)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2,314,643 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pPr>
      <w:r>
        <w:rPr>
          <w:rFonts w:ascii="Arial;sans-serif" w:hAnsi="Arial;sans-serif"/>
          <w:b w:val="false"/>
          <w:color w:val="231F20"/>
          <w:sz w:val="20"/>
        </w:rPr>
        <w:t>See accompanying notes to condensed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6</w:t>
                      </w:r>
                    </w:p>
                  </w:txbxContent>
                </v:textbox>
                <w10:wrap type="none"/>
              </v:rect>
            </w:pict>
          </mc:Fallback>
        </mc:AlternateContent>
      </w:r>
    </w:p>
    <w:p>
      <w:pPr>
        <w:pStyle w:val="TextBody"/>
        <w:bidi w:val="0"/>
        <w:spacing w:before="360" w:after="283"/>
        <w:jc w:val="center"/>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GRAIL, Inc. </w:t>
      </w:r>
    </w:p>
    <w:p>
      <w:pPr>
        <w:pStyle w:val="TextBody"/>
        <w:bidi w:val="0"/>
        <w:spacing w:lineRule="auto" w:line="288" w:before="0" w:after="0"/>
        <w:jc w:val="center"/>
        <w:rPr/>
      </w:pPr>
      <w:r>
        <w:rPr>
          <w:rFonts w:ascii="Arial;sans-serif" w:hAnsi="Arial;sans-serif"/>
          <w:b/>
          <w:color w:val="231F20"/>
          <w:sz w:val="20"/>
        </w:rPr>
        <w:t>CONDENSED CONSOLIDATED</w:t>
      </w:r>
      <w:r>
        <w:rPr>
          <w:color w:val="231F20"/>
        </w:rPr>
        <w:t xml:space="preserve"> </w:t>
      </w:r>
      <w:r>
        <w:rPr>
          <w:rFonts w:ascii="Arial;sans-serif" w:hAnsi="Arial;sans-serif"/>
          <w:b/>
          <w:color w:val="231F20"/>
          <w:sz w:val="20"/>
        </w:rPr>
        <w:t>STATEMENTS</w:t>
      </w:r>
      <w:r>
        <w:rPr>
          <w:color w:val="231F20"/>
        </w:rPr>
        <w:t xml:space="preserve"> </w:t>
      </w:r>
      <w:r>
        <w:rPr>
          <w:rFonts w:ascii="Arial;sans-serif" w:hAnsi="Arial;sans-serif"/>
          <w:b/>
          <w:color w:val="231F20"/>
          <w:sz w:val="20"/>
        </w:rPr>
        <w:t>OF</w:t>
      </w:r>
      <w:r>
        <w:rPr>
          <w:color w:val="231F20"/>
        </w:rPr>
        <w:t xml:space="preserve"> </w:t>
      </w:r>
      <w:r>
        <w:rPr>
          <w:rFonts w:ascii="Arial;sans-serif" w:hAnsi="Arial;sans-serif"/>
          <w:b/>
          <w:color w:val="231F20"/>
          <w:sz w:val="20"/>
        </w:rPr>
        <w:t>CASH FLOWS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(amounts in thousands)</w:t>
      </w:r>
    </w:p>
    <w:tbl>
      <w:tblPr>
        <w:tblW w:w="10205" w:type="dxa"/>
        <w:jc w:val="center"/>
        <w:tblInd w:w="0" w:type="dxa"/>
        <w:tblLayout w:type="fixed"/>
        <w:tblCellMar>
          <w:top w:w="28" w:type="dxa"/>
          <w:left w:w="28" w:type="dxa"/>
          <w:bottom w:w="28" w:type="dxa"/>
          <w:right w:w="28" w:type="dxa"/>
        </w:tblCellMar>
      </w:tblPr>
      <w:tblGrid>
        <w:gridCol w:w="2711"/>
        <w:gridCol w:w="2342"/>
        <w:gridCol w:w="2352"/>
        <w:gridCol w:w="211"/>
        <w:gridCol w:w="893"/>
        <w:gridCol w:w="109"/>
        <w:gridCol w:w="109"/>
        <w:gridCol w:w="109"/>
        <w:gridCol w:w="109"/>
        <w:gridCol w:w="211"/>
        <w:gridCol w:w="893"/>
        <w:gridCol w:w="156"/>
      </w:tblGrid>
      <w:tr>
        <w:trPr/>
        <w:tc>
          <w:tcPr>
            <w:tcW w:w="2711"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7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Cash flows from operating activities</w:t>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(220,198)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Adjustments to reconcile net loss to net cash used by operating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Amortization of intangible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Depreciation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Stock-based compensation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Deferred income taxes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(79,070)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Amortization of discount on marketable securities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(11,811)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and other assets impairment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Credit loss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Changes in operating assets and liabilities: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Accounts receivable,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Supplies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right-of-use assets and liabilities,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Prepaid expenses and other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Accounts payable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Accrued and other liabilities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cash used in operating activities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(167,719)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(171,977)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Cash flows from investing activities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Purchases of property and equipment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Purchases of marketable securities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(800,279)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(502,489)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Proceeds from maturities of marketable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587,900 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cash (used in) provided by investing activities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(140,014)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84,980 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Cash flows from financing activities</w:t>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Issuance of common stock under ESPP</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Proceeds from issuance of common stock in connection with the Samsung SPA, net of issuance costs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cash provided by financing activities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Effect of exchange rate changes on cash, cash equivalents, and restricted cash</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decrease in cash, cash equivalents, and restricted cash</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(194,082)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(86,807)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Cash, cash equivalents and restricted cash — beginning of period</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217,583 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Cash, cash equivalents and restricted cash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130,776 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Represented by:</w:t>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127,427 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Restricted cash</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130,776 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Supplemental cash flow information:</w:t>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Property and equipment included in 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cash flows paid for operating leases,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(8,671)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45,139 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Tax benefit recognized in connection with the Samsung SPA deferred asset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240" w:after="283"/>
        <w:jc w:val="center"/>
        <w:rPr>
          <w:rFonts w:ascii="Arial;sans-serif" w:hAnsi="Arial;sans-serif"/>
          <w:b w:val="false"/>
          <w:color w:val="231F20"/>
          <w:sz w:val="20"/>
        </w:rPr>
      </w:pPr>
      <w:r>
        <w:rPr>
          <w:rFonts w:ascii="Arial;sans-serif" w:hAnsi="Arial;sans-serif"/>
          <w:b w:val="false"/>
          <w:color w:val="231F2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NOTES TO CONDENSED CONSOLIDATED FINANCIAL 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231F20"/>
          <w:sz w:val="20"/>
        </w:rPr>
        <w:t>NOTE 1.</w:t>
      </w:r>
      <w:r>
        <w:rPr>
          <w:color w:val="231F20"/>
        </w:rPr>
        <w:t xml:space="preserve"> </w:t>
      </w:r>
      <w:r>
        <w:rPr>
          <w:rFonts w:ascii="Arial;sans-serif" w:hAnsi="Arial;sans-serif"/>
          <w:b/>
          <w:color w:val="231F20"/>
          <w:sz w:val="20"/>
        </w:rPr>
        <w:t>ORGANIZATION AND DESCRIPTION OF BUSINESS</w:t>
      </w:r>
    </w:p>
    <w:p>
      <w:pPr>
        <w:pStyle w:val="TextBody"/>
        <w:bidi w:val="0"/>
        <w:spacing w:lineRule="auto" w:line="288" w:before="240" w:after="283"/>
        <w:ind w:left="0" w:right="0" w:firstLine="450"/>
        <w:jc w:val="left"/>
        <w:rPr/>
      </w:pPr>
      <w:r>
        <w:rPr>
          <w:rFonts w:ascii="Arial;sans-serif" w:hAnsi="Arial;sans-serif"/>
          <w:b w:val="false"/>
          <w:color w:val="231F20"/>
          <w:sz w:val="20"/>
        </w:rPr>
        <w:t>GRAIL, Inc. (“GRAIL” or the “Company”),</w:t>
      </w:r>
      <w:r>
        <w:rPr>
          <w:color w:val="231F20"/>
        </w:rPr>
        <w:t xml:space="preserve"> </w:t>
      </w:r>
      <w:r>
        <w:rPr>
          <w:rFonts w:ascii="Arial;sans-serif" w:hAnsi="Arial;sans-serif"/>
          <w:b w:val="false"/>
          <w:color w:val="231F20"/>
          <w:sz w:val="20"/>
        </w:rPr>
        <w:t>is an innovative</w:t>
      </w:r>
      <w:r>
        <w:rPr>
          <w:color w:val="231F20"/>
        </w:rPr>
        <w:t xml:space="preserve"> </w:t>
      </w:r>
      <w:r>
        <w:rPr>
          <w:rFonts w:ascii="Arial;sans-serif" w:hAnsi="Arial;sans-serif"/>
          <w:b w:val="false"/>
          <w:color w:val="231F20"/>
          <w:sz w:val="20"/>
        </w:rPr>
        <w:t>commercial-stage</w:t>
      </w:r>
      <w:r>
        <w:rPr>
          <w:color w:val="231F20"/>
        </w:rPr>
        <w:t xml:space="preserve"> </w:t>
      </w:r>
      <w:r>
        <w:rPr>
          <w:rFonts w:ascii="Arial;sans-serif" w:hAnsi="Arial;sans-serif"/>
          <w:b w:val="false"/>
          <w:color w:val="231F20"/>
          <w:sz w:val="20"/>
        </w:rPr>
        <w:t>healthcare</w:t>
      </w:r>
      <w:r>
        <w:rPr>
          <w:color w:val="231F20"/>
        </w:rPr>
        <w:t xml:space="preserve"> </w:t>
      </w:r>
      <w:r>
        <w:rPr>
          <w:rFonts w:ascii="Arial;sans-serif" w:hAnsi="Arial;sans-serif"/>
          <w:b w:val="false"/>
          <w:color w:val="231F20"/>
          <w:sz w:val="20"/>
        </w:rPr>
        <w:t>company focused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shifting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paradigm</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early</w:t>
      </w:r>
      <w:r>
        <w:rPr>
          <w:color w:val="231F20"/>
        </w:rPr>
        <w:t xml:space="preserve"> </w:t>
      </w:r>
      <w:r>
        <w:rPr>
          <w:rFonts w:ascii="Arial;sans-serif" w:hAnsi="Arial;sans-serif"/>
          <w:b w:val="false"/>
          <w:color w:val="231F20"/>
          <w:sz w:val="20"/>
        </w:rPr>
        <w:t>cancer</w:t>
      </w:r>
      <w:r>
        <w:rPr>
          <w:color w:val="231F20"/>
        </w:rPr>
        <w:t xml:space="preserve"> </w:t>
      </w:r>
      <w:r>
        <w:rPr>
          <w:rFonts w:ascii="Arial;sans-serif" w:hAnsi="Arial;sans-serif"/>
          <w:b w:val="false"/>
          <w:color w:val="231F20"/>
          <w:sz w:val="20"/>
        </w:rPr>
        <w:t>detection.</w:t>
      </w:r>
      <w:r>
        <w:rPr>
          <w:color w:val="231F20"/>
        </w:rPr>
        <w:t xml:space="preserve"> </w:t>
      </w:r>
      <w:r>
        <w:rPr>
          <w:rFonts w:ascii="Arial;sans-serif" w:hAnsi="Arial;sans-serif"/>
          <w:b w:val="false"/>
          <w:color w:val="231F20"/>
          <w:sz w:val="20"/>
        </w:rPr>
        <w:t>The Company’s Galleri</w:t>
      </w:r>
      <w:r>
        <w:rPr>
          <w:color w:val="231F20"/>
        </w:rPr>
        <w:t xml:space="preserve"> </w:t>
      </w:r>
      <w:r>
        <w:rPr>
          <w:rFonts w:ascii="Arial;sans-serif" w:hAnsi="Arial;sans-serif"/>
          <w:b w:val="false"/>
          <w:color w:val="231F20"/>
          <w:sz w:val="20"/>
        </w:rPr>
        <w:t>blood</w:t>
      </w:r>
      <w:r>
        <w:rPr>
          <w:color w:val="231F20"/>
        </w:rPr>
        <w:t xml:space="preserve"> </w:t>
      </w:r>
      <w:r>
        <w:rPr>
          <w:rFonts w:ascii="Arial;sans-serif" w:hAnsi="Arial;sans-serif"/>
          <w:b w:val="false"/>
          <w:color w:val="231F20"/>
          <w:sz w:val="20"/>
        </w:rPr>
        <w:t xml:space="preserve">test is a commercially available screening test for early detection of multiple types of cancer. GRAIL’s stock is listed on the Nasdaq Stock Exchange under the ticker symbol “GRAL”. </w:t>
      </w:r>
    </w:p>
    <w:p>
      <w:pPr>
        <w:pStyle w:val="TextBody"/>
        <w:bidi w:val="0"/>
        <w:spacing w:lineRule="auto" w:line="288" w:before="240" w:after="283"/>
        <w:ind w:left="0" w:right="0" w:firstLine="450"/>
        <w:jc w:val="left"/>
        <w:rPr/>
      </w:pPr>
      <w:r>
        <w:rPr>
          <w:rFonts w:ascii="Arial;sans-serif" w:hAnsi="Arial;sans-serif"/>
          <w:b w:val="false"/>
          <w:color w:val="231F20"/>
          <w:sz w:val="20"/>
        </w:rPr>
        <w:t>The Company had $55.6 million</w:t>
      </w:r>
      <w:r>
        <w:rPr>
          <w:color w:val="231F20"/>
        </w:rPr>
        <w:t xml:space="preserve"> </w:t>
      </w:r>
      <w:r>
        <w:rPr>
          <w:rFonts w:ascii="Arial;sans-serif" w:hAnsi="Arial;sans-serif"/>
          <w:b w:val="false"/>
          <w:color w:val="231F20"/>
          <w:sz w:val="20"/>
        </w:rPr>
        <w:t>of cash and cash equivalents and $806.0 million</w:t>
      </w:r>
      <w:r>
        <w:rPr>
          <w:color w:val="231F20"/>
        </w:rPr>
        <w:t xml:space="preserve"> </w:t>
      </w:r>
      <w:r>
        <w:rPr>
          <w:rFonts w:ascii="Arial;sans-serif" w:hAnsi="Arial;sans-serif"/>
          <w:b w:val="false"/>
          <w:color w:val="231F20"/>
          <w:sz w:val="20"/>
        </w:rPr>
        <w:t>of short-term marketable securities as of June 30, 2026. The Company</w:t>
      </w:r>
      <w:r>
        <w:rPr>
          <w:color w:val="231F20"/>
        </w:rPr>
        <w:t xml:space="preserve"> </w:t>
      </w:r>
      <w:r>
        <w:rPr>
          <w:rFonts w:ascii="Arial;sans-serif" w:hAnsi="Arial;sans-serif"/>
          <w:b w:val="false"/>
          <w:color w:val="231F20"/>
          <w:sz w:val="20"/>
        </w:rPr>
        <w:t>believes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existing</w:t>
      </w:r>
      <w:r>
        <w:rPr>
          <w:color w:val="231F20"/>
        </w:rPr>
        <w:t xml:space="preserve"> </w:t>
      </w:r>
      <w:r>
        <w:rPr>
          <w:rFonts w:ascii="Arial;sans-serif" w:hAnsi="Arial;sans-serif"/>
          <w:b w:val="false"/>
          <w:color w:val="231F20"/>
          <w:sz w:val="20"/>
        </w:rPr>
        <w:t>cash, cash</w:t>
      </w:r>
      <w:r>
        <w:rPr>
          <w:color w:val="231F20"/>
        </w:rPr>
        <w:t xml:space="preserve"> </w:t>
      </w:r>
      <w:r>
        <w:rPr>
          <w:rFonts w:ascii="Arial;sans-serif" w:hAnsi="Arial;sans-serif"/>
          <w:b w:val="false"/>
          <w:color w:val="231F20"/>
          <w:sz w:val="20"/>
        </w:rPr>
        <w:t>equivalents and short-term marketable securities</w:t>
      </w:r>
      <w:r>
        <w:rPr>
          <w:color w:val="231F20"/>
        </w:rPr>
        <w:t xml:space="preserve"> </w:t>
      </w:r>
      <w:r>
        <w:rPr>
          <w:rFonts w:ascii="Arial;sans-serif" w:hAnsi="Arial;sans-serif"/>
          <w:b w:val="false"/>
          <w:color w:val="231F20"/>
          <w:sz w:val="20"/>
        </w:rPr>
        <w:t>will</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sufficient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meet</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working</w:t>
      </w:r>
      <w:r>
        <w:rPr>
          <w:color w:val="231F20"/>
        </w:rPr>
        <w:t xml:space="preserve"> </w:t>
      </w:r>
      <w:r>
        <w:rPr>
          <w:rFonts w:ascii="Arial;sans-serif" w:hAnsi="Arial;sans-serif"/>
          <w:b w:val="false"/>
          <w:color w:val="231F20"/>
          <w:sz w:val="20"/>
        </w:rPr>
        <w:t>capital</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capital</w:t>
      </w:r>
      <w:r>
        <w:rPr>
          <w:color w:val="231F20"/>
        </w:rPr>
        <w:t xml:space="preserve"> </w:t>
      </w:r>
      <w:r>
        <w:rPr>
          <w:rFonts w:ascii="Arial;sans-serif" w:hAnsi="Arial;sans-serif"/>
          <w:b w:val="false"/>
          <w:color w:val="231F20"/>
          <w:sz w:val="20"/>
        </w:rPr>
        <w:t>expenditure</w:t>
      </w:r>
      <w:r>
        <w:rPr>
          <w:color w:val="231F20"/>
        </w:rPr>
        <w:t xml:space="preserve"> </w:t>
      </w:r>
      <w:r>
        <w:rPr>
          <w:rFonts w:ascii="Arial;sans-serif" w:hAnsi="Arial;sans-serif"/>
          <w:b w:val="false"/>
          <w:color w:val="231F20"/>
          <w:sz w:val="20"/>
        </w:rPr>
        <w:t>needs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least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next</w:t>
      </w:r>
      <w:r>
        <w:rPr>
          <w:color w:val="231F20"/>
        </w:rPr>
        <w:t xml:space="preserve"> </w:t>
      </w:r>
      <w:r>
        <w:rPr>
          <w:rFonts w:ascii="Arial;sans-serif" w:hAnsi="Arial;sans-serif"/>
          <w:b w:val="false"/>
          <w:color w:val="231F20"/>
          <w:sz w:val="20"/>
        </w:rPr>
        <w:t>12 months,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date</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condensed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231F20"/>
          <w:sz w:val="20"/>
        </w:rPr>
        <w:t>NOTE 2.</w:t>
      </w:r>
      <w:r>
        <w:rPr>
          <w:color w:val="231F20"/>
        </w:rPr>
        <w:t xml:space="preserve"> </w:t>
      </w:r>
      <w:r>
        <w:rPr>
          <w:rFonts w:ascii="Arial;sans-serif" w:hAnsi="Arial;sans-serif"/>
          <w:b/>
          <w:color w:val="231F20"/>
          <w:sz w:val="20"/>
        </w:rPr>
        <w:t>SUMMARY OF SIGNIFICANT ACCOUNTING POLICIES</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 xml:space="preserve">Basis of Presentation and Principles of Consolidation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accompanying condensed consolidated financial statements and related footnotes have been prepared in accordance with accounting principles generally accepted in the United States of America (“U.S. GAAP”). In the opinion of management, these condensed consolidated financial statements include all normal recurring adjustments necessary to fairly present the Company’s financial position and results of operations for the interim periods presented. The condensed consolidated financial statements include the accounts of the Company and its wholly owned subsidiary, and all intercompany balances and transactions have been eliminated in consolidation. Due to the application of pushdown accounting, the Company’s balance sheet includes intangible assets recognized by Illumina, Inc. (“Illumina”) in connection with Illumina’s acquisition of the Company.</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The Company’s accounting policies are described in </w:t>
      </w:r>
      <w:r>
        <w:rPr>
          <w:rFonts w:ascii="Arial;sans-serif" w:hAnsi="Arial;sans-serif"/>
          <w:b w:val="false"/>
          <w:i/>
          <w:color w:val="231F20"/>
          <w:sz w:val="20"/>
        </w:rPr>
        <w:t>Note 2 — Summary Of Significant Accounting Policies</w:t>
      </w:r>
      <w:r>
        <w:rPr>
          <w:rFonts w:ascii="Arial;sans-serif" w:hAnsi="Arial;sans-serif"/>
          <w:b w:val="false"/>
          <w:color w:val="231F20"/>
          <w:sz w:val="20"/>
        </w:rPr>
        <w:t>, included in the Company’s Annual Report on Form 10-K (filed on March 12, 2026) for the year ended December 31, 2025 (the “2025 Form 10-K”). There have been no changes to these accounting policies during the six months ended June 30, 2026, except as described below.</w:t>
      </w:r>
    </w:p>
    <w:p>
      <w:pPr>
        <w:pStyle w:val="TextBody"/>
        <w:bidi w:val="0"/>
        <w:spacing w:lineRule="auto" w:line="288" w:before="240" w:after="283"/>
        <w:jc w:val="left"/>
        <w:rPr/>
      </w:pPr>
      <w:r>
        <w:rPr>
          <w:rFonts w:ascii="Arial;sans-serif" w:hAnsi="Arial;sans-serif"/>
          <w:b/>
          <w:i/>
          <w:color w:val="231F20"/>
          <w:sz w:val="20"/>
        </w:rPr>
        <w:t>Accounts</w:t>
      </w:r>
      <w:r>
        <w:rPr>
          <w:color w:val="231F20"/>
        </w:rPr>
        <w:t xml:space="preserve"> </w:t>
      </w:r>
      <w:r>
        <w:rPr>
          <w:rFonts w:ascii="Arial;sans-serif" w:hAnsi="Arial;sans-serif"/>
          <w:b/>
          <w:i/>
          <w:color w:val="231F20"/>
          <w:sz w:val="20"/>
        </w:rPr>
        <w:t>Receivable,</w:t>
      </w:r>
      <w:r>
        <w:rPr>
          <w:color w:val="231F20"/>
        </w:rPr>
        <w:t xml:space="preserve"> </w:t>
      </w:r>
      <w:r>
        <w:rPr>
          <w:rFonts w:ascii="Arial;sans-serif" w:hAnsi="Arial;sans-serif"/>
          <w:b/>
          <w:i/>
          <w:color w:val="231F20"/>
          <w:sz w:val="20"/>
        </w:rPr>
        <w:t>Net</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Accounts receivable represent unconditional rights to consideration from customers. Accounts receivable are evaluated regularly for collectability and potential credit losses. Allowance for credit losses is estimated based on management’s assessment of historical collection trends and current financial conditions of customers assuming those conditions as of the balance sheet date do not change for the remaining life of the asset, among other factors. These reserves are re-evaluated on a regular basis and adjusted, as needed. Once a receivable is deemed to be uncollectible, the receivable balance is charged against the reserve. As of June 30, 2026, and December 31, 2025, the Company had $3.8 million and $3.6 million of allowance for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 xml:space="preserve">Deferred assets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recognizes a deferred asset for upfront share-based consideration payable to a customer when such consideration is recognized as an asset based on the substance of the arrangement. The deferred asset recognized in connection with the Samsung Stock Purchase Agreement (the “Samsung SPA”) represents upfront share-based consideration payable to a customer.</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evaluates the deferred asset for recoverability whenever facts and circumstances indicate that its carrying amount may not be recoverable. An impairment loss is recognized to the extent the carrying amount of the asset exceeds the remaining amount of consideration the Company expects to receive in exchange for the related goods or services, less the costs that relate directly to providing those goods or services and that have not yet been recognized as expenses. Impairment losses are recognized in the period in which they are identified and are not subsequently reversed.</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During the three and six months ended June 30, 2026, the Company concluded that the deferred asset recognized in connection with the Samsung SPA was not recoverable. Accordingly, the Company recognized a full impairment charge of $25.4 million.</w:t>
      </w:r>
    </w:p>
    <w:p>
      <w:pPr>
        <w:pStyle w:val="TextBody"/>
        <w:bidi w:val="0"/>
        <w:spacing w:lineRule="auto" w:line="288" w:before="240" w:after="283"/>
        <w:ind w:left="0" w:right="0" w:firstLine="450"/>
        <w:jc w:val="left"/>
        <w:rPr/>
      </w:pPr>
      <w:r>
        <w:rPr>
          <w:rFonts w:ascii="Arial;sans-serif" w:hAnsi="Arial;sans-serif"/>
          <w:b/>
          <w:i/>
          <w:color w:val="231F20"/>
          <w:sz w:val="20"/>
        </w:rPr>
        <w:t>Concentration</w:t>
      </w:r>
      <w:r>
        <w:rPr>
          <w:color w:val="231F20"/>
        </w:rPr>
        <w:t xml:space="preserve"> </w:t>
      </w:r>
      <w:r>
        <w:rPr>
          <w:rFonts w:ascii="Arial;sans-serif" w:hAnsi="Arial;sans-serif"/>
          <w:b/>
          <w:i/>
          <w:color w:val="231F20"/>
          <w:sz w:val="20"/>
        </w:rPr>
        <w:t>of Credit</w:t>
      </w:r>
      <w:r>
        <w:rPr>
          <w:color w:val="231F20"/>
        </w:rPr>
        <w:t xml:space="preserve"> </w:t>
      </w:r>
      <w:r>
        <w:rPr>
          <w:rFonts w:ascii="Arial;sans-serif" w:hAnsi="Arial;sans-serif"/>
          <w:b/>
          <w:i/>
          <w:color w:val="231F20"/>
          <w:sz w:val="20"/>
        </w:rPr>
        <w:t>Risk</w:t>
      </w:r>
    </w:p>
    <w:p>
      <w:pPr>
        <w:pStyle w:val="TextBody"/>
        <w:bidi w:val="0"/>
        <w:spacing w:lineRule="auto" w:line="288" w:before="240" w:after="283"/>
        <w:ind w:left="0" w:right="0" w:firstLine="450"/>
        <w:jc w:val="left"/>
        <w:rPr>
          <w:rFonts w:ascii="Arial;sans-serif" w:hAnsi="Arial;sans-serif"/>
          <w:b w:val="false"/>
          <w:i/>
          <w:color w:val="231F20"/>
          <w:sz w:val="20"/>
        </w:rPr>
      </w:pPr>
      <w:r>
        <w:rPr>
          <w:rFonts w:ascii="Arial;sans-serif" w:hAnsi="Arial;sans-serif"/>
          <w:b w:val="false"/>
          <w:i/>
          <w:color w:val="231F20"/>
          <w:sz w:val="20"/>
        </w:rPr>
        <w:t>Financial Instruments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Company is subject to credit risk from its portfolio of cash, cash equivalents and short-term marketable securities held at three accredited financial institutions. As of June 30, 2026, the Company had $55.6 million of cash and cash equivalents, and short-term marketable securities of $806.0 million. The Company limits its exposure to credit losses by investing in money market funds and United States (“U.S.”) government treasury securities through U.S. banks with high credit ratings. The Company’s cash consists of deposits held with banks that may at times exceed federally insured limits, however, its exposure to credit risk in the event of default by the financial institution is limited to the extent of amounts recorded on the condensed consolidated balance sheets. The Company performs evaluations of the relative credit standing of these financial institutions to limit the amount of credit exposure. The Company has not experienced any losses in such accounts. </w:t>
      </w:r>
    </w:p>
    <w:p>
      <w:pPr>
        <w:pStyle w:val="TextBody"/>
        <w:bidi w:val="0"/>
        <w:spacing w:lineRule="auto" w:line="288" w:before="240" w:after="283"/>
        <w:ind w:left="0" w:right="0" w:firstLine="450"/>
        <w:jc w:val="left"/>
        <w:rPr/>
      </w:pPr>
      <w:r>
        <w:rPr>
          <w:rFonts w:ascii="Arial;sans-serif" w:hAnsi="Arial;sans-serif"/>
          <w:b w:val="false"/>
          <w:color w:val="231F20"/>
          <w:sz w:val="20"/>
        </w:rPr>
        <w:t>As of June 30, 2026, the Company had no off-balance sheet</w:t>
      </w:r>
      <w:r>
        <w:rPr>
          <w:color w:val="231F20"/>
        </w:rPr>
        <w:t xml:space="preserve"> </w:t>
      </w:r>
      <w:r>
        <w:rPr>
          <w:rFonts w:ascii="Arial;sans-serif" w:hAnsi="Arial;sans-serif"/>
          <w:b w:val="false"/>
          <w:color w:val="231F20"/>
          <w:sz w:val="20"/>
        </w:rPr>
        <w:t>concentrations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 xml:space="preserve">risk. </w:t>
      </w:r>
    </w:p>
    <w:p>
      <w:pPr>
        <w:pStyle w:val="TextBody"/>
        <w:bidi w:val="0"/>
        <w:spacing w:lineRule="auto" w:line="288" w:before="240" w:after="283"/>
        <w:ind w:left="0" w:right="0" w:firstLine="450"/>
        <w:jc w:val="left"/>
        <w:rPr>
          <w:rFonts w:ascii="Arial;sans-serif" w:hAnsi="Arial;sans-serif"/>
          <w:b w:val="false"/>
          <w:i/>
          <w:color w:val="231F20"/>
          <w:sz w:val="20"/>
        </w:rPr>
      </w:pPr>
      <w:r>
        <w:rPr>
          <w:rFonts w:ascii="Arial;sans-serif" w:hAnsi="Arial;sans-serif"/>
          <w:b w:val="false"/>
          <w:i/>
          <w:color w:val="231F20"/>
          <w:sz w:val="20"/>
        </w:rPr>
        <w:t>Customers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subject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risk</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arise from</w:t>
      </w:r>
      <w:r>
        <w:rPr>
          <w:color w:val="231F20"/>
        </w:rPr>
        <w:t xml:space="preserve"> </w:t>
      </w:r>
      <w:r>
        <w:rPr>
          <w:rFonts w:ascii="Arial;sans-serif" w:hAnsi="Arial;sans-serif"/>
          <w:b w:val="false"/>
          <w:color w:val="231F20"/>
          <w:sz w:val="20"/>
        </w:rPr>
        <w:t>testing</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performed 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U.S. and</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biopharmaceutical</w:t>
      </w:r>
      <w:r>
        <w:rPr>
          <w:color w:val="231F20"/>
        </w:rPr>
        <w:t xml:space="preserve"> </w:t>
      </w:r>
      <w:r>
        <w:rPr>
          <w:rFonts w:ascii="Arial;sans-serif" w:hAnsi="Arial;sans-serif"/>
          <w:b w:val="false"/>
          <w:color w:val="231F20"/>
          <w:sz w:val="20"/>
        </w:rPr>
        <w:t>companies,</w:t>
      </w:r>
      <w:r>
        <w:rPr>
          <w:color w:val="231F20"/>
        </w:rPr>
        <w:t xml:space="preserve"> </w:t>
      </w:r>
      <w:r>
        <w:rPr>
          <w:rFonts w:ascii="Arial;sans-serif" w:hAnsi="Arial;sans-serif"/>
          <w:b w:val="false"/>
          <w:color w:val="231F20"/>
          <w:sz w:val="20"/>
        </w:rPr>
        <w:t>healthcare</w:t>
      </w:r>
      <w:r>
        <w:rPr>
          <w:color w:val="231F20"/>
        </w:rPr>
        <w:t xml:space="preserve"> </w:t>
      </w:r>
      <w:r>
        <w:rPr>
          <w:rFonts w:ascii="Arial;sans-serif" w:hAnsi="Arial;sans-serif"/>
          <w:b w:val="false"/>
          <w:color w:val="231F20"/>
          <w:sz w:val="20"/>
        </w:rPr>
        <w:t>organizations,</w:t>
      </w:r>
      <w:r>
        <w:rPr>
          <w:color w:val="231F20"/>
        </w:rPr>
        <w:t xml:space="preserve"> </w:t>
      </w:r>
      <w:r>
        <w:rPr>
          <w:rFonts w:ascii="Arial;sans-serif" w:hAnsi="Arial;sans-serif"/>
          <w:b w:val="false"/>
          <w:color w:val="231F20"/>
          <w:sz w:val="20"/>
        </w:rPr>
        <w:t>employers, digital health platforms, concierge</w:t>
      </w:r>
      <w:r>
        <w:rPr>
          <w:color w:val="231F20"/>
        </w:rPr>
        <w:t xml:space="preserve"> </w:t>
      </w:r>
      <w:r>
        <w:rPr>
          <w:rFonts w:ascii="Arial;sans-serif" w:hAnsi="Arial;sans-serif"/>
          <w:b w:val="false"/>
          <w:color w:val="231F20"/>
          <w:sz w:val="20"/>
        </w:rPr>
        <w:t>medicine</w:t>
      </w:r>
      <w:r>
        <w:rPr>
          <w:color w:val="231F20"/>
        </w:rPr>
        <w:t xml:space="preserve"> </w:t>
      </w:r>
      <w:r>
        <w:rPr>
          <w:rFonts w:ascii="Arial;sans-serif" w:hAnsi="Arial;sans-serif"/>
          <w:b w:val="false"/>
          <w:color w:val="231F20"/>
          <w:sz w:val="20"/>
        </w:rPr>
        <w:t>practices,</w:t>
      </w:r>
      <w:r>
        <w:rPr>
          <w:color w:val="231F20"/>
        </w:rPr>
        <w:t xml:space="preserve"> </w:t>
      </w:r>
      <w:r>
        <w:rPr>
          <w:rFonts w:ascii="Arial;sans-serif" w:hAnsi="Arial;sans-serif"/>
          <w:b w:val="false"/>
          <w:color w:val="231F20"/>
          <w:sz w:val="20"/>
        </w:rPr>
        <w:t>life</w:t>
      </w:r>
      <w:r>
        <w:rPr>
          <w:color w:val="231F20"/>
        </w:rPr>
        <w:t xml:space="preserve"> </w:t>
      </w:r>
      <w:r>
        <w:rPr>
          <w:rFonts w:ascii="Arial;sans-serif" w:hAnsi="Arial;sans-serif"/>
          <w:b w:val="false"/>
          <w:color w:val="231F20"/>
          <w:sz w:val="20"/>
        </w:rPr>
        <w:t>insurance</w:t>
      </w:r>
      <w:r>
        <w:rPr>
          <w:color w:val="231F20"/>
        </w:rPr>
        <w:t xml:space="preserve"> </w:t>
      </w:r>
      <w:r>
        <w:rPr>
          <w:rFonts w:ascii="Arial;sans-serif" w:hAnsi="Arial;sans-serif"/>
          <w:b w:val="false"/>
          <w:color w:val="231F20"/>
          <w:sz w:val="20"/>
        </w:rPr>
        <w:t>companies, international distributors, Centers for Medicare &amp; Medicaid Services,</w:t>
      </w:r>
      <w:r>
        <w:rPr>
          <w:color w:val="231F20"/>
        </w:rPr>
        <w:t xml:space="preserve"> </w:t>
      </w:r>
      <w:r>
        <w:rPr>
          <w:rFonts w:ascii="Arial;sans-serif" w:hAnsi="Arial;sans-serif"/>
          <w:b w:val="false"/>
          <w:color w:val="231F20"/>
          <w:sz w:val="20"/>
        </w:rPr>
        <w:t>and individuals.</w:t>
      </w:r>
      <w:r>
        <w:rPr>
          <w:color w:val="231F20"/>
        </w:rPr>
        <w:t xml:space="preserve"> </w:t>
      </w:r>
      <w:r>
        <w:rPr>
          <w:rFonts w:ascii="Arial;sans-serif" w:hAnsi="Arial;sans-serif"/>
          <w:b w:val="false"/>
          <w:color w:val="231F20"/>
          <w:sz w:val="20"/>
        </w:rPr>
        <w:t>The Company does</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require</w:t>
      </w:r>
      <w:r>
        <w:rPr>
          <w:color w:val="231F20"/>
        </w:rPr>
        <w:t xml:space="preserve"> </w:t>
      </w:r>
      <w:r>
        <w:rPr>
          <w:rFonts w:ascii="Arial;sans-serif" w:hAnsi="Arial;sans-serif"/>
          <w:b w:val="false"/>
          <w:color w:val="231F20"/>
          <w:sz w:val="20"/>
        </w:rPr>
        <w:t>collateral.</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recorded</w:t>
      </w:r>
      <w:r>
        <w:rPr>
          <w:color w:val="231F20"/>
        </w:rPr>
        <w:t xml:space="preserve"> </w:t>
      </w:r>
      <w:r>
        <w:rPr>
          <w:rFonts w:ascii="Arial;sans-serif" w:hAnsi="Arial;sans-serif"/>
          <w:b w:val="false"/>
          <w:color w:val="231F20"/>
          <w:sz w:val="20"/>
        </w:rPr>
        <w:t>net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allowance</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losses.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Significant customers are those that represent more than 10% of total revenue or accounts receivable, net for the periods and as of each consolidated balance sheet date presented, respectively.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For the three and six months ended June 30, 2026, one customer accounted for approximately 10% of the Company’s revenue. For the three and six months ended June 30, 2025, no single customer accounted for 10% or more of the Company’s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As of June 30, 2026, one customer accounted for approximately 12% of the Company's accounts receivable, net. As of December 31, 2025 no single customer accounted for 10% or more of the Company’s accounts receivable, net. </w:t>
      </w:r>
    </w:p>
    <w:p>
      <w:pPr>
        <w:pStyle w:val="TextBody"/>
        <w:bidi w:val="0"/>
        <w:spacing w:lineRule="auto" w:line="288" w:before="240" w:after="283"/>
        <w:ind w:left="0" w:right="0" w:firstLine="450"/>
        <w:jc w:val="left"/>
        <w:rPr>
          <w:rFonts w:ascii="Arial;sans-serif" w:hAnsi="Arial;sans-serif"/>
          <w:b w:val="false"/>
          <w:i/>
          <w:color w:val="231F20"/>
          <w:sz w:val="20"/>
        </w:rPr>
      </w:pPr>
      <w:r>
        <w:rPr>
          <w:rFonts w:ascii="Arial;sans-serif" w:hAnsi="Arial;sans-serif"/>
          <w:b w:val="false"/>
          <w:i/>
          <w:color w:val="231F20"/>
          <w:sz w:val="20"/>
        </w:rPr>
        <w:t>Suppliers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is subject to a concentration risk for equipment, supplies and reagents that are available from a limited number of sources. The Company sources certain laboratory equipment, supplies and reagents used to perform testing services and research and development from single vendors. Historically, the Company has not experienced significant issues sourcing equipment and supplies needed to perform testing services.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Reclassification</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Certain amounts for the period ended June 30, 2025, in </w:t>
      </w:r>
      <w:r>
        <w:rPr>
          <w:rFonts w:ascii="Arial;sans-serif" w:hAnsi="Arial;sans-serif"/>
          <w:b w:val="false"/>
          <w:i/>
          <w:color w:val="231F20"/>
          <w:sz w:val="20"/>
        </w:rPr>
        <w:t>Note 11 — Segment Information</w:t>
      </w:r>
      <w:r>
        <w:rPr>
          <w:rFonts w:ascii="Arial;sans-serif" w:hAnsi="Arial;sans-serif"/>
          <w:b w:val="false"/>
          <w:color w:val="231F20"/>
          <w:sz w:val="20"/>
        </w:rPr>
        <w:t>, of these condensed consolidated financial statements have been reclassified to conform to the current period presentation.</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Recently Adopted Accounting Pronouncements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 July 2025, the FASB issued ASU No. 2025-05, Financial Instruments—Credit Losses (Topic 326): Measurement of Credit Losses for Accounts Receivable and Contract Assets. This update provides entities with a practical expedient related to developing reasonable and supportable forecasts as part of estimating expected credit losses, in which entities may elect to assume that current conditions as of the balance sheet date do not change for the remaining life of the asset. The Company adopted the standard on a prospective basis effective January 1, 2026, and elected the practical expedient. Adoption of this guidance did not have a material impact on the Company’s condensed consolidated financial statements.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Recently Issued Accounting Pronouncements Not Yet Adopted</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 November 2024, the FASB issued ASU No. 2024-03, Income Statement—Reporting Comprehensive Income—Expense Disaggregation Disclosures. This update intends to improve financial reporting by requiring disclosure of additional information about specific expense categories. This guidance is effective for annual reporting periods beginning after December 15, 2026 and interim reporting periods beginning after December 15, 2027. Early adoption is permitted and the guidance is to be applied prospectively and may be applied retrospectively.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 May 2025, the FASB issued ASU No. 2025-04, Compensation-Stock Compensation (Topic 718) and Revenue from Contracts with Customers (Topic 606). This update addresses diversity in practice and improves the operability of accounting for share-based consideration granted to customers. The amendments clarify how to distinguish between service and performance conditions for vesting, require entities to estimate forfeitures for all share-based consideration payable to customers, and specifies that variable consideration guidance in ASC 606 does not apply when measuring such awards. This guidance is effective for fiscal years beginning after December 15, 2026, and interim reporting periods within those annual reporting periods, with early adoption permitted. The transition method may be modified retrospective or on a retrospective basis.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In September 2025, the FASB issued ASU No. 2025-06, Intangibles—Goodwill and Other—Internal-Use Software (Subtopic 350-40): Targeted Improvements to the Accounting for Internal-Use Software. This update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guidance is effective for fiscal years beginning after December 15, 2027 and interim reporting periods within those annual reporting periods. Early adoption is permitted. The transition method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prospective, modified, or retrospective.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 December 2025, the FASB issued ASU No. 2025-10 (ASC Topic 832), Accounting for Government Grants Received by Business Entities. This ASU establishes the accounting and presentation for government grants received by a business entity. This guidance is effective for fiscal years beginning after December 15, 2028 and interim reporting periods within those annual reporting periods. Early adoption is permitted. This ASU provides for adoption either on a modified prospective, modified retrospective, or retrospective basis.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 December 2025, the FASB issued ASU No. 2025-11, Interim Reporting (Topic 270): Narrow-Scope Improvements. This update enhances consistency in interim reporting for all entities by clarifying interim disclosure requirements and the form and content of interim financial statements in accordance with GAAP. This guidance is effective for interim reporting periods with annual reporting periods beginning after December 15, 2027. Early adoption is permitted and must be applied either prospectively or retrospectively to any or all prior periods presented in the financial statements.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 December 2025, the FASB issued ASU No. 2025-12, Codification Improvements. This update includes a series of technical amendments intended to clarify guidance, correct unintended application issues, and improve consistency and operability across various Topics within the FASB Accounting Standards Codification. This guidance is effective for fiscal years beginning after December 15, 2026 and interim reporting periods within those annual reporting periods. Early adoption is permitted. The Company is currently evaluating the impact of this update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NOTE 3. REVENUE</w:t>
      </w:r>
    </w:p>
    <w:p>
      <w:pPr>
        <w:pStyle w:val="TextBody"/>
        <w:bidi w:val="0"/>
        <w:spacing w:lineRule="auto" w:line="288" w:before="240" w:after="120"/>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presents the Company’s revenue disaggregated by geographic areas based on the customers’ locations:</w:t>
      </w:r>
    </w:p>
    <w:tbl>
      <w:tblPr>
        <w:tblW w:w="7154" w:type="dxa"/>
        <w:jc w:val="left"/>
        <w:tblInd w:w="0" w:type="dxa"/>
        <w:tblLayout w:type="fixed"/>
        <w:tblCellMar>
          <w:top w:w="28" w:type="dxa"/>
          <w:left w:w="28" w:type="dxa"/>
          <w:bottom w:w="28" w:type="dxa"/>
          <w:right w:w="28" w:type="dxa"/>
        </w:tblCellMar>
      </w:tblPr>
      <w:tblGrid>
        <w:gridCol w:w="710"/>
        <w:gridCol w:w="626"/>
        <w:gridCol w:w="62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United States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International</w:t>
            </w:r>
            <w:r>
              <w:rPr>
                <w:rFonts w:ascii="Arial;sans-serif" w:hAnsi="Arial;sans-serif"/>
                <w:b w:val="false"/>
                <w:color w:val="231F2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67,381 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231F20"/>
          <w:sz w:val="10"/>
        </w:rPr>
        <w:t xml:space="preserve">(1) </w:t>
      </w:r>
      <w:r>
        <w:rPr>
          <w:rFonts w:ascii="Arial;sans-serif" w:hAnsi="Arial;sans-serif"/>
          <w:b w:val="false"/>
          <w:color w:val="231F20"/>
          <w:sz w:val="16"/>
        </w:rPr>
        <w:t>International region includes revenue earned from customers located outside of the United States.</w:t>
      </w:r>
    </w:p>
    <w:p>
      <w:pPr>
        <w:pStyle w:val="TextBody"/>
        <w:bidi w:val="0"/>
        <w:spacing w:lineRule="auto" w:line="288" w:before="240" w:after="120"/>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presents the Company’s revenue disaggregated by revenue source:</w:t>
      </w:r>
    </w:p>
    <w:tbl>
      <w:tblPr>
        <w:tblW w:w="7154" w:type="dxa"/>
        <w:jc w:val="left"/>
        <w:tblInd w:w="0" w:type="dxa"/>
        <w:tblLayout w:type="fixed"/>
        <w:tblCellMar>
          <w:top w:w="28" w:type="dxa"/>
          <w:left w:w="28" w:type="dxa"/>
          <w:bottom w:w="28" w:type="dxa"/>
          <w:right w:w="28" w:type="dxa"/>
        </w:tblCellMar>
      </w:tblPr>
      <w:tblGrid>
        <w:gridCol w:w="710"/>
        <w:gridCol w:w="626"/>
        <w:gridCol w:w="62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62,253 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Government</w:t>
            </w:r>
            <w:r>
              <w:rPr>
                <w:rFonts w:ascii="Arial;sans-serif" w:hAnsi="Arial;sans-serif"/>
                <w:b w:val="false"/>
                <w:color w:val="231F2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231"/>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67,381 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231F20"/>
          <w:sz w:val="10"/>
        </w:rPr>
        <w:t xml:space="preserve">(1) </w:t>
      </w:r>
      <w:r>
        <w:rPr>
          <w:rFonts w:ascii="Arial;sans-serif" w:hAnsi="Arial;sans-serif"/>
          <w:b w:val="false"/>
          <w:color w:val="231F20"/>
          <w:sz w:val="16"/>
        </w:rPr>
        <w:t>Government screening revenue primarily consists of revenue earned as part of our Galleri-Medicare clinical study.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jc w:val="left"/>
        <w:rPr/>
      </w:pPr>
      <w:r>
        <w:rPr>
          <w:rFonts w:ascii="Arial;sans-serif" w:hAnsi="Arial;sans-serif"/>
          <w:b/>
          <w:color w:val="231F20"/>
          <w:sz w:val="20"/>
        </w:rPr>
        <w:t>NOTE 4.</w:t>
      </w:r>
      <w:r>
        <w:rPr>
          <w:color w:val="231F20"/>
        </w:rPr>
        <w:t xml:space="preserve"> </w:t>
      </w:r>
      <w:r>
        <w:rPr>
          <w:rFonts w:ascii="Arial;sans-serif" w:hAnsi="Arial;sans-serif"/>
          <w:b/>
          <w:color w:val="231F20"/>
          <w:sz w:val="20"/>
        </w:rPr>
        <w:t>BALANCE SHEET COMPONENTS</w:t>
      </w:r>
    </w:p>
    <w:p>
      <w:pPr>
        <w:pStyle w:val="TextBody"/>
        <w:bidi w:val="0"/>
        <w:spacing w:lineRule="auto" w:line="288" w:before="240" w:after="120"/>
        <w:ind w:left="0" w:right="0" w:firstLine="450"/>
        <w:jc w:val="left"/>
        <w:rPr/>
      </w:pPr>
      <w:r>
        <w:rPr>
          <w:rFonts w:ascii="Arial;sans-serif" w:hAnsi="Arial;sans-serif"/>
          <w:b w:val="false"/>
          <w:color w:val="231F20"/>
          <w:sz w:val="20"/>
        </w:rPr>
        <w:t>The following</w:t>
      </w:r>
      <w:r>
        <w:rPr>
          <w:color w:val="231F20"/>
        </w:rPr>
        <w:t xml:space="preserve"> </w:t>
      </w:r>
      <w:r>
        <w:rPr>
          <w:rFonts w:ascii="Arial;sans-serif" w:hAnsi="Arial;sans-serif"/>
          <w:b w:val="false"/>
          <w:color w:val="231F20"/>
          <w:sz w:val="20"/>
        </w:rPr>
        <w:t>tables</w:t>
      </w:r>
      <w:r>
        <w:rPr>
          <w:color w:val="231F20"/>
        </w:rPr>
        <w:t xml:space="preserve"> </w:t>
      </w:r>
      <w:r>
        <w:rPr>
          <w:rFonts w:ascii="Arial;sans-serif" w:hAnsi="Arial;sans-serif"/>
          <w:b w:val="false"/>
          <w:color w:val="231F20"/>
          <w:sz w:val="20"/>
        </w:rPr>
        <w:t>present</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information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certain</w:t>
      </w:r>
      <w:r>
        <w:rPr>
          <w:color w:val="231F20"/>
        </w:rPr>
        <w:t xml:space="preserve"> </w:t>
      </w:r>
      <w:r>
        <w:rPr>
          <w:rFonts w:ascii="Arial;sans-serif" w:hAnsi="Arial;sans-serif"/>
          <w:b w:val="false"/>
          <w:color w:val="231F20"/>
          <w:sz w:val="20"/>
        </w:rPr>
        <w:t>condensed consolidated</w:t>
      </w:r>
      <w:r>
        <w:rPr>
          <w:color w:val="231F20"/>
        </w:rPr>
        <w:t xml:space="preserve"> </w:t>
      </w:r>
      <w:r>
        <w:rPr>
          <w:rFonts w:ascii="Arial;sans-serif" w:hAnsi="Arial;sans-serif"/>
          <w:b w:val="false"/>
          <w:color w:val="231F20"/>
          <w:sz w:val="20"/>
        </w:rPr>
        <w:t>balance</w:t>
      </w:r>
      <w:r>
        <w:rPr>
          <w:color w:val="231F20"/>
        </w:rPr>
        <w:t xml:space="preserve"> </w:t>
      </w:r>
      <w:r>
        <w:rPr>
          <w:rFonts w:ascii="Arial;sans-serif" w:hAnsi="Arial;sans-serif"/>
          <w:b w:val="false"/>
          <w:color w:val="231F20"/>
          <w:sz w:val="20"/>
        </w:rPr>
        <w:t>sheet</w:t>
      </w:r>
      <w:r>
        <w:rPr>
          <w:color w:val="231F20"/>
        </w:rPr>
        <w:t xml:space="preserve"> </w:t>
      </w:r>
      <w:r>
        <w:rPr>
          <w:rFonts w:ascii="Arial;sans-serif" w:hAnsi="Arial;sans-serif"/>
          <w:b w:val="false"/>
          <w:color w:val="231F20"/>
          <w:sz w:val="20"/>
        </w:rPr>
        <w:t>components:</w:t>
      </w:r>
    </w:p>
    <w:tbl>
      <w:tblPr>
        <w:tblW w:w="5402" w:type="dxa"/>
        <w:jc w:val="left"/>
        <w:tblInd w:w="0" w:type="dxa"/>
        <w:tblLayout w:type="fixed"/>
        <w:tblCellMar>
          <w:top w:w="28" w:type="dxa"/>
          <w:left w:w="28" w:type="dxa"/>
          <w:bottom w:w="28" w:type="dxa"/>
          <w:right w:w="28" w:type="dxa"/>
        </w:tblCellMar>
      </w:tblPr>
      <w:tblGrid>
        <w:gridCol w:w="1021"/>
        <w:gridCol w:w="896"/>
        <w:gridCol w:w="902"/>
        <w:gridCol w:w="211"/>
        <w:gridCol w:w="721"/>
        <w:gridCol w:w="109"/>
        <w:gridCol w:w="109"/>
        <w:gridCol w:w="109"/>
        <w:gridCol w:w="109"/>
        <w:gridCol w:w="236"/>
        <w:gridCol w:w="807"/>
        <w:gridCol w:w="17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31F20"/>
                <w:sz w:val="18"/>
              </w:rPr>
            </w:pPr>
            <w:r>
              <w:rPr>
                <w:rFonts w:ascii="Arial;sans-serif" w:hAnsi="Arial;sans-serif"/>
                <w:b/>
                <w:color w:val="231F20"/>
                <w:sz w:val="18"/>
              </w:rPr>
              <w:t>Accounts receivable, net</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w:t>
              <w:br/>
              <w:t>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231F20"/>
                <w:sz w:val="18"/>
              </w:rPr>
            </w:pPr>
            <w:r>
              <w:rPr>
                <w:rFonts w:ascii="Arial;sans-serif" w:hAnsi="Arial;sans-serif"/>
                <w:b w:val="false"/>
                <w:color w:val="231F20"/>
                <w:sz w:val="18"/>
              </w:rPr>
              <w:t>Trade accounts receivable, gross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31F20"/>
                <w:sz w:val="18"/>
              </w:rPr>
            </w:pPr>
            <w:r>
              <w:rPr>
                <w:rFonts w:ascii="Arial;sans-serif" w:hAnsi="Arial;sans-serif"/>
                <w:b/>
                <w:color w:val="231F20"/>
                <w:sz w:val="18"/>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18,295 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8057" w:type="dxa"/>
        <w:jc w:val="left"/>
        <w:tblInd w:w="0" w:type="dxa"/>
        <w:tblLayout w:type="fixed"/>
        <w:tblCellMar>
          <w:top w:w="28" w:type="dxa"/>
          <w:left w:w="28" w:type="dxa"/>
          <w:bottom w:w="28" w:type="dxa"/>
          <w:right w:w="28" w:type="dxa"/>
        </w:tblCellMar>
      </w:tblPr>
      <w:tblGrid>
        <w:gridCol w:w="1980"/>
        <w:gridCol w:w="1741"/>
        <w:gridCol w:w="1753"/>
        <w:gridCol w:w="211"/>
        <w:gridCol w:w="721"/>
        <w:gridCol w:w="109"/>
        <w:gridCol w:w="109"/>
        <w:gridCol w:w="109"/>
        <w:gridCol w:w="109"/>
        <w:gridCol w:w="236"/>
        <w:gridCol w:w="807"/>
        <w:gridCol w:w="172"/>
      </w:tblGrid>
      <w:tr>
        <w:trPr/>
        <w:tc>
          <w:tcPr>
            <w:tcW w:w="1980"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31F20"/>
                <w:sz w:val="18"/>
              </w:rPr>
            </w:pPr>
            <w:r>
              <w:rPr>
                <w:rFonts w:ascii="Arial;sans-serif" w:hAnsi="Arial;sans-serif"/>
                <w:b/>
                <w:color w:val="231F20"/>
                <w:sz w:val="18"/>
              </w:rPr>
              <w:t>Accrued liabilities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w:t>
              <w:br/>
              <w:t>2025</w:t>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pPr>
            <w:r>
              <w:rPr>
                <w:rFonts w:ascii="Arial;sans-serif" w:hAnsi="Arial;sans-serif"/>
                <w:b w:val="false"/>
                <w:color w:val="231F20"/>
                <w:sz w:val="18"/>
              </w:rPr>
              <w:t>Accrued</w:t>
            </w:r>
            <w:r>
              <w:rPr>
                <w:color w:val="231F20"/>
              </w:rPr>
              <w:t xml:space="preserve"> </w:t>
            </w:r>
            <w:r>
              <w:rPr>
                <w:rFonts w:ascii="Arial;sans-serif" w:hAnsi="Arial;sans-serif"/>
                <w:b w:val="false"/>
                <w:color w:val="231F20"/>
                <w:sz w:val="18"/>
              </w:rPr>
              <w:t>compensation</w:t>
            </w:r>
            <w:r>
              <w:rPr>
                <w:color w:val="231F20"/>
              </w:rPr>
              <w:t xml:space="preserve"> </w:t>
            </w:r>
            <w:r>
              <w:rPr>
                <w:rFonts w:ascii="Arial;sans-serif" w:hAnsi="Arial;sans-serif"/>
                <w:b w:val="false"/>
                <w:color w:val="231F20"/>
                <w:sz w:val="18"/>
              </w:rPr>
              <w:t>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36,299 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Accrued clinical studies and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15,656 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Accrued legal and professional service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Accrued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31F20"/>
                <w:sz w:val="18"/>
              </w:rPr>
            </w:pPr>
            <w:r>
              <w:rPr>
                <w:rFonts w:ascii="Arial;sans-serif" w:hAnsi="Arial;sans-serif"/>
                <w:b/>
                <w:color w:val="231F20"/>
                <w:sz w:val="18"/>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64,495 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63,945 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Long-lived assets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On February 19, 2026, the Company issued a press release announcing top-line results from its NHS-Galleri trial (“NHS-Galleri Trial”). Immediately following the release of this information, the Company’s market capitalization decreased materially. This sustained decrease in market capitalization represented a possible impairment indicator that warranted a quantitative impairment analysis of the Company’s long-lived assets.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During the first quarter of 2026, the Company performed a recoverability test at the asset group level, which was determined to be equivalent to its reporting unit to assess potential impairment of long-lived assets, which consist primarily of intangible assets with finite lives.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Company performed an undiscounted cash flow analysis to assess whether the expected cash flows generated over the remaining estimated useful life of the primary asset within the asset group are sufficient to recover its carrying value. Significant assumptions underlying the forecasted cash flows include estimates of future revenues, costs, and expenses. These estimates involve a high degree of judgment regarding future events and are based on assumptions that management believes are reasonable. Changes in these estimates or assumptions could materially affect the recoverability assessment.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results of the recoverability test showed that the estimated undiscounted net cash flows to be generated from the use of the Company’s long-lived assets exceeded its net carrying value. As a result, no write-down of long-lived assets was recognized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left"/>
        <w:rPr>
          <w:rFonts w:ascii="Arial;sans-serif" w:hAnsi="Arial;sans-serif"/>
          <w:b/>
          <w:color w:val="231F20"/>
          <w:sz w:val="20"/>
        </w:rPr>
      </w:pPr>
      <w:r>
        <w:rPr>
          <w:rFonts w:ascii="Arial;sans-serif" w:hAnsi="Arial;sans-serif"/>
          <w:b/>
          <w:color w:val="231F20"/>
          <w:sz w:val="20"/>
        </w:rPr>
        <w:t>NOTE 5. FAIR VALUE MEASUREMENTS, CASH EQUIVALENTS AND MARKETABLE SECURITIES</w:t>
      </w:r>
    </w:p>
    <w:p>
      <w:pPr>
        <w:pStyle w:val="TextBody"/>
        <w:bidi w:val="0"/>
        <w:spacing w:lineRule="auto" w:line="288" w:before="12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tables represent the fair value hierarchy for the Company’s financial assets measured at fair value on a recurring basis for the periods presented:</w:t>
      </w:r>
    </w:p>
    <w:p>
      <w:pPr>
        <w:pStyle w:val="TextBody"/>
        <w:bidi w:val="0"/>
        <w:spacing w:before="0" w:after="120"/>
        <w:jc w:val="left"/>
        <w:rPr/>
      </w:pPr>
      <w:r>
        <w:rPr/>
      </w:r>
    </w:p>
    <w:tbl>
      <w:tblPr>
        <w:tblW w:w="7949" w:type="dxa"/>
        <w:jc w:val="left"/>
        <w:tblInd w:w="0" w:type="dxa"/>
        <w:tblLayout w:type="fixed"/>
        <w:tblCellMar>
          <w:top w:w="28" w:type="dxa"/>
          <w:left w:w="28" w:type="dxa"/>
          <w:bottom w:w="28" w:type="dxa"/>
          <w:right w:w="28" w:type="dxa"/>
        </w:tblCellMar>
      </w:tblPr>
      <w:tblGrid>
        <w:gridCol w:w="1153"/>
        <w:gridCol w:w="1009"/>
        <w:gridCol w:w="101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 2026</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Level 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short-term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859,535 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859,535 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7949" w:type="dxa"/>
        <w:jc w:val="left"/>
        <w:tblInd w:w="0" w:type="dxa"/>
        <w:tblLayout w:type="fixed"/>
        <w:tblCellMar>
          <w:top w:w="28" w:type="dxa"/>
          <w:left w:w="28" w:type="dxa"/>
          <w:bottom w:w="28" w:type="dxa"/>
          <w:right w:w="28" w:type="dxa"/>
        </w:tblCellMar>
      </w:tblPr>
      <w:tblGrid>
        <w:gridCol w:w="1153"/>
        <w:gridCol w:w="1009"/>
        <w:gridCol w:w="101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2025</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Level 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short-term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tables summarize the Company’s cash equivalents and marketable securities’ amortized costs, gross unrealized gains, gross unrealized losses, and estimated fair values by significant investment category:</w:t>
      </w:r>
    </w:p>
    <w:tbl>
      <w:tblPr>
        <w:tblW w:w="10205" w:type="dxa"/>
        <w:jc w:val="left"/>
        <w:tblInd w:w="0" w:type="dxa"/>
        <w:tblLayout w:type="fixed"/>
        <w:tblCellMar>
          <w:top w:w="28" w:type="dxa"/>
          <w:left w:w="28" w:type="dxa"/>
          <w:bottom w:w="28" w:type="dxa"/>
          <w:right w:w="28" w:type="dxa"/>
        </w:tblCellMar>
      </w:tblPr>
      <w:tblGrid>
        <w:gridCol w:w="881"/>
        <w:gridCol w:w="752"/>
        <w:gridCol w:w="756"/>
        <w:gridCol w:w="243"/>
        <w:gridCol w:w="955"/>
        <w:gridCol w:w="125"/>
        <w:gridCol w:w="109"/>
        <w:gridCol w:w="109"/>
        <w:gridCol w:w="109"/>
        <w:gridCol w:w="537"/>
        <w:gridCol w:w="1038"/>
        <w:gridCol w:w="280"/>
        <w:gridCol w:w="109"/>
        <w:gridCol w:w="109"/>
        <w:gridCol w:w="109"/>
        <w:gridCol w:w="513"/>
        <w:gridCol w:w="1171"/>
        <w:gridCol w:w="265"/>
        <w:gridCol w:w="109"/>
        <w:gridCol w:w="109"/>
        <w:gridCol w:w="109"/>
        <w:gridCol w:w="300"/>
        <w:gridCol w:w="1180"/>
        <w:gridCol w:w="228"/>
      </w:tblGrid>
      <w:tr>
        <w:trPr/>
        <w:tc>
          <w:tcPr>
            <w:tcW w:w="88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June 30, 2026</w:t>
            </w:r>
          </w:p>
        </w:tc>
      </w:tr>
      <w:tr>
        <w:trPr/>
        <w:tc>
          <w:tcPr>
            <w:tcW w:w="2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Estimated Fair Value</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Money market funds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53,571 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53,571 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806,184 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805,964 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Total</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859,755 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(220)</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859,535 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1"/>
        <w:gridCol w:w="752"/>
        <w:gridCol w:w="756"/>
        <w:gridCol w:w="243"/>
        <w:gridCol w:w="955"/>
        <w:gridCol w:w="125"/>
        <w:gridCol w:w="109"/>
        <w:gridCol w:w="109"/>
        <w:gridCol w:w="109"/>
        <w:gridCol w:w="496"/>
        <w:gridCol w:w="1099"/>
        <w:gridCol w:w="260"/>
        <w:gridCol w:w="109"/>
        <w:gridCol w:w="109"/>
        <w:gridCol w:w="109"/>
        <w:gridCol w:w="564"/>
        <w:gridCol w:w="1090"/>
        <w:gridCol w:w="294"/>
        <w:gridCol w:w="109"/>
        <w:gridCol w:w="109"/>
        <w:gridCol w:w="109"/>
        <w:gridCol w:w="300"/>
        <w:gridCol w:w="1180"/>
        <w:gridCol w:w="229"/>
      </w:tblGrid>
      <w:tr>
        <w:trPr/>
        <w:tc>
          <w:tcPr>
            <w:tcW w:w="88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2025</w:t>
            </w:r>
          </w:p>
        </w:tc>
      </w:tr>
      <w:tr>
        <w:trPr/>
        <w:tc>
          <w:tcPr>
            <w:tcW w:w="2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Estimated Fair Value</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Money market funds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838,368 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838,744 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901,563 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376 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901,939 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Arial;sans-serif" w:hAnsi="Arial;sans-serif"/>
          <w:b w:val="false"/>
          <w:color w:val="231F20"/>
          <w:sz w:val="20"/>
        </w:rPr>
      </w:pPr>
      <w:r>
        <w:rPr>
          <w:rFonts w:ascii="Arial;sans-serif" w:hAnsi="Arial;sans-serif"/>
          <w:b w:val="false"/>
          <w:color w:val="231F20"/>
          <w:sz w:val="20"/>
        </w:rPr>
        <w:t>All of the Company’s marketable securities had maturities of less than one year.</w:t>
      </w:r>
    </w:p>
    <w:p>
      <w:pPr>
        <w:pStyle w:val="TextBody"/>
        <w:bidi w:val="0"/>
        <w:spacing w:lineRule="auto" w:line="288" w:before="12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had seventeen securities with a fair value of $806.0 million in an unrealized loss position as of June 30, 2026 and no securities in an unrealized loss position as of December 31, 2025. None of the Company’s marketable securities had been in an unrealized loss position for more than one year as of June 30, 2026. It was determined that no credit losses exist as of June 30, 2026 because the change in market value for those securities that were in an unrealized loss position resulted from fluctuating interest rates rather than a deterioration of the credit worthiness of the issuers. The Company does not intend to sell the money market funds and short term investments and it is not more likely than not that the Company will be required to sell the investments before recovery of their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NOTE 6. LEASES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has</w:t>
      </w:r>
      <w:r>
        <w:rPr>
          <w:color w:val="231F20"/>
        </w:rPr>
        <w:t xml:space="preserve"> </w:t>
      </w:r>
      <w:r>
        <w:rPr>
          <w:rFonts w:ascii="Arial;sans-serif" w:hAnsi="Arial;sans-serif"/>
          <w:b w:val="false"/>
          <w:color w:val="231F20"/>
          <w:sz w:val="20"/>
        </w:rPr>
        <w:t>entered</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facilities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equipment</w:t>
      </w:r>
      <w:r>
        <w:rPr>
          <w:color w:val="231F20"/>
        </w:rPr>
        <w:t xml:space="preserve"> </w:t>
      </w:r>
      <w:r>
        <w:rPr>
          <w:rFonts w:ascii="Arial;sans-serif" w:hAnsi="Arial;sans-serif"/>
          <w:b w:val="false"/>
          <w:color w:val="231F20"/>
          <w:sz w:val="20"/>
        </w:rPr>
        <w:t>used</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 development.</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have</w:t>
      </w:r>
      <w:r>
        <w:rPr>
          <w:color w:val="231F20"/>
        </w:rPr>
        <w:t xml:space="preserve"> </w:t>
      </w:r>
      <w:r>
        <w:rPr>
          <w:rFonts w:ascii="Arial;sans-serif" w:hAnsi="Arial;sans-serif"/>
          <w:b w:val="false"/>
          <w:color w:val="231F20"/>
          <w:sz w:val="20"/>
        </w:rPr>
        <w:t>remaining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terms</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range</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less than 1 year to</w:t>
      </w:r>
      <w:r>
        <w:rPr>
          <w:color w:val="231F20"/>
        </w:rPr>
        <w:t xml:space="preserve"> </w:t>
      </w:r>
      <w:r>
        <w:rPr>
          <w:rFonts w:ascii="Arial;sans-serif" w:hAnsi="Arial;sans-serif"/>
          <w:b w:val="false"/>
          <w:color w:val="231F20"/>
          <w:sz w:val="20"/>
        </w:rPr>
        <w:t>11 years,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often include</w:t>
      </w:r>
      <w:r>
        <w:rPr>
          <w:color w:val="231F20"/>
        </w:rPr>
        <w:t xml:space="preserve"> </w:t>
      </w:r>
      <w:r>
        <w:rPr>
          <w:rFonts w:ascii="Arial;sans-serif" w:hAnsi="Arial;sans-serif"/>
          <w:b w:val="false"/>
          <w:color w:val="231F20"/>
          <w:sz w:val="20"/>
        </w:rPr>
        <w:t>one</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more</w:t>
      </w:r>
      <w:r>
        <w:rPr>
          <w:color w:val="231F20"/>
        </w:rPr>
        <w:t xml:space="preserve"> </w:t>
      </w:r>
      <w:r>
        <w:rPr>
          <w:rFonts w:ascii="Arial;sans-serif" w:hAnsi="Arial;sans-serif"/>
          <w:b w:val="false"/>
          <w:color w:val="231F20"/>
          <w:sz w:val="20"/>
        </w:rPr>
        <w:t>options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renew.</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renewal</w:t>
      </w:r>
      <w:r>
        <w:rPr>
          <w:color w:val="231F20"/>
        </w:rPr>
        <w:t xml:space="preserve"> </w:t>
      </w:r>
      <w:r>
        <w:rPr>
          <w:rFonts w:ascii="Arial;sans-serif" w:hAnsi="Arial;sans-serif"/>
          <w:b w:val="false"/>
          <w:color w:val="231F20"/>
          <w:sz w:val="20"/>
        </w:rPr>
        <w:t>terms</w:t>
      </w:r>
      <w:r>
        <w:rPr>
          <w:color w:val="231F20"/>
        </w:rPr>
        <w:t xml:space="preserve"> </w:t>
      </w:r>
      <w:r>
        <w:rPr>
          <w:rFonts w:ascii="Arial;sans-serif" w:hAnsi="Arial;sans-serif"/>
          <w:b w:val="false"/>
          <w:color w:val="231F20"/>
          <w:sz w:val="20"/>
        </w:rPr>
        <w:t>can</w:t>
      </w:r>
      <w:r>
        <w:rPr>
          <w:color w:val="231F20"/>
        </w:rPr>
        <w:t xml:space="preserve"> </w:t>
      </w:r>
      <w:r>
        <w:rPr>
          <w:rFonts w:ascii="Arial;sans-serif" w:hAnsi="Arial;sans-serif"/>
          <w:b w:val="false"/>
          <w:color w:val="231F20"/>
          <w:sz w:val="20"/>
        </w:rPr>
        <w:t>extend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5</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15 years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are included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when</w:t>
      </w:r>
      <w:r>
        <w:rPr>
          <w:color w:val="231F20"/>
        </w:rPr>
        <w:t xml:space="preserve"> </w:t>
      </w:r>
      <w:r>
        <w:rPr>
          <w:rFonts w:ascii="Arial;sans-serif" w:hAnsi="Arial;sans-serif"/>
          <w:b w:val="false"/>
          <w:color w:val="231F20"/>
          <w:sz w:val="20"/>
        </w:rPr>
        <w:t>it</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reasonably</w:t>
      </w:r>
      <w:r>
        <w:rPr>
          <w:color w:val="231F20"/>
        </w:rPr>
        <w:t xml:space="preserve"> </w:t>
      </w:r>
      <w:r>
        <w:rPr>
          <w:rFonts w:ascii="Arial;sans-serif" w:hAnsi="Arial;sans-serif"/>
          <w:b w:val="false"/>
          <w:color w:val="231F20"/>
          <w:sz w:val="20"/>
        </w:rPr>
        <w:t>certain</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option</w:t>
      </w:r>
      <w:r>
        <w:rPr>
          <w:color w:val="231F20"/>
        </w:rPr>
        <w:t xml:space="preserve"> </w:t>
      </w:r>
      <w:r>
        <w:rPr>
          <w:rFonts w:ascii="Arial;sans-serif" w:hAnsi="Arial;sans-serif"/>
          <w:b w:val="false"/>
          <w:color w:val="231F20"/>
          <w:sz w:val="20"/>
        </w:rPr>
        <w:t>will</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exercised.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exercise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lease renewal</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termination</w:t>
      </w:r>
      <w:r>
        <w:rPr>
          <w:color w:val="231F20"/>
        </w:rPr>
        <w:t xml:space="preserve"> </w:t>
      </w:r>
      <w:r>
        <w:rPr>
          <w:rFonts w:ascii="Arial;sans-serif" w:hAnsi="Arial;sans-serif"/>
          <w:b w:val="false"/>
          <w:color w:val="231F20"/>
          <w:sz w:val="20"/>
        </w:rPr>
        <w:t>options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sole</w:t>
      </w:r>
      <w:r>
        <w:rPr>
          <w:color w:val="231F20"/>
        </w:rPr>
        <w:t xml:space="preserve"> </w:t>
      </w:r>
      <w:r>
        <w:rPr>
          <w:rFonts w:ascii="Arial;sans-serif" w:hAnsi="Arial;sans-serif"/>
          <w:b w:val="false"/>
          <w:color w:val="231F20"/>
          <w:sz w:val="20"/>
        </w:rPr>
        <w:t>discretion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also</w:t>
      </w:r>
      <w:r>
        <w:rPr>
          <w:color w:val="231F20"/>
        </w:rPr>
        <w:t xml:space="preserve"> </w:t>
      </w:r>
      <w:r>
        <w:rPr>
          <w:rFonts w:ascii="Arial;sans-serif" w:hAnsi="Arial;sans-serif"/>
          <w:b w:val="false"/>
          <w:color w:val="231F20"/>
          <w:sz w:val="20"/>
        </w:rPr>
        <w:t>has</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lease payments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comprised</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common</w:t>
      </w:r>
      <w:r>
        <w:rPr>
          <w:color w:val="231F20"/>
        </w:rPr>
        <w:t xml:space="preserve"> </w:t>
      </w:r>
      <w:r>
        <w:rPr>
          <w:rFonts w:ascii="Arial;sans-serif" w:hAnsi="Arial;sans-serif"/>
          <w:b w:val="false"/>
          <w:color w:val="231F20"/>
          <w:sz w:val="20"/>
        </w:rPr>
        <w:t>area</w:t>
      </w:r>
      <w:r>
        <w:rPr>
          <w:color w:val="231F20"/>
        </w:rPr>
        <w:t xml:space="preserve"> </w:t>
      </w:r>
      <w:r>
        <w:rPr>
          <w:rFonts w:ascii="Arial;sans-serif" w:hAnsi="Arial;sans-serif"/>
          <w:b w:val="false"/>
          <w:color w:val="231F20"/>
          <w:sz w:val="20"/>
        </w:rPr>
        <w:t>maintenance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utility</w:t>
      </w:r>
      <w:r>
        <w:rPr>
          <w:color w:val="231F20"/>
        </w:rPr>
        <w:t xml:space="preserve"> </w:t>
      </w:r>
      <w:r>
        <w:rPr>
          <w:rFonts w:ascii="Arial;sans-serif" w:hAnsi="Arial;sans-serif"/>
          <w:b w:val="false"/>
          <w:color w:val="231F20"/>
          <w:sz w:val="20"/>
        </w:rPr>
        <w:t>charges.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On September 11, 2025, the Company entered into a commercial lease agreement (the “Lease”) with Sunnyvale Office Acquisition, LLC for approximately 75,556 square feet of office space to serve as the Company’s new corporate headquarters in Sunnyvale, California. The Lease was subsequently amended in May 2026 to revise the leased premises to 74,901 square feet and to update the base rent and tenant’s share of expenses to reflect the revised rentable square footage. The leased premises became available for the Company’s use on June 1, 2026, at which time the Company obtained control of the underlying asset. Accordingly, the Lease commenced for accounting purposes on June 1, 2026.</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Lease has an initial term of approximately 11 years and expires on September 30, 2037. The Lease includes one option to renew for an additional five-year term.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Upon lease commencement, the Company recognized an operating lease right-of-use asset of $45.1 million and a corresponding operating lease liability of $44.9 million, measured using an incremental borrowing rate of 6.27%. Total estimated aggregate base rent payments under the Lease are approximately $61.5 million, excluding any payments associated with the renewal option.</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components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follows:</w:t>
      </w:r>
    </w:p>
    <w:tbl>
      <w:tblPr>
        <w:tblW w:w="6870" w:type="dxa"/>
        <w:jc w:val="center"/>
        <w:tblInd w:w="0" w:type="dxa"/>
        <w:tblLayout w:type="fixed"/>
        <w:tblCellMar>
          <w:top w:w="28" w:type="dxa"/>
          <w:left w:w="28" w:type="dxa"/>
          <w:bottom w:w="28" w:type="dxa"/>
          <w:right w:w="28" w:type="dxa"/>
        </w:tblCellMar>
      </w:tblPr>
      <w:tblGrid>
        <w:gridCol w:w="685"/>
        <w:gridCol w:w="601"/>
        <w:gridCol w:w="60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Variable lease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weighted</w:t>
      </w:r>
      <w:r>
        <w:rPr>
          <w:color w:val="231F20"/>
        </w:rPr>
        <w:t xml:space="preserve"> </w:t>
      </w:r>
      <w:r>
        <w:rPr>
          <w:rFonts w:ascii="Arial;sans-serif" w:hAnsi="Arial;sans-serif"/>
          <w:b w:val="false"/>
          <w:color w:val="231F20"/>
          <w:sz w:val="20"/>
        </w:rPr>
        <w:t>average</w:t>
      </w:r>
      <w:r>
        <w:rPr>
          <w:color w:val="231F20"/>
        </w:rPr>
        <w:t xml:space="preserve"> </w:t>
      </w:r>
      <w:r>
        <w:rPr>
          <w:rFonts w:ascii="Arial;sans-serif" w:hAnsi="Arial;sans-serif"/>
          <w:b w:val="false"/>
          <w:color w:val="231F20"/>
          <w:sz w:val="20"/>
        </w:rPr>
        <w:t>remaining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 and weighted average discount rate for operating leases were as follows:</w:t>
      </w:r>
    </w:p>
    <w:tbl>
      <w:tblPr>
        <w:tblW w:w="6261" w:type="dxa"/>
        <w:jc w:val="left"/>
        <w:tblInd w:w="0" w:type="dxa"/>
        <w:tblLayout w:type="fixed"/>
        <w:tblCellMar>
          <w:top w:w="28" w:type="dxa"/>
          <w:left w:w="28" w:type="dxa"/>
          <w:bottom w:w="28" w:type="dxa"/>
          <w:right w:w="28" w:type="dxa"/>
        </w:tblCellMar>
      </w:tblPr>
      <w:tblGrid>
        <w:gridCol w:w="1234"/>
        <w:gridCol w:w="1084"/>
        <w:gridCol w:w="1086"/>
        <w:gridCol w:w="245"/>
        <w:gridCol w:w="189"/>
        <w:gridCol w:w="477"/>
        <w:gridCol w:w="109"/>
        <w:gridCol w:w="109"/>
        <w:gridCol w:w="109"/>
        <w:gridCol w:w="330"/>
        <w:gridCol w:w="330"/>
        <w:gridCol w:w="959"/>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Weighted-average remaining lease term</w:t>
            </w:r>
          </w:p>
        </w:tc>
        <w:tc>
          <w:tcPr>
            <w:tcW w:w="911"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 years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Weighted average discount rate</w:t>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4.5 </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2.6 </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ind w:left="0" w:right="0" w:firstLine="450"/>
        <w:jc w:val="left"/>
        <w:rPr/>
      </w:pP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undiscounted</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under</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of June 30, 2026</w:t>
      </w:r>
      <w:r>
        <w:rPr>
          <w:color w:val="231F20"/>
        </w:rPr>
        <w:t xml:space="preserve"> </w:t>
      </w:r>
      <w:r>
        <w:rPr>
          <w:rFonts w:ascii="Arial;sans-serif" w:hAnsi="Arial;sans-serif"/>
          <w:b w:val="false"/>
          <w:color w:val="231F20"/>
          <w:sz w:val="20"/>
        </w:rPr>
        <w:t>were</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follows:</w:t>
      </w:r>
    </w:p>
    <w:tbl>
      <w:tblPr>
        <w:tblW w:w="4476" w:type="dxa"/>
        <w:jc w:val="center"/>
        <w:tblInd w:w="0" w:type="dxa"/>
        <w:tblLayout w:type="fixed"/>
        <w:tblCellMar>
          <w:top w:w="28" w:type="dxa"/>
          <w:left w:w="28" w:type="dxa"/>
          <w:bottom w:w="28" w:type="dxa"/>
          <w:right w:w="28" w:type="dxa"/>
        </w:tblCellMar>
      </w:tblPr>
      <w:tblGrid>
        <w:gridCol w:w="1191"/>
        <w:gridCol w:w="1044"/>
        <w:gridCol w:w="1050"/>
        <w:gridCol w:w="211"/>
        <w:gridCol w:w="82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Amount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2031 and 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68,489 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231F20"/>
                <w:sz w:val="18"/>
              </w:rPr>
              <w:t>Total</w:t>
            </w:r>
            <w:r>
              <w:rPr>
                <w:color w:val="231F20"/>
              </w:rPr>
              <w:t xml:space="preserve"> </w:t>
            </w:r>
            <w:r>
              <w:rPr>
                <w:rFonts w:ascii="Arial;sans-serif" w:hAnsi="Arial;sans-serif"/>
                <w:b w:val="false"/>
                <w:color w:val="231F20"/>
                <w:sz w:val="18"/>
              </w:rPr>
              <w:t>undiscounted</w:t>
            </w:r>
            <w:r>
              <w:rPr>
                <w:color w:val="231F20"/>
              </w:rPr>
              <w:t xml:space="preserve"> </w:t>
            </w:r>
            <w:r>
              <w:rPr>
                <w:rFonts w:ascii="Arial;sans-serif" w:hAnsi="Arial;sans-serif"/>
                <w:b w:val="false"/>
                <w:color w:val="231F20"/>
                <w:sz w:val="18"/>
              </w:rPr>
              <w:t>lease</w:t>
            </w:r>
            <w:r>
              <w:rPr>
                <w:color w:val="231F20"/>
              </w:rPr>
              <w:t xml:space="preserve"> </w:t>
            </w:r>
            <w:r>
              <w:rPr>
                <w:rFonts w:ascii="Arial;sans-serif" w:hAnsi="Arial;sans-serif"/>
                <w:b w:val="false"/>
                <w:color w:val="231F20"/>
                <w:sz w:val="18"/>
              </w:rPr>
              <w:t>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126,856 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231F20"/>
                <w:sz w:val="18"/>
              </w:rPr>
              <w:t>Less:</w:t>
            </w:r>
            <w:r>
              <w:rPr>
                <w:color w:val="231F20"/>
              </w:rPr>
              <w:t xml:space="preserve"> </w:t>
            </w:r>
            <w:r>
              <w:rPr>
                <w:rFonts w:ascii="Arial;sans-serif" w:hAnsi="Arial;sans-serif"/>
                <w:b w:val="false"/>
                <w:color w:val="231F20"/>
                <w:sz w:val="18"/>
              </w:rPr>
              <w:t>Imputed</w:t>
            </w:r>
            <w:r>
              <w:rPr>
                <w:color w:val="231F20"/>
              </w:rPr>
              <w:t xml:space="preserve"> </w:t>
            </w:r>
            <w:r>
              <w:rPr>
                <w:rFonts w:ascii="Arial;sans-serif" w:hAnsi="Arial;sans-serif"/>
                <w:b w:val="false"/>
                <w:color w:val="231F20"/>
                <w:sz w:val="18"/>
              </w:rPr>
              <w:t>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(25,857)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val="false"/>
                <w:color w:val="231F20"/>
                <w:sz w:val="18"/>
              </w:rPr>
              <w:t>Less:</w:t>
            </w:r>
            <w:r>
              <w:rPr>
                <w:color w:val="231F20"/>
              </w:rPr>
              <w:t xml:space="preserve"> </w:t>
            </w:r>
            <w:r>
              <w:rPr>
                <w:rFonts w:ascii="Arial;sans-serif" w:hAnsi="Arial;sans-serif"/>
                <w:b w:val="false"/>
                <w:color w:val="231F20"/>
                <w:sz w:val="18"/>
              </w:rPr>
              <w:t>Tenant</w:t>
            </w:r>
            <w:r>
              <w:rPr>
                <w:color w:val="231F20"/>
              </w:rPr>
              <w:t xml:space="preserve"> </w:t>
            </w:r>
            <w:r>
              <w:rPr>
                <w:rFonts w:ascii="Arial;sans-serif" w:hAnsi="Arial;sans-serif"/>
                <w:b w:val="false"/>
                <w:color w:val="231F20"/>
                <w:sz w:val="18"/>
              </w:rPr>
              <w:t>improvement</w:t>
            </w:r>
            <w:r>
              <w:rPr>
                <w:color w:val="231F20"/>
              </w:rPr>
              <w:t xml:space="preserve"> </w:t>
            </w:r>
            <w:r>
              <w:rPr>
                <w:rFonts w:ascii="Arial;sans-serif" w:hAnsi="Arial;sans-serif"/>
                <w:b w:val="false"/>
                <w:color w:val="231F20"/>
                <w:sz w:val="18"/>
              </w:rPr>
              <w:t>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pPr>
            <w:r>
              <w:rPr>
                <w:rFonts w:ascii="Arial;sans-serif" w:hAnsi="Arial;sans-serif"/>
                <w:b/>
                <w:color w:val="231F20"/>
                <w:sz w:val="18"/>
              </w:rPr>
              <w:t>Total</w:t>
            </w:r>
            <w:r>
              <w:rPr>
                <w:color w:val="231F20"/>
              </w:rPr>
              <w:t xml:space="preserve"> </w:t>
            </w:r>
            <w:r>
              <w:rPr>
                <w:rFonts w:ascii="Arial;sans-serif" w:hAnsi="Arial;sans-serif"/>
                <w:b/>
                <w:color w:val="231F20"/>
                <w:sz w:val="18"/>
              </w:rPr>
              <w:t>operating</w:t>
            </w:r>
            <w:r>
              <w:rPr>
                <w:color w:val="231F20"/>
              </w:rPr>
              <w:t xml:space="preserve"> </w:t>
            </w:r>
            <w:r>
              <w:rPr>
                <w:rFonts w:ascii="Arial;sans-serif" w:hAnsi="Arial;sans-serif"/>
                <w:b/>
                <w:color w:val="231F20"/>
                <w:sz w:val="18"/>
              </w:rPr>
              <w:t>lease</w:t>
            </w:r>
            <w:r>
              <w:rPr>
                <w:color w:val="231F20"/>
              </w:rPr>
              <w:t xml:space="preserve"> </w:t>
            </w:r>
            <w:r>
              <w:rPr>
                <w:rFonts w:ascii="Arial;sans-serif" w:hAnsi="Arial;sans-serif"/>
                <w:b/>
                <w:color w:val="231F20"/>
                <w:sz w:val="18"/>
              </w:rPr>
              <w:t>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231F20"/>
                <w:sz w:val="18"/>
              </w:rPr>
              <w:t>91,309</w:t>
            </w:r>
            <w:r>
              <w:rPr>
                <w:color w:val="231F2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_________</w:t>
      </w:r>
    </w:p>
    <w:p>
      <w:pPr>
        <w:pStyle w:val="TextBody"/>
        <w:bidi w:val="0"/>
        <w:spacing w:lineRule="auto" w:line="288" w:before="60" w:after="283"/>
        <w:ind w:left="0" w:right="0" w:hanging="180"/>
        <w:jc w:val="left"/>
        <w:rPr/>
      </w:pPr>
      <w:r>
        <w:rPr>
          <w:rFonts w:ascii="Arial;sans-serif" w:hAnsi="Arial;sans-serif"/>
          <w:b w:val="false"/>
          <w:color w:val="231F20"/>
          <w:sz w:val="16"/>
          <w:shd w:fill="FFFFFF" w:val="clear"/>
        </w:rPr>
        <w:t>*Tenant improvement</w:t>
      </w:r>
      <w:r>
        <w:rPr>
          <w:color w:val="231F20"/>
          <w:shd w:fill="FFFFFF" w:val="clear"/>
        </w:rPr>
        <w:t xml:space="preserve"> </w:t>
      </w:r>
      <w:r>
        <w:rPr>
          <w:rFonts w:ascii="Arial;sans-serif" w:hAnsi="Arial;sans-serif"/>
          <w:b w:val="false"/>
          <w:color w:val="231F20"/>
          <w:sz w:val="16"/>
          <w:shd w:fill="FFFFFF" w:val="clear"/>
        </w:rPr>
        <w:t>allowance is estimated</w:t>
      </w:r>
      <w:r>
        <w:rPr>
          <w:color w:val="231F20"/>
          <w:shd w:fill="FFFFFF" w:val="clear"/>
        </w:rPr>
        <w:t xml:space="preserve"> </w:t>
      </w:r>
      <w:r>
        <w:rPr>
          <w:rFonts w:ascii="Arial;sans-serif" w:hAnsi="Arial;sans-serif"/>
          <w:b w:val="false"/>
          <w:color w:val="231F20"/>
          <w:sz w:val="16"/>
          <w:shd w:fill="FFFFFF" w:val="clear"/>
        </w:rPr>
        <w:t>to be received</w:t>
      </w:r>
      <w:r>
        <w:rPr>
          <w:color w:val="231F20"/>
          <w:shd w:fill="FFFFFF" w:val="clear"/>
        </w:rPr>
        <w:t xml:space="preserve"> </w:t>
      </w:r>
      <w:r>
        <w:rPr>
          <w:rFonts w:ascii="Arial;sans-serif" w:hAnsi="Arial;sans-serif"/>
          <w:b w:val="false"/>
          <w:color w:val="231F20"/>
          <w:sz w:val="16"/>
          <w:shd w:fill="FFFFFF" w:val="clear"/>
        </w:rPr>
        <w:t>as follows:</w:t>
      </w:r>
      <w:r>
        <w:rPr>
          <w:color w:val="231F20"/>
          <w:shd w:fill="FFFFFF" w:val="clear"/>
        </w:rPr>
        <w:t xml:space="preserve"> </w:t>
      </w:r>
      <w:r>
        <w:rPr>
          <w:rFonts w:ascii="Arial;sans-serif" w:hAnsi="Arial;sans-serif"/>
          <w:b w:val="false"/>
          <w:color w:val="231F20"/>
          <w:sz w:val="16"/>
          <w:shd w:fill="FFFFFF" w:val="clear"/>
        </w:rPr>
        <w:t>approximately $0.4 million in the next twelve months and $9.3 million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NOTE 7. COMMON STOCK</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Samsung Stock Purchase Agreement (the “Samsung SPA”)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 xml:space="preserve">On June 25, 2026, the Company completed the issuance and sale of an aggregate of 1,570,308 shares of the Company's common stock to Samsung C&amp;T Corporation (“Samsung C&amp;T”) and Samsung Electronics Singapore Pte. Ltd. (together with Samsung C&amp;T, the “Samsung Investors”) in a private placement at a purchase price of $70.05 per share, for aggregate gross proceeds of approximately $110.0 million, pursuant to a Stock Purchase Agreement (the “Samsung SPA”), dated as of October 16, 2025, by and among the Company, the Samsung Investors, and Samsung Electronics Co., Ltd. (“Samsung Electronics”). The Company intends to use the net proceeds to fund its commercial activities and reimbursement efforts, as well as for working capital and other general corporate purposes.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The closing of the Samsung SPA was contingent upon, among other things, (i) execution of the Business Collaboration Agreement by January 31, 2026, and (ii) receipt of required regulatory approvals, including approval from the Committee on Foreign Investment in the United States ("CFIUS"). On January 27, 2026, the Company executed a Business Collaboration Agreement with Samsung C&amp;T (“Samsung BCA”) and on January 31, 2026 executed a Strategic and Operational Collaboration Agreement with Samsung Electronics. The Company subsequently received CFIUS approval in June 2026. The execution of these agreements and receipt of the required regulatory approval satisfied the conditions to closing under the Samsung SPA.</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Management concluded that the Samsung SPA and the Samsung BCA represent a single commercial arrangement and that a portion of the consideration received under the Samsung SPA represents share-based consideration payable to a customer in exchange for distinct goods or services to be received under the Samsung BCA. Accordingly, the transaction was accounted for under ASC 718, Compensation—Stock Compensation (“ASC 718”) and ASC 606, Revenue from Contracts with Customers (“ASC 606”).</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On October 16, 2025, the Company's common stock had a closing market price of $86.41 per share as compared to the contractual purchase price of $70.05 per share. The share-based consideration met the criteria for equity classification under ASC 718, and the closing conditions were determined to represent performance conditions of the award. The consideration in connection with this transaction was contingent upon the performance conditions becoming probable of being satisfied. These conditions were satisfied during the second quarter of 2026, and the Company recognized the transaction, upon closing, during the three months ended June 30, 2026.</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Although the contractual purchase price of $70.05 per share represented a 10% premium to the 15-day volume-weighted average trading price of the Company's common stock immediately preceding execution of the Samsung SPA, ASC 718 requires the share-based consideration to be measured at its grant-date fair value. The grant-date fair value of the share-based consideration of $25.4 million was determined using a forward contract valuation methodology. The valuation primarily reflected the difference between the grant-date closing market price of the Company's common stock of $86.41 per share and the contractual purchase price of $70.05 per share. The excess of the grant-date fair value over the contractual purchase price was recognized as a deferred asset because the Company expects to recognize future revenue generated under the Samsung BCA, but no contract with a customer within the scope of ASC 606 existed at the recognition date.</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During the second quarter of 2026, the Company evaluated the deferred asset for recoverability. Based on management's estimate, the carrying amount of the deferred asset was not recoverable under the executed Samsung BCA based on the estimated consideration expected to be received, less the remaining costs directly related to providing the associated goods and services. Accordingly, the Company recognized a full impairment charge of $25.4 million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231F20"/>
          <w:sz w:val="20"/>
        </w:rPr>
        <w:t>NOTE 8.</w:t>
      </w:r>
      <w:r>
        <w:rPr>
          <w:color w:val="231F20"/>
        </w:rPr>
        <w:t xml:space="preserve"> </w:t>
      </w:r>
      <w:r>
        <w:rPr>
          <w:rFonts w:ascii="Arial;sans-serif" w:hAnsi="Arial;sans-serif"/>
          <w:b/>
          <w:color w:val="231F20"/>
          <w:sz w:val="20"/>
        </w:rPr>
        <w:t>LEGAL PROCEEDINGS, COMMITMENTS, AND CONTINGENCIES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is subject to various claims, complaints, regulatory proceedings, and legal actions that arise from time to time in the ordinary course of business.</w:t>
      </w:r>
    </w:p>
    <w:p>
      <w:pPr>
        <w:pStyle w:val="TextBody"/>
        <w:bidi w:val="0"/>
        <w:spacing w:before="0" w:after="0"/>
        <w:jc w:val="left"/>
        <w:rPr/>
      </w:pPr>
      <w:r>
        <w:rPr/>
      </w:r>
    </w:p>
    <w:p>
      <w:pPr>
        <w:pStyle w:val="TextBody"/>
        <w:bidi w:val="0"/>
        <w:spacing w:lineRule="auto" w:line="288" w:before="0" w:after="0"/>
        <w:ind w:left="0" w:right="0" w:firstLine="420"/>
        <w:jc w:val="left"/>
        <w:rPr>
          <w:rFonts w:ascii="Arial;sans-serif" w:hAnsi="Arial;sans-serif"/>
          <w:b/>
          <w:i/>
          <w:color w:val="231F20"/>
          <w:sz w:val="20"/>
        </w:rPr>
      </w:pPr>
      <w:r>
        <w:rPr>
          <w:rFonts w:ascii="Arial;sans-serif" w:hAnsi="Arial;sans-serif"/>
          <w:b/>
          <w:i/>
          <w:color w:val="231F20"/>
          <w:sz w:val="20"/>
        </w:rPr>
        <w:t>Illumina Federal Securities Class Actions</w:t>
      </w:r>
    </w:p>
    <w:p>
      <w:pPr>
        <w:pStyle w:val="TextBody"/>
        <w:bidi w:val="0"/>
        <w:spacing w:before="0" w:after="0"/>
        <w:ind w:left="0" w:right="0" w:firstLine="420"/>
        <w:jc w:val="left"/>
        <w:rPr/>
      </w:pPr>
      <w:r>
        <w:rPr/>
      </w:r>
    </w:p>
    <w:p>
      <w:pPr>
        <w:pStyle w:val="TextBody"/>
        <w:bidi w:val="0"/>
        <w:spacing w:lineRule="auto" w:line="288" w:before="0" w:after="0"/>
        <w:ind w:left="0" w:right="0" w:firstLine="720"/>
        <w:jc w:val="left"/>
        <w:rPr>
          <w:rFonts w:ascii="Arial;sans-serif" w:hAnsi="Arial;sans-serif"/>
          <w:b w:val="false"/>
          <w:color w:val="231F20"/>
          <w:sz w:val="20"/>
        </w:rPr>
      </w:pPr>
      <w:r>
        <w:rPr>
          <w:rFonts w:ascii="Arial;sans-serif" w:hAnsi="Arial;sans-serif"/>
          <w:b w:val="false"/>
          <w:color w:val="231F20"/>
          <w:sz w:val="20"/>
        </w:rPr>
        <w:t xml:space="preserve">On November 11, 2023, the first of three securities class action complaints was filed against Illumina and certain of its current and former executive officers in the United States District Court for the Southern District of California. The first-filed case is captioned Kangas v. Illumina, Inc. et al., the second-filed case is captioned Roy v. Illumina, Inc. et al., and the third-filed case is captioned Louisiana Sheriffs’ Pension &amp; Relief Fund v. Illumina, Inc. et al. (collectively, the “Illumina Actions”). The complaints generally allege, among other things, that defendants made materially false and misleading statements and omitted material facts relating to Illumina’s acquisition of GRAIL. The complaints seek unspecified damages, interest, fees, and costs. On January 9, 2024, four movants filed motions to consolidate the Illumina Actions and to appoint a lead plaintiff (“Lead Plaintiff Motions”). On April 11, 2024, the Court issued an order consolidating the Illumina Actions into a single action (captioned in re Illumina, Inc. Securities Litigation No. 23-cv-2082-LL-MMP), and appointed Universal-Investment-Gesellschaft mbH, UI BVK Kapitalverwaltungsgesellschaft mbH, and ACATIS Investment Kapitalverwaltungsgesellschaft mbH as lead </w:t>
      </w:r>
    </w:p>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plaintiffs. (the “Lead Plaintiffs”). On June 21, 2024, the Lead Plaintiffs filed a consolidated amended complaint. The amended complaint alleges that GRAIL, in addition to Illumina, and certain of their respective current and former directors and others violated sections 10(b) and 20(a) of the Securities Exchange Act and SEC Rule 10b-5 in connection with Illumina's acquisition of GRAIL and disclosures concerning the same. GRAIL has an indemnification obligation for certain current and former directors and officers involved in the matter pursuant to indemnification agreements entered into by these individuals and GRAIL. On September 13, 2024 the plaintiffs further amended the complaint. On November 12, 2024, the Company moved to dismiss Lead Plaintiffs’ second amended complaint for failure to state a claim under Sections 10(b) and 20(a) of the Exchange Act. Lead Plaintiffs filed their opposition to the motion to dismiss on December 20, 2024, and the Company filed its reply in support of its motion to dismiss on February 3, 2025. On September 26, 2025, the court granted the motion to dismiss for failure to state a claim with leave to amend, and ordered the plaintiffs to file an amended complaint, if any, by October 27, 2025. On October 27, 2025, the Lead Plaintiffs filed their third amended complaint. On December 11, 2025, the Company filed a motion to dismiss Lead Plaintiffs’ third amended complaint. On February 4, 2026, the Lead Plaintiffs opposed the motion to dismiss, and on March 6, 2026, the Company filed a reply in support of its motion to dismiss. In light of the fact that the lawsuits are in an early stage, the Company cannot predict the ultimate outcome of the suits.</w:t>
      </w:r>
    </w:p>
    <w:p>
      <w:pPr>
        <w:pStyle w:val="TextBody"/>
        <w:bidi w:val="0"/>
        <w:spacing w:before="0" w:after="0"/>
        <w:jc w:val="left"/>
        <w:rPr/>
      </w:pPr>
      <w:r>
        <w:rPr/>
      </w:r>
    </w:p>
    <w:p>
      <w:pPr>
        <w:pStyle w:val="TextBody"/>
        <w:bidi w:val="0"/>
        <w:spacing w:lineRule="auto" w:line="288" w:before="0" w:after="0"/>
        <w:ind w:left="0" w:right="0" w:firstLine="420"/>
        <w:jc w:val="left"/>
        <w:rPr>
          <w:rFonts w:ascii="Arial;sans-serif" w:hAnsi="Arial;sans-serif"/>
          <w:b/>
          <w:i/>
          <w:color w:val="231F20"/>
          <w:sz w:val="20"/>
        </w:rPr>
      </w:pPr>
      <w:r>
        <w:rPr>
          <w:rFonts w:ascii="Arial;sans-serif" w:hAnsi="Arial;sans-serif"/>
          <w:b/>
          <w:i/>
          <w:color w:val="231F20"/>
          <w:sz w:val="20"/>
        </w:rPr>
        <w:t>NHS-Galleri Disclosures Federal Securities Class Action And Related Actions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Arial;sans-serif" w:hAnsi="Arial;sans-serif"/>
          <w:b w:val="false"/>
          <w:color w:val="231F20"/>
          <w:sz w:val="20"/>
        </w:rPr>
        <w:t xml:space="preserve">On June 5, 2026, a putative securities class action captioned </w:t>
      </w:r>
      <w:r>
        <w:rPr>
          <w:rFonts w:ascii="Arial;sans-serif" w:hAnsi="Arial;sans-serif"/>
          <w:b w:val="false"/>
          <w:i/>
          <w:color w:val="231F20"/>
          <w:sz w:val="20"/>
        </w:rPr>
        <w:t xml:space="preserve">Robbins v. GRAIL, Inc. et al </w:t>
      </w:r>
      <w:r>
        <w:rPr>
          <w:rFonts w:ascii="Arial;sans-serif" w:hAnsi="Arial;sans-serif"/>
          <w:b w:val="false"/>
          <w:color w:val="231F20"/>
          <w:sz w:val="20"/>
        </w:rPr>
        <w:t xml:space="preserve">was filed against the Company and certain of its current and former executive officers in the Northern District of California, alleging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that defendants violated Sections 10(b) and 20(a) of the Securities Exchange Act and SEC Rule 10b</w:t>
        <w:noBreakHyphen/>
        <w:t>5 by making materially false and misleading statements regarding the NHS</w:t>
        <w:noBreakHyphen/>
        <w:t xml:space="preserve">Galleri Trial. The complaint seeks certification of a class of investors who purchased GRAIL stock during the alleged class period and monetary damages, plus interest, attorneys’ and experts’ fees, costs, and other relief that may be awarded by the court. The Company has an indemnification obligation for certain current and former officers involved in the matter pursuant to indemnification agreements entered into by these individuals and GRAIL. The action is at an early stage, and no responsive pleadings have yet been filed. The case is pending appointment of lead plaintiff(s). The parties have stipulated to extend defendants’ deadline to respond to the complaint until after the lead plaintiff process is complete, at which point a consolidated amended complaint is expected to be filed. </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On June 23, 2026, a shareholder derivative action captioned </w:t>
      </w:r>
      <w:r>
        <w:rPr>
          <w:rFonts w:ascii="Arial;sans-serif" w:hAnsi="Arial;sans-serif"/>
          <w:b w:val="false"/>
          <w:i/>
          <w:color w:val="231F20"/>
          <w:sz w:val="20"/>
        </w:rPr>
        <w:t xml:space="preserve">Augitto v. Ragusa et al. </w:t>
      </w:r>
      <w:r>
        <w:rPr>
          <w:rFonts w:ascii="Arial;sans-serif" w:hAnsi="Arial;sans-serif"/>
          <w:b w:val="false"/>
          <w:color w:val="231F20"/>
          <w:sz w:val="20"/>
        </w:rPr>
        <w:t>was filed against the Company’s current Board members and certain current and former officers in the Northern District of California, alleging that defendants breached their fiduciary duties by causing or permitting the Company to make materially false and misleading statements and omissions concerning the NHS</w:t>
        <w:noBreakHyphen/>
        <w:t xml:space="preserve">Galleri Trial, tracking the same alleged misstatements, and omissions underlying the </w:t>
      </w:r>
      <w:r>
        <w:rPr>
          <w:rFonts w:ascii="Arial;sans-serif" w:hAnsi="Arial;sans-serif"/>
          <w:b w:val="false"/>
          <w:i/>
          <w:color w:val="231F20"/>
          <w:sz w:val="20"/>
        </w:rPr>
        <w:t>Robbins</w:t>
      </w:r>
      <w:r>
        <w:rPr>
          <w:color w:val="231F20"/>
        </w:rPr>
        <w:t xml:space="preserve"> </w:t>
      </w:r>
      <w:r>
        <w:rPr>
          <w:rFonts w:ascii="Arial;sans-serif" w:hAnsi="Arial;sans-serif"/>
          <w:b w:val="false"/>
          <w:color w:val="231F20"/>
          <w:sz w:val="20"/>
        </w:rPr>
        <w:t xml:space="preserve">action. The complaint asserts claims for breach of fiduciary duty, unjust enrichment, abuse of control, gross mismanagement, waste of corporate assets, violations of Exchange Act Section 14(a) in connection with the Company’s 2025 proxy statement, and derivative contribution claims under Sections 10(b) and 21D. The complaint seeks relief on behalf of the Company, including damages, equitable relief, attorneys’ and experts’ fees, costs, and other relief that may be awarded by the court. The action is at an early stage and has been related to the </w:t>
      </w:r>
      <w:r>
        <w:rPr>
          <w:rFonts w:ascii="Arial;sans-serif" w:hAnsi="Arial;sans-serif"/>
          <w:b w:val="false"/>
          <w:i/>
          <w:color w:val="231F20"/>
          <w:sz w:val="20"/>
        </w:rPr>
        <w:t>Robbins</w:t>
      </w:r>
      <w:r>
        <w:rPr>
          <w:color w:val="231F20"/>
        </w:rPr>
        <w:t xml:space="preserve"> </w:t>
      </w:r>
      <w:r>
        <w:rPr>
          <w:rFonts w:ascii="Arial;sans-serif" w:hAnsi="Arial;sans-serif"/>
          <w:b w:val="false"/>
          <w:color w:val="231F20"/>
          <w:sz w:val="20"/>
        </w:rPr>
        <w:t>securities action. The parties have stipulated to extend defendants’ deadline to respond to the complaint until September 14, 2026.</w:t>
      </w:r>
    </w:p>
    <w:p>
      <w:pPr>
        <w:pStyle w:val="TextBody"/>
        <w:bidi w:val="0"/>
        <w:spacing w:lineRule="auto" w:line="288" w:before="240" w:after="283"/>
        <w:ind w:left="0" w:right="0" w:firstLine="420"/>
        <w:jc w:val="left"/>
        <w:rPr>
          <w:rFonts w:ascii="Arial;sans-serif" w:hAnsi="Arial;sans-serif"/>
          <w:b/>
          <w:i/>
          <w:color w:val="231F20"/>
          <w:sz w:val="20"/>
        </w:rPr>
      </w:pPr>
      <w:r>
        <w:rPr>
          <w:rFonts w:ascii="Arial;sans-serif" w:hAnsi="Arial;sans-serif"/>
          <w:b/>
          <w:i/>
          <w:color w:val="231F20"/>
          <w:sz w:val="20"/>
        </w:rPr>
        <w:t>Other Legal Matters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Legal matters include various claims, complaints, and legal actions that arise from time to time. The Company has entered into indemnification agreements with each of its current and former directors, executive officers, and certain other officers, to provide, among other things, for indemnification to the fullest extent permitted by law and our certificate of incorporation and bylaws, and has certain obligations to these individuals, which may give rise to liability for the Company even if the Company is not directly named. The Company has indemnification obligations in respect of the Illumina Actions and with respect to other legal matters that may arise, or have arisen,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pStyle w:val="TextBody"/>
        <w:bidi w:val="0"/>
        <w:spacing w:lineRule="auto" w:line="288" w:before="240" w:after="283"/>
        <w:ind w:left="0" w:right="0" w:firstLine="450"/>
        <w:jc w:val="left"/>
        <w:rPr/>
      </w:pPr>
      <w:r>
        <w:rPr>
          <w:rFonts w:ascii="Arial;sans-serif" w:hAnsi="Arial;sans-serif"/>
          <w:b w:val="false"/>
          <w:color w:val="231F20"/>
          <w:sz w:val="20"/>
        </w:rPr>
        <w:t>The Company is involved in various lawsuits and claims arising in the ordinary course of business, including actions with respect to employment matters. In connection with these matters, the Company assesses,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The Company regularly reviews outstanding legal matters to determine the adequacy of the liabilities accrued and related disclosures. The Company may change its estimates if its assessment of the various factors changes and the amount of ultimate loss may differ from estimates, resulting in a material effect on the Company’s business, financial condition, results of operations, and/or cash flows. As of June 30, 2026, the Company is unable to estimate a range of possible loss in excess of the amounts accrued</w:t>
      </w:r>
      <w:r>
        <w:rPr>
          <w:rFonts w:ascii="Times New Roman;serif" w:hAnsi="Times New Roman;serif"/>
          <w:b w:val="false"/>
          <w:color w:val="231F20"/>
          <w:sz w:val="20"/>
        </w:rPr>
        <w:t>.</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Contingencies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June 21, 2024, in connection with the Company’s spin-off from Illumina (the “Spin-Off”), Illumina and the Company entered into the Tax Matters Agreement to govern the respective rights, responsibilities and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jc w:val="left"/>
        <w:rPr/>
      </w:pPr>
      <w:r>
        <w:rPr>
          <w:rFonts w:ascii="Arial;sans-serif" w:hAnsi="Arial;sans-serif"/>
          <w:b w:val="false"/>
          <w:color w:val="000000"/>
          <w:sz w:val="20"/>
        </w:rPr>
        <w:t xml:space="preserve">of Illumina and the Company after the Spin-Off with respect to all tax matters and will include restrictions to preserve the tax-free status of the Distribution. The Tax Matters Agreement included a number of restrictions on the Company to preserve the intended tax treatment of the Spin-Off. Breach of any covenant or representation contained in the Tax Matters Agreement will result in liability to specific separation taxes. As of </w:t>
      </w:r>
      <w:r>
        <w:rPr>
          <w:rFonts w:ascii="Arial;sans-serif" w:hAnsi="Arial;sans-serif"/>
          <w:b w:val="false"/>
          <w:color w:val="231F20"/>
          <w:sz w:val="20"/>
        </w:rPr>
        <w:t>June 30, 2026</w:t>
      </w:r>
      <w:r>
        <w:rPr>
          <w:rFonts w:ascii="Arial;sans-serif" w:hAnsi="Arial;sans-serif"/>
          <w:b w:val="false"/>
          <w:color w:val="000000"/>
          <w:sz w:val="20"/>
        </w:rPr>
        <w:t>, as it was not probable that the Company will breach the agreement, no contingent liability was recorded in connection with the Tax Matters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231F20"/>
          <w:sz w:val="20"/>
        </w:rPr>
        <w:t>NOTE 9.</w:t>
      </w:r>
      <w:r>
        <w:rPr>
          <w:color w:val="231F20"/>
        </w:rPr>
        <w:t xml:space="preserve"> </w:t>
      </w:r>
      <w:r>
        <w:rPr>
          <w:rFonts w:ascii="Arial;sans-serif" w:hAnsi="Arial;sans-serif"/>
          <w:b/>
          <w:color w:val="231F20"/>
          <w:sz w:val="20"/>
        </w:rPr>
        <w:t>NET LOSS PER SHARE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presents the calculation of the Company’s basic and diluted net loss per share:</w:t>
      </w:r>
    </w:p>
    <w:tbl>
      <w:tblPr>
        <w:tblW w:w="10205" w:type="dxa"/>
        <w:jc w:val="center"/>
        <w:tblInd w:w="0" w:type="dxa"/>
        <w:tblLayout w:type="fixed"/>
        <w:tblCellMar>
          <w:top w:w="28" w:type="dxa"/>
          <w:left w:w="28" w:type="dxa"/>
          <w:bottom w:w="28" w:type="dxa"/>
          <w:right w:w="28" w:type="dxa"/>
        </w:tblCellMar>
      </w:tblPr>
      <w:tblGrid>
        <w:gridCol w:w="1614"/>
        <w:gridCol w:w="1361"/>
        <w:gridCol w:w="1370"/>
        <w:gridCol w:w="211"/>
        <w:gridCol w:w="888"/>
        <w:gridCol w:w="109"/>
        <w:gridCol w:w="109"/>
        <w:gridCol w:w="109"/>
        <w:gridCol w:w="109"/>
        <w:gridCol w:w="211"/>
        <w:gridCol w:w="888"/>
        <w:gridCol w:w="109"/>
        <w:gridCol w:w="109"/>
        <w:gridCol w:w="109"/>
        <w:gridCol w:w="109"/>
        <w:gridCol w:w="211"/>
        <w:gridCol w:w="888"/>
        <w:gridCol w:w="109"/>
        <w:gridCol w:w="109"/>
        <w:gridCol w:w="109"/>
        <w:gridCol w:w="109"/>
        <w:gridCol w:w="211"/>
        <w:gridCol w:w="888"/>
        <w:gridCol w:w="156"/>
      </w:tblGrid>
      <w:tr>
        <w:trPr/>
        <w:tc>
          <w:tcPr>
            <w:tcW w:w="161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4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 except share and per share data)</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4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Numerator</w:t>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(220,198)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Denominator</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5"/>
              <w:jc w:val="left"/>
              <w:rPr>
                <w:rFonts w:ascii="Arial;sans-serif" w:hAnsi="Arial;sans-serif"/>
                <w:b w:val="false"/>
                <w:color w:val="000000"/>
                <w:sz w:val="18"/>
              </w:rPr>
            </w:pPr>
            <w:r>
              <w:rPr>
                <w:rFonts w:ascii="Arial;sans-serif" w:hAnsi="Arial;sans-serif"/>
                <w:b w:val="false"/>
                <w:color w:val="000000"/>
                <w:sz w:val="18"/>
              </w:rPr>
              <w:t>Weighted average shares of common stock—basic and diluted</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43,112,595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35,793,154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41,883,565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59"/>
              <w:jc w:val="right"/>
              <w:rPr>
                <w:rFonts w:ascii="Arial;sans-serif" w:hAnsi="Arial;sans-serif"/>
                <w:b w:val="false"/>
                <w:color w:val="000000"/>
                <w:sz w:val="18"/>
              </w:rPr>
            </w:pPr>
            <w:r>
              <w:rPr>
                <w:rFonts w:ascii="Arial;sans-serif" w:hAnsi="Arial;sans-serif"/>
                <w:b w:val="false"/>
                <w:color w:val="000000"/>
                <w:sz w:val="18"/>
              </w:rPr>
              <w:t>35,054,896</w:t>
            </w:r>
          </w:p>
        </w:tc>
      </w:tr>
      <w:tr>
        <w:trPr/>
        <w:tc>
          <w:tcPr>
            <w:tcW w:w="4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Net loss per share </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4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4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Since the Company was in a loss position for all periods presented, basic net loss per share is the same as diluted net loss per share, as the inclusion of all potential shares of common stock outstanding would have been anti-dilutive.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common stock equivalents were excluded from the calculation of diluted net loss per share for the periods presented as they had an anti-dilutive effect:</w:t>
      </w:r>
    </w:p>
    <w:tbl>
      <w:tblPr>
        <w:tblW w:w="5740" w:type="dxa"/>
        <w:jc w:val="left"/>
        <w:tblInd w:w="0" w:type="dxa"/>
        <w:tblLayout w:type="fixed"/>
        <w:tblCellMar>
          <w:top w:w="28" w:type="dxa"/>
          <w:left w:w="28" w:type="dxa"/>
          <w:bottom w:w="28" w:type="dxa"/>
          <w:right w:w="28" w:type="dxa"/>
        </w:tblCellMar>
      </w:tblPr>
      <w:tblGrid>
        <w:gridCol w:w="1042"/>
        <w:gridCol w:w="917"/>
        <w:gridCol w:w="920"/>
        <w:gridCol w:w="484"/>
        <w:gridCol w:w="258"/>
        <w:gridCol w:w="258"/>
        <w:gridCol w:w="258"/>
        <w:gridCol w:w="258"/>
        <w:gridCol w:w="258"/>
        <w:gridCol w:w="465"/>
        <w:gridCol w:w="258"/>
        <w:gridCol w:w="36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and Six Months Ended</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Unvested restricted stock units</w:t>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3,793,427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5,261,148</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Unvested performance options</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104,315</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104,315</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Shares issuable under ESPP</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83,140</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145,433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Unvested performance stock units</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21,001</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Total</w:t>
            </w:r>
          </w:p>
        </w:tc>
        <w:tc>
          <w:tcPr>
            <w:tcW w:w="10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4,001,883</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5,510,896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jc w:val="left"/>
        <w:rPr/>
      </w:pPr>
      <w:r>
        <w:rPr>
          <w:rFonts w:ascii="Arial;sans-serif" w:hAnsi="Arial;sans-serif"/>
          <w:b/>
          <w:color w:val="231F20"/>
          <w:sz w:val="20"/>
        </w:rPr>
        <w:t>NOTE 10.</w:t>
      </w:r>
      <w:r>
        <w:rPr>
          <w:color w:val="231F20"/>
        </w:rPr>
        <w:t xml:space="preserve"> </w:t>
      </w:r>
      <w:r>
        <w:rPr>
          <w:rFonts w:ascii="Arial;sans-serif" w:hAnsi="Arial;sans-serif"/>
          <w:b/>
          <w:color w:val="231F20"/>
          <w:sz w:val="20"/>
        </w:rPr>
        <w:t>TAXES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For interim financial statement purposes, U.S. GAAP provision (benefit) for taxes related to ordinary income (loss) is determined by applying an estimated annual effective income tax rate against a company’s ordinary income (loss), subject to certain limitations on the benefit of losses. Provision (benefit) for taxes related to items not characterized as ordinary income is recognized as a discrete item when incurred. The estimation of the Company’s income tax provision requires the use of management forecasts and other estimates, application of statutory income tax rates, and an evaluation of valuation allowances. The Company’s estimated annual effective income tax rate may be revised, if necessary, in each interim period.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worldwide effective income tax rates for the six months ended June 30, 2026 and June 30, 2025 were 30.85% and 26.40%, respectively. The increase in benefit from income taxes was primarily driven by discrete tax benefits from stock-based compensation and asset impairment as well as a higher effective tax rate due to these discrete tax benefits.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effective tax rate was higher than the 21% U.S. federal statutory rate for the six months ended June 30, 2026, primarily due to state taxes and discrete tax benefits.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accounts for uncertain tax positions using a more-likely-than-not threshold for recognizing and resolving uncertain tax positions. This evaluation is based on factors including, but not limited to, changes in facts or circumstances, changes in tax law, effectively settled issues under audit, and new audit activity. Interest and penalties related to unrecognized tax benefits are included within income tax expense. For the six months ended June 30, 2026, the Company recorded an income tax benefit related to its Federal and California R&amp;D Credits of $1.5 million and $0.8 million, respectively.</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files income tax returns in the U.S. federal jurisdiction and various states. As of the date of this filing,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240" w:after="283"/>
        <w:jc w:val="left"/>
        <w:rPr/>
      </w:pPr>
      <w:r>
        <w:rPr>
          <w:rFonts w:ascii="Arial;sans-serif" w:hAnsi="Arial;sans-serif"/>
          <w:b/>
          <w:color w:val="231F20"/>
          <w:sz w:val="20"/>
        </w:rPr>
        <w:t>NOTE 11.</w:t>
      </w:r>
      <w:r>
        <w:rPr>
          <w:color w:val="231F20"/>
        </w:rPr>
        <w:t xml:space="preserve"> </w:t>
      </w:r>
      <w:r>
        <w:rPr>
          <w:rFonts w:ascii="Arial;sans-serif" w:hAnsi="Arial;sans-serif"/>
          <w:b/>
          <w:color w:val="231F20"/>
          <w:sz w:val="20"/>
        </w:rPr>
        <w:t>SEGMENT INFORMATION</w:t>
      </w:r>
    </w:p>
    <w:p>
      <w:pPr>
        <w:pStyle w:val="TextBody"/>
        <w:bidi w:val="0"/>
        <w:spacing w:lineRule="auto" w:line="288" w:before="240" w:after="283"/>
        <w:ind w:left="0" w:right="0" w:firstLine="450"/>
        <w:jc w:val="left"/>
        <w:rPr/>
      </w:pPr>
      <w:r>
        <w:rPr>
          <w:rFonts w:ascii="Arial;sans-serif" w:hAnsi="Arial;sans-serif"/>
          <w:b w:val="false"/>
          <w:color w:val="231F20"/>
          <w:sz w:val="20"/>
        </w:rPr>
        <w:t>The Company operates</w:t>
      </w:r>
      <w:r>
        <w:rPr>
          <w:color w:val="231F20"/>
        </w:rPr>
        <w:t xml:space="preserve"> </w:t>
      </w:r>
      <w:r>
        <w:rPr>
          <w:rFonts w:ascii="Arial;sans-serif" w:hAnsi="Arial;sans-serif"/>
          <w:b w:val="false"/>
          <w:color w:val="231F20"/>
          <w:sz w:val="20"/>
        </w:rPr>
        <w:t>and manages</w:t>
      </w:r>
      <w:r>
        <w:rPr>
          <w:color w:val="231F20"/>
        </w:rPr>
        <w:t xml:space="preserve"> </w:t>
      </w:r>
      <w:r>
        <w:rPr>
          <w:rFonts w:ascii="Arial;sans-serif" w:hAnsi="Arial;sans-serif"/>
          <w:b w:val="false"/>
          <w:color w:val="231F20"/>
          <w:sz w:val="20"/>
        </w:rPr>
        <w:t>its business</w:t>
      </w:r>
      <w:r>
        <w:rPr>
          <w:color w:val="231F20"/>
        </w:rPr>
        <w:t xml:space="preserve"> </w:t>
      </w:r>
      <w:r>
        <w:rPr>
          <w:rFonts w:ascii="Arial;sans-serif" w:hAnsi="Arial;sans-serif"/>
          <w:b w:val="false"/>
          <w:color w:val="231F20"/>
          <w:sz w:val="20"/>
        </w:rPr>
        <w:t>as one reportable</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segment.</w:t>
      </w:r>
      <w:r>
        <w:rPr>
          <w:color w:val="231F20"/>
        </w:rPr>
        <w:t xml:space="preserve"> </w:t>
      </w:r>
      <w:r>
        <w:rPr>
          <w:rFonts w:ascii="Arial;sans-serif" w:hAnsi="Arial;sans-serif"/>
          <w:b w:val="false"/>
          <w:color w:val="231F20"/>
          <w:sz w:val="20"/>
        </w:rPr>
        <w:t>The Company's chief operating decision maker (“CODM”) is the chief executive officer. The CODM</w:t>
      </w:r>
      <w:r>
        <w:rPr>
          <w:color w:val="231F20"/>
        </w:rPr>
        <w:t xml:space="preserve"> </w:t>
      </w:r>
      <w:r>
        <w:rPr>
          <w:rFonts w:ascii="Arial;sans-serif" w:hAnsi="Arial;sans-serif"/>
          <w:b w:val="false"/>
          <w:color w:val="231F20"/>
          <w:sz w:val="20"/>
        </w:rPr>
        <w:t>reviews</w:t>
      </w:r>
      <w:r>
        <w:rPr>
          <w:color w:val="231F20"/>
        </w:rPr>
        <w:t xml:space="preserve"> </w:t>
      </w:r>
      <w:r>
        <w:rPr>
          <w:rFonts w:ascii="Arial;sans-serif" w:hAnsi="Arial;sans-serif"/>
          <w:b w:val="false"/>
          <w:color w:val="231F20"/>
          <w:sz w:val="20"/>
        </w:rPr>
        <w:t>financial information</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aggregate</w:t>
      </w:r>
      <w:r>
        <w:rPr>
          <w:color w:val="231F20"/>
        </w:rPr>
        <w:t xml:space="preserve"> </w:t>
      </w:r>
      <w:r>
        <w:rPr>
          <w:rFonts w:ascii="Arial;sans-serif" w:hAnsi="Arial;sans-serif"/>
          <w:b w:val="false"/>
          <w:color w:val="231F20"/>
          <w:sz w:val="20"/>
        </w:rPr>
        <w:t>basis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purposes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evaluating</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allocating</w:t>
      </w:r>
      <w:r>
        <w:rPr>
          <w:color w:val="231F20"/>
        </w:rPr>
        <w:t xml:space="preserve"> </w:t>
      </w:r>
      <w:r>
        <w:rPr>
          <w:rFonts w:ascii="Arial;sans-serif" w:hAnsi="Arial;sans-serif"/>
          <w:b w:val="false"/>
          <w:color w:val="231F20"/>
          <w:sz w:val="20"/>
        </w:rPr>
        <w:t>resources based on net income (loss), adjusted gross margin and adjusted EBITDA.</w:t>
      </w:r>
      <w:r>
        <w:rPr>
          <w:color w:val="231F20"/>
        </w:rPr>
        <w:t xml:space="preserve"> </w:t>
      </w:r>
      <w:r>
        <w:rPr>
          <w:rFonts w:ascii="Arial;sans-serif" w:hAnsi="Arial;sans-serif"/>
          <w:b w:val="false"/>
          <w:color w:val="231F20"/>
          <w:sz w:val="20"/>
        </w:rPr>
        <w:t>Net income (loss) is the measure of segment profit most consistent with U.S. GAAP that is regularly reviewed by the CODM to allocate resources and assess performance. The CODM does not evaluate operating segment performance using asset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Arial;sans-serif" w:hAnsi="Arial;sans-serif"/>
          <w:b w:val="false"/>
          <w:color w:val="231F20"/>
          <w:sz w:val="20"/>
        </w:rPr>
        <w:t xml:space="preserve">Effective June 1, 2026, Dr. Joshua Ofman was appointed chief executive officer and became the Company’s CODM. Following this leadership transition, the Company revised the internal management reporting package provided to the CODM, including changes to the presentation and composition of segment expenses, to align with how the CODM manages operations, assesses performance, allocates resources, and develops strategic priorities. As a result, the Company updated its segment reporting structure and has revised the presentation of segment information for the six months ended June 30, 2026, and three and six months ended June 30, 2025, to conform to the current-period presentation. </w:t>
      </w:r>
      <w:r>
        <w:rPr>
          <w:rFonts w:ascii="Arial;sans-serif" w:hAnsi="Arial;sans-serif"/>
          <w:b w:val="false"/>
          <w:color w:val="000000"/>
          <w:sz w:val="20"/>
        </w:rPr>
        <w:t>The Company continues to operate and manage its business as one reportable segment and the revised presentation does not change total revenue, total costs and operating expenses, or net loss for any period presented.</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The following table includes the significant expense categories regularly provided to the CODM when managing the Company’s single reporting segment. A reconciliation to the consolidated net loss for the three and six months ended June 30, 2026 and June 30, 2025 is included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7"/>
        <w:gridCol w:w="1363"/>
        <w:gridCol w:w="1354"/>
        <w:gridCol w:w="211"/>
        <w:gridCol w:w="878"/>
        <w:gridCol w:w="109"/>
        <w:gridCol w:w="109"/>
        <w:gridCol w:w="109"/>
        <w:gridCol w:w="109"/>
        <w:gridCol w:w="211"/>
        <w:gridCol w:w="878"/>
        <w:gridCol w:w="109"/>
        <w:gridCol w:w="109"/>
        <w:gridCol w:w="109"/>
        <w:gridCol w:w="109"/>
        <w:gridCol w:w="211"/>
        <w:gridCol w:w="878"/>
        <w:gridCol w:w="109"/>
        <w:gridCol w:w="109"/>
        <w:gridCol w:w="109"/>
        <w:gridCol w:w="109"/>
        <w:gridCol w:w="211"/>
        <w:gridCol w:w="878"/>
        <w:gridCol w:w="157"/>
      </w:tblGrid>
      <w:tr>
        <w:trPr/>
        <w:tc>
          <w:tcPr>
            <w:tcW w:w="166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4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Revenue:</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63,512 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 revenue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3,869 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revenue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67,381 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Costs and operating expenses: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 xml:space="preserve">Cost of screening revenue (exclusive of amortization of intangible assets) </w:t>
            </w:r>
            <w:r>
              <w:rPr>
                <w:rFonts w:ascii="Arial;sans-serif" w:hAnsi="Arial;sans-serif"/>
                <w:b w:val="false"/>
                <w:color w:val="231F20"/>
                <w:sz w:val="12"/>
              </w:rPr>
              <w:t>(1)</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 xml:space="preserve">Cost of development services revenue </w:t>
            </w:r>
            <w:r>
              <w:rPr>
                <w:rFonts w:ascii="Arial;sans-serif" w:hAnsi="Arial;sans-serif"/>
                <w:b w:val="false"/>
                <w:color w:val="231F20"/>
                <w:sz w:val="12"/>
              </w:rPr>
              <w:t>(1)</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Research and development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90,609 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Sales and marketing</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55,494 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General and administrative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Depreciation and intangible assets amortization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74,931 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Stock-based compensation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29,200 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and other assets impairment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costs and operating expenses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194,398 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395,020 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379,842 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Loss from operations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(158,854)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(309,548)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(312,461)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Other income (expense):</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Interest income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14,588 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income (expense),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(1,395)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79,070 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(110,247)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(203,434)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(220,198)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231F20"/>
          <w:sz w:val="10"/>
        </w:rPr>
        <w:t>(1)</w:t>
      </w:r>
      <w:r>
        <w:rPr>
          <w:color w:val="231F20"/>
        </w:rPr>
        <w:t xml:space="preserve"> </w:t>
      </w:r>
      <w:r>
        <w:rPr>
          <w:rFonts w:ascii="Arial;sans-serif" w:hAnsi="Arial;sans-serif"/>
          <w:b w:val="false"/>
          <w:color w:val="231F20"/>
          <w:sz w:val="16"/>
        </w:rPr>
        <w:t>Cost of screening revenue (exclusive of amortization of intangible assets) and cost of development services revenue include stock-based compensation expense of $0.6 million and $1.1 million for the three and six months ended June 30, 2026 and $0.4 million and $1.2 million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519e90a53de4f919bc17ff3f5e2310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GRAIL, Inc. </w:t>
      </w:r>
    </w:p>
    <w:p>
      <w:pPr>
        <w:pStyle w:val="TextBody"/>
        <w:bidi w:val="0"/>
        <w:spacing w:lineRule="auto" w:line="288" w:before="0" w:after="0"/>
        <w:jc w:val="center"/>
        <w:rPr/>
      </w:pPr>
      <w:r>
        <w:rPr>
          <w:rFonts w:ascii="Adelle Sans;sans-serif" w:hAnsi="Adelle Sans;sans-serif"/>
          <w:b/>
          <w:color w:val="231F20"/>
          <w:sz w:val="20"/>
        </w:rPr>
        <w:t>NOTES TO CONDENSED CONSOLIDATED</w:t>
      </w:r>
      <w:r>
        <w:rPr>
          <w:color w:val="231F20"/>
        </w:rPr>
        <w:t xml:space="preserve"> </w:t>
      </w:r>
      <w:r>
        <w:rPr>
          <w:rFonts w:ascii="Adelle Sans;sans-serif" w:hAnsi="Adelle Sans;sans-serif"/>
          <w:b/>
          <w:color w:val="231F20"/>
          <w:sz w:val="20"/>
        </w:rPr>
        <w:t>FINANCIAL</w:t>
      </w:r>
      <w:r>
        <w:rPr>
          <w:color w:val="231F20"/>
        </w:rPr>
        <w:t xml:space="preserve"> </w:t>
      </w:r>
      <w:r>
        <w:rPr>
          <w:rFonts w:ascii="Adelle Sans;sans-serif" w:hAnsi="Adelle Sans;sans-serif"/>
          <w:b/>
          <w:color w:val="231F20"/>
          <w:sz w:val="20"/>
        </w:rPr>
        <w:t>STATEMENTS</w:t>
      </w:r>
    </w:p>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(unaudited)</w:t>
      </w:r>
    </w:p>
    <w:p>
      <w:pPr>
        <w:pStyle w:val="TextBody"/>
        <w:bidi w:val="0"/>
        <w:spacing w:lineRule="auto" w:line="288" w:before="360" w:after="283"/>
        <w:jc w:val="left"/>
        <w:rPr/>
      </w:pPr>
      <w:r>
        <w:rPr>
          <w:rFonts w:ascii="Arial;sans-serif" w:hAnsi="Arial;sans-serif"/>
          <w:b/>
          <w:color w:val="231F20"/>
          <w:sz w:val="20"/>
        </w:rPr>
        <w:t>NOTE 12.</w:t>
      </w:r>
      <w:r>
        <w:rPr>
          <w:color w:val="231F20"/>
        </w:rPr>
        <w:t xml:space="preserve"> </w:t>
      </w:r>
      <w:r>
        <w:rPr>
          <w:rFonts w:ascii="Arial;sans-serif" w:hAnsi="Arial;sans-serif"/>
          <w:b/>
          <w:color w:val="231F20"/>
          <w:sz w:val="20"/>
        </w:rPr>
        <w:t>RELATED PARTY TRANSACTIONS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was a subsidiary of Illumina, Inc. between August 19, 2021 to June 23, 2024. Subsequent to the Spin-Off, Illumina retained a 14.5% stake in the Company and was considered a related party. During the fourth quarter of 2025, Illumina reduced its ownership to less than 10%. As a result, Illumina is not, and was not in the three and six months ended June 30, 2026, a related party of the Company.</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Illumina was both a customer and a major supplier of the Company’s reagents and capital equipment during the relevant periods. Goods and services transactions with Illumina are invoiced and paid when due.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Goods and services transactions with Illumina for the period during which Illumina qualified as a related party of the Company were as follows:</w:t>
      </w:r>
    </w:p>
    <w:tbl>
      <w:tblPr>
        <w:tblW w:w="8104" w:type="dxa"/>
        <w:jc w:val="center"/>
        <w:tblInd w:w="0" w:type="dxa"/>
        <w:tblLayout w:type="fixed"/>
        <w:tblCellMar>
          <w:top w:w="28" w:type="dxa"/>
          <w:left w:w="28" w:type="dxa"/>
          <w:bottom w:w="28" w:type="dxa"/>
          <w:right w:w="28" w:type="dxa"/>
        </w:tblCellMar>
      </w:tblPr>
      <w:tblGrid>
        <w:gridCol w:w="1528"/>
        <w:gridCol w:w="1340"/>
        <w:gridCol w:w="1347"/>
        <w:gridCol w:w="109"/>
        <w:gridCol w:w="109"/>
        <w:gridCol w:w="542"/>
        <w:gridCol w:w="930"/>
        <w:gridCol w:w="283"/>
        <w:gridCol w:w="109"/>
        <w:gridCol w:w="109"/>
        <w:gridCol w:w="109"/>
        <w:gridCol w:w="403"/>
        <w:gridCol w:w="892"/>
        <w:gridCol w:w="294"/>
      </w:tblGrid>
      <w:tr>
        <w:trPr/>
        <w:tc>
          <w:tcPr>
            <w:tcW w:w="152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231F20"/>
                <w:sz w:val="18"/>
              </w:rPr>
            </w:pPr>
            <w:r>
              <w:rPr>
                <w:rFonts w:ascii="Arial;sans-serif" w:hAnsi="Arial;sans-serif"/>
                <w:b w:val="false"/>
                <w:color w:val="231F20"/>
                <w:sz w:val="18"/>
              </w:rPr>
              <w:t>Screening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231F20"/>
                <w:sz w:val="18"/>
              </w:rPr>
            </w:pPr>
            <w:r>
              <w:rPr>
                <w:rFonts w:ascii="Arial;sans-serif" w:hAnsi="Arial;sans-serif"/>
                <w:b w:val="false"/>
                <w:color w:val="231F20"/>
                <w:sz w:val="18"/>
              </w:rPr>
              <w:t>Cost of screening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231F20"/>
                <w:sz w:val="18"/>
              </w:rPr>
            </w:pPr>
            <w:r>
              <w:rPr>
                <w:rFonts w:ascii="Arial;sans-serif" w:hAnsi="Arial;sans-serif"/>
                <w:b w:val="false"/>
                <w:color w:val="231F20"/>
                <w:sz w:val="18"/>
              </w:rPr>
              <w:t>Cost of development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231F20"/>
                <w:sz w:val="18"/>
              </w:rPr>
            </w:pPr>
            <w:r>
              <w:rPr>
                <w:rFonts w:ascii="Arial;sans-serif" w:hAnsi="Arial;sans-serif"/>
                <w:b w:val="false"/>
                <w:color w:val="231F20"/>
                <w:sz w:val="18"/>
              </w:rPr>
              <w:t>Operating expenses—Research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In June 2024, the Company entered into an amendment to its Supply and Commercialization Agreement with Illumina (the “Illumina Supply Agreement”). Under the terms of the Illumina Supply Agreement, regardless of whether our products incorporate any Illumina technology, we will be obligated to pay Illumina a 9% royalty, subject to certain reductions and floors, in perpetuity on net sales generated by our products or revenues otherwise generated or received by us, subject to certain exceptions, in the field of oncology. The royalty is subject to anti-stacking provisions that allow royalty payments we make to other third parties to be deducted from the 9% royalty rate, to a floor of 7%. We expect that the royalty payments we will make to Illumina in the foreseeable future will result in a 7% royalty rate. After we have cumulatively paid Illumina royalties totaling $1 billion, the royalty rate will be reduced to 5%, without further adjustment.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Pursuant to the fourth amendment to the Illumina Supply Agreement, the perpetual royalty payment obligation to Illumina is suspended until December 24, 2026 or any earlier change of control of GRAIL, at which time royalty payments to Illumina will resume, without retroactive effect. Any royalty payments that we would have made under the Illumina Supply Agreement during the suspension period are deemed to have been paid for purposes of the cumulative $1 billion in royalty payments required to reduce the royalty rate to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Arial;sans-serif" w:hAnsi="Arial;sans-serif"/>
          <w:b/>
          <w:color w:val="231F20"/>
          <w:sz w:val="20"/>
        </w:rPr>
      </w:pPr>
      <w:r>
        <w:rPr>
          <w:rFonts w:ascii="Arial;sans-serif" w:hAnsi="Arial;sans-serif"/>
          <w:b/>
          <w:color w:val="231F20"/>
          <w:sz w:val="20"/>
        </w:rPr>
        <w:t>Item 2. Management's Discussion and Analysis of Financial Condition and Results of Operations</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You should read the following discussion of our results of operations and financial condition together with our accompanying unaudited condensed consolidated financial statements and the notes thereto included under Item 1. “Financial Statements”. This discussion contains forward-looking statements that involve risks and uncertainties. The forward-looking statements are not historical facts, but rather are based on current expectations, estimates, assumptions and projections about our industry and our business and financial results. Our actual results could differ materially from the results contemplated by these forward-looking statements due to a number of factors, including those discussed in the sections entitled “Risk Factors” in Part II, Item 1A of this Form 10-Q and in Part I, Item 1A of our Annual Report on Form 10-K (filed on March 12, 2026) for the year ended December 31, 2025 (the “2025 Form 10-K”) and the section entitled “Cautionary Statement Concerning Forward-Looking Statements” of this Form 10-Q.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i/>
          <w:color w:val="231F20"/>
          <w:sz w:val="20"/>
        </w:rPr>
      </w:pPr>
      <w:r>
        <w:rPr>
          <w:rFonts w:ascii="Arial;sans-serif" w:hAnsi="Arial;sans-serif"/>
          <w:b w:val="false"/>
          <w:i/>
          <w:color w:val="231F20"/>
          <w:sz w:val="20"/>
        </w:rPr>
        <w:t>Unless otherwise indicated, references to "GRAIL," “we,” “us,” and the "Company" refer to GRAIL,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31F20"/>
          <w:sz w:val="20"/>
        </w:rPr>
      </w:pPr>
      <w:r>
        <w:rPr>
          <w:rFonts w:ascii="Arial;sans-serif" w:hAnsi="Arial;sans-serif"/>
          <w:b/>
          <w:i/>
          <w:color w:val="231F20"/>
          <w:sz w:val="20"/>
        </w:rPr>
        <w:t>Our Business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are an innovative commercial-stage healthcare company focused on shifting the paradigm in early cancer detection at population scale. We believe screening individuals for many types of cancer with a single test represents a significant opportunity to reduce the global burden of cancer. Our multi-cancer early detection (“MCED”) test (“Galleri”) can screen for many types of cancer, accurately predicting the specific organ or tissue type where the cancer signal originated (the “Cancer Signal of Origin”, or “CSO”), with high positive predictive values (“PPV”) and low false positive rates, all from a simple blood draw. Galleri has detected some of the most aggressive cancers in early stages including, among others, endometrial, esophageal, gastrointestinal, head and neck, liver, pancreatic, and rectal cancers. We have conducted what we believe is the largest clinical program in genomic medicine to date with data from over 385,000 participants that we believe demonstrate the clinical validation and clinical utility of Galleri in its intended use population. We have deep operational experience with over 925,000 tests processed across this clinical program and from our commercial experience, including through partnerships with leading healthcare systems, employers, digital health platforms, payors, international distributors and life insurance providers.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Arial;sans-serif" w:hAnsi="Arial;sans-serif"/>
          <w:b w:val="false"/>
          <w:color w:val="231F20"/>
          <w:sz w:val="20"/>
        </w:rPr>
        <w:t>Recently we presented results from two of our large, interventional clinical trials, PATHFINDER 2 and NHS-Galleri Trial at the Annual American Society of Clinical Oncology (“ASCO”) meeting in June 2026, and included certain results from those studies in our premarket approval application (“PMA”) to the Food and Drug Administration (“FDA”), that we submitted to the FDA in January 2026 and which has been accepted by the FDA for review. Performance and safety data focused on the first approximately 25,000 participants of our</w:t>
      </w:r>
      <w:r>
        <w:rPr>
          <w:color w:val="231F20"/>
          <w:shd w:fill="FFFFFF" w:val="clear"/>
        </w:rPr>
        <w:t xml:space="preserve"> </w:t>
      </w:r>
      <w:r>
        <w:rPr>
          <w:rFonts w:ascii="Arial;sans-serif" w:hAnsi="Arial;sans-serif"/>
          <w:b w:val="false"/>
          <w:color w:val="231F20"/>
          <w:sz w:val="20"/>
          <w:shd w:fill="FFFFFF" w:val="clear"/>
        </w:rPr>
        <w:t>approximately 35,000 parti</w:t>
      </w:r>
      <w:r>
        <w:rPr>
          <w:rFonts w:ascii="Arial;sans-serif" w:hAnsi="Arial;sans-serif"/>
          <w:b w:val="false"/>
          <w:color w:val="231F20"/>
          <w:sz w:val="20"/>
        </w:rPr>
        <w:t xml:space="preserve">cipant PATHFINDER 2 study that were initially presented at the European Society for Medical Oncology (“ESMO”) in October 2025 (the “PATHFINDER 2 Initial Results”) and demonstrated that adding Galleri to recommended (breast, cervical, colorectal and lung) screenings led to a more than seven-fold increase in the number of cancers found within a year, and an approximately three-fold increase when prostate screening was included. Results from the full approximately 35,000 participants in the PATHFINDER 2 study were generally consistent with the results presented at ESMO. We presented results from our three-year, randomized controlled NHS-Galleri Trial which demonstrated a substantial reduction in stage 4 cancer diagnoses, increased stage 1 and 2 detection of deadly cancers, and four-fold higher cancer detection rate when compared to recommended screenings alone. Although the primary endpoint of statistically significant combined stage 3 and 4 reduction in a pre-specified group of 12 deadly cancers was not observed; there was a favorable trend toward fewer combined stage 3 and 4 cancers in the intervention arm after the prevalent screening round. Galleri detected 366 Stage I and II cancers, more than the 290 cancers detected at any stage by the entirety of the U.K.’s standard of care screening program in the control arm. Additionally, adding Galleri was associated with a 25% reduction in cancers diagnosed after emergency presentation. Emergency presentations are among the costliest cancer diagnoses and are associated with the poorest patient outcomes.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PATHFINDER 2 Initial Results and the performance and safety metrics from the first year (prevalent screening round) of our NHS-Galleri Trial were included in our PMA submission, along with results of a bridging study.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Arial;sans-serif" w:hAnsi="Arial;sans-serif"/>
          <w:b w:val="false"/>
          <w:color w:val="231F20"/>
          <w:sz w:val="20"/>
        </w:rPr>
        <w:t>We designed Galleri to detect cancer early, when it is more amenable to curative treatment, and we launched Galleri in the United States in mid-2021. Galleri works by detecting DNA fragments shed into the bloodstream by tumor cells and analyzing specific methylation patterns that can be used to both identify a general cancer signal and localize that signal to a specific organ or tissue type. We have sold over 595,000 commercial Galleri tests through June 30, 2026, with over 117,000 sold during the six months ended</w:t>
      </w:r>
      <w:r>
        <w:rPr>
          <w:color w:val="000000"/>
        </w:rPr>
        <w:t xml:space="preserve"> </w:t>
      </w:r>
      <w:r>
        <w:rPr>
          <w:rFonts w:ascii="Arial;sans-serif" w:hAnsi="Arial;sans-serif"/>
          <w:b w:val="false"/>
          <w:color w:val="231F20"/>
          <w:sz w:val="20"/>
        </w:rPr>
        <w:t xml:space="preserve">June 30, 2026. </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 xml:space="preserve">As an early pioneer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ASCO, ESMO, and American Academy of Family Physicians. We have also published results from our studies in leading scientific and medical journals, including The Lancet, Nature, Nature Medicine, Cancer Cell, and The Lancet Oncology. </w:t>
      </w:r>
    </w:p>
    <w:p>
      <w:pPr>
        <w:pStyle w:val="TextBody"/>
        <w:bidi w:val="0"/>
        <w:spacing w:lineRule="auto" w:line="288" w:before="240" w:after="283"/>
        <w:ind w:left="0" w:right="0" w:firstLine="450"/>
        <w:jc w:val="left"/>
        <w:rPr/>
      </w:pPr>
      <w:r>
        <w:rPr>
          <w:rFonts w:ascii="Arial;sans-serif" w:hAnsi="Arial;sans-serif"/>
          <w:b w:val="false"/>
          <w:color w:val="231F20"/>
          <w:sz w:val="20"/>
        </w:rPr>
        <w:t>Since our inception, we have incurred net losses each year. We incurred net losses of</w:t>
      </w:r>
      <w:r>
        <w:rPr>
          <w:color w:val="000000"/>
        </w:rPr>
        <w:t xml:space="preserve"> </w:t>
      </w:r>
      <w:r>
        <w:rPr>
          <w:rFonts w:ascii="Arial;sans-serif" w:hAnsi="Arial;sans-serif"/>
          <w:b w:val="false"/>
          <w:color w:val="231F20"/>
          <w:sz w:val="20"/>
        </w:rPr>
        <w:t>$110.2 million and $114.0 million for the three months ended June 30, 2026 and June 30, 2025 and $203.4 million and $220.2 million for the six months ended June 30, 2026 and June 30, 2025</w:t>
      </w:r>
      <w:r>
        <w:rPr>
          <w:rFonts w:ascii="Arial;sans-serif" w:hAnsi="Arial;sans-serif"/>
          <w:b w:val="false"/>
          <w:color w:val="000000"/>
          <w:sz w:val="20"/>
        </w:rPr>
        <w:t xml:space="preserve">. </w:t>
      </w:r>
      <w:r>
        <w:rPr>
          <w:rFonts w:ascii="Arial;sans-serif" w:hAnsi="Arial;sans-serif"/>
          <w:b w:val="false"/>
          <w:color w:val="231F20"/>
          <w:sz w:val="20"/>
        </w:rPr>
        <w:t>Substantially all of our net losses resulted from the application of pushdown accounting, including goodwill and intangible and other asset impairments and the amortization of intangible assets, as well as our research and development programs, general and administrative costs associated with our operations, and sales and marketing costs associated with commercializing our products. As a result of the application of pushdown accounting, our balance sheet includes intangible assets, which may be subject to additional impairment over time. We expect to continue to incur operating losses for at least the next several years as we invest in research and development and the commercialization of existing products.</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Adjusted EBITDA was </w:t>
      </w:r>
      <w:r>
        <w:rPr>
          <w:rFonts w:ascii="Arial;sans-serif" w:hAnsi="Arial;sans-serif"/>
          <w:b w:val="false"/>
          <w:color w:val="231F20"/>
          <w:sz w:val="20"/>
        </w:rPr>
        <w:t>$(90.3)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231F20"/>
          <w:sz w:val="20"/>
        </w:rPr>
        <w:t>$(78.3) million</w:t>
      </w:r>
      <w:r>
        <w:rPr>
          <w:color w:val="000000"/>
        </w:rPr>
        <w:t xml:space="preserve"> </w:t>
      </w:r>
      <w:r>
        <w:rPr>
          <w:rFonts w:ascii="Arial;sans-serif" w:hAnsi="Arial;sans-serif"/>
          <w:b w:val="false"/>
          <w:color w:val="000000"/>
          <w:sz w:val="20"/>
        </w:rPr>
        <w:t xml:space="preserve">for the three months ended </w:t>
      </w:r>
      <w:r>
        <w:rPr>
          <w:rFonts w:ascii="Arial;sans-serif" w:hAnsi="Arial;sans-serif"/>
          <w:b w:val="false"/>
          <w:color w:val="231F20"/>
          <w:sz w:val="20"/>
        </w:rPr>
        <w:t>June 30, 2026</w:t>
      </w:r>
      <w:r>
        <w:rPr>
          <w:color w:val="000000"/>
        </w:rPr>
        <w:t xml:space="preserve"> </w:t>
      </w:r>
      <w:r>
        <w:rPr>
          <w:rFonts w:ascii="Arial;sans-serif" w:hAnsi="Arial;sans-serif"/>
          <w:b w:val="false"/>
          <w:color w:val="000000"/>
          <w:sz w:val="20"/>
        </w:rPr>
        <w:t xml:space="preserve">and </w:t>
      </w:r>
      <w:r>
        <w:rPr>
          <w:rFonts w:ascii="Arial;sans-serif" w:hAnsi="Arial;sans-serif"/>
          <w:b w:val="false"/>
          <w:color w:val="231F20"/>
          <w:sz w:val="20"/>
        </w:rPr>
        <w:t>June 30, 2025 and $(170.2)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231F20"/>
          <w:sz w:val="20"/>
        </w:rPr>
        <w:t>$(177.1) million for the six months ended June 30, 2026 and June 30, 2025</w:t>
      </w:r>
      <w:r>
        <w:rPr>
          <w:rFonts w:ascii="Arial;sans-serif" w:hAnsi="Arial;sans-serif"/>
          <w:b w:val="false"/>
          <w:color w:val="000000"/>
          <w:sz w:val="20"/>
        </w:rPr>
        <w:t>. Adjusted EBITDA is a n</w:t>
      </w:r>
      <w:r>
        <w:rPr>
          <w:rFonts w:ascii="Arial;sans-serif" w:hAnsi="Arial;sans-serif"/>
          <w:b w:val="false"/>
          <w:color w:val="231F20"/>
          <w:sz w:val="20"/>
        </w:rPr>
        <w:t>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i/>
          <w:color w:val="231F20"/>
          <w:sz w:val="20"/>
        </w:rPr>
      </w:pPr>
      <w:r>
        <w:rPr>
          <w:rFonts w:ascii="Arial;sans-serif" w:hAnsi="Arial;sans-serif"/>
          <w:b/>
          <w:i/>
          <w:color w:val="231F20"/>
          <w:sz w:val="20"/>
        </w:rPr>
        <w:t>Strategic Collaboration with Samsung and Closing of $110 million Equity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 xml:space="preserve">In June we completed our previously announced issuance and sale of an aggregate of 1,570,308 shares of our common stock to Samsung C&amp;T Corporation (“Samsung C&amp;T”) and Samsung Electronics Singapore Pte. Ltd. in a private placement at a purchase price of $70.05 per share, for aggregate gross proceeds of approximately $110.0 million. We intend to use the net proceeds to fund our commercial activities and reimbursement efforts, as well as for working capital and other general corporate purposes. </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In connection with this investment, our strategic collaborations with Samsung C&amp;T and Samsung Electronics Co., Ltd. (“Samsung Electronics”) became effective. We intend to work with Samsung C&amp;T as exclusive partners to commercialize Galleri in Korea and, potentially, other key Asian markets, including Japan and Singapore. In addition, we and Samsung Electronics intend to explore potential additional strategic and operational collaborations.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31F20"/>
          <w:sz w:val="20"/>
        </w:rPr>
      </w:pPr>
      <w:r>
        <w:rPr>
          <w:rFonts w:ascii="Arial;sans-serif" w:hAnsi="Arial;sans-serif"/>
          <w:b/>
          <w:i/>
          <w:color w:val="231F20"/>
          <w:sz w:val="20"/>
        </w:rPr>
        <w:t>Key Factors Affecting Performance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believe there are several important factors that have impacted and that we expect will impact our operating performance and results of operations, including:</w:t>
      </w:r>
    </w:p>
    <w:p>
      <w:pPr>
        <w:pStyle w:val="TextBody"/>
        <w:bidi w:val="0"/>
        <w:spacing w:lineRule="auto" w:line="288" w:before="240" w:after="283"/>
        <w:ind w:left="0" w:right="0" w:hanging="360"/>
        <w:jc w:val="left"/>
        <w:rPr/>
      </w:pPr>
      <w:r>
        <w:rPr>
          <w:color w:val="231F20"/>
        </w:rPr>
        <w:t>•</w:t>
      </w:r>
      <w:r>
        <w:rPr>
          <w:rFonts w:ascii="Arial;sans-serif" w:hAnsi="Arial;sans-serif"/>
          <w:b/>
          <w:i/>
          <w:color w:val="231F20"/>
          <w:sz w:val="20"/>
        </w:rPr>
        <w:t>FDA and other regulatory approval and reimbursement</w:t>
      </w:r>
      <w:r>
        <w:rPr>
          <w:rFonts w:ascii="Arial;sans-serif" w:hAnsi="Arial;sans-serif"/>
          <w:b w:val="false"/>
          <w:i/>
          <w:color w:val="231F20"/>
          <w:sz w:val="20"/>
        </w:rPr>
        <w:t>.</w:t>
      </w:r>
      <w:r>
        <w:rPr>
          <w:color w:val="231F20"/>
        </w:rPr>
        <w:t xml:space="preserve"> </w:t>
      </w:r>
      <w:r>
        <w:rPr>
          <w:rFonts w:ascii="Arial;sans-serif" w:hAnsi="Arial;sans-serif"/>
          <w:b w:val="false"/>
          <w:color w:val="231F20"/>
          <w:sz w:val="20"/>
        </w:rPr>
        <w:t>Our performance will be impacted by the extent to which we can secure reimbursement and coverage for Galleri. Prior to broader coverage and reimbursement in the United States, we will continue our work with clinics and health systems to accelerate utilization, and with self-insured employers and health insurers to offer and cover Galleri. Galleri is currently available as a laboratory developed test (“LDT”) in the United States and we have established coverage and reimbursement from a number of self-insured employers and health plans, including coverage from TRICARE, but we do not currently have broader coverage and reimbursement by Medicare or large commercial insurers. While Galleri has not been approved or cleared by the FDA, FDA approval is currently not required to market our test in the United States. We are pursuing FDA approval to help support broad access for Galleri in the United States and we submitted a PMA for Galleri to the FDA in January 2026. The FDA Molecular and Clinical Genetics Panel of the Medical Devices Advisory Committee is expected to be scheduled to review the Galleri PMA this fall. Obtaining PMA approval can take several months or years from the time an application is submitted, if at all, and any negative advisory committee recommendation could materially impede the chances for approval. Moreover, the regulatory requirements surrounding the pathway to PMA for laboratory tests have in the recent past, and may in the future, be subject to change. We believe that FDA approval, if obtained, could unlock coverage from large commercial payors in the United States. In February 2026, a new law created a coverage benefit category to enable coverage of FDA-approved MCED tests by Medicare, with authority for Centers for Medicare and Medicaid Services (“CMS”) to initiate coverage as early as January 1, 2029 for the aged 50-65 Medicare population and expanding one age-year at a time annually. If we obtain FDA approval, we expect to pursue coverage through this new law and, subsequently, inclusion of Galleri in the United States Preventive Services Task Force (“USPSTF”) guideline recommendation, although such inclusion may take years and is not certain even with FDA approval. Should USPSTF recommend Galleri with an A or B recommendation, CMS would then have the authority to expand coverage beyond what is covered under the MCED benefit category. We believe FDA approval and, to a greater extent, inclusion in USPSTF guideline recommendations would further increase adoption and market acceptance of our tests. Over time, we have and may continue to opt to provide rebates or discounts to certain customers, or reduce pricing in order to access a broader population base and accelerate adoption. In the United Kingdom, NHS England (which is being merged with the Department of Health and Social Care) (the “NHS”) will evaluate the final results from the NHS-Galleri Trial before determining whether to implement the Galleri test in the NHS. Under our agreement with the NHS, these results have met certain success criteria and missed others. As a result, we and NHS England will convene meetings of our joint steering committee to discuss how best to proceed with deployment to the UK population, if at all, considering deployment approaches and which population groups would most benefit. We believe the decision will include considerations such as NHS budget, political priorities, cost-effectiveness and implementation constraints in addition to an evaluation of the final results. We also believe our work with the NHS and the data generated from our NHS-Galleri Trial could help facilitate adoption in other single-payor systems around the world and support evidence of clinical utility worldwide. Although the primary endpoint of statistically significant combined stage 3 and 4 reduction was not observed in the NHS-Galleri Trial, we believe other results from the trial could be compelling to these systems.</w:t>
      </w:r>
    </w:p>
    <w:p>
      <w:pPr>
        <w:pStyle w:val="TextBody"/>
        <w:bidi w:val="0"/>
        <w:spacing w:lineRule="auto" w:line="288" w:before="240" w:after="283"/>
        <w:ind w:left="0" w:right="0" w:hanging="360"/>
        <w:jc w:val="left"/>
        <w:rPr/>
      </w:pPr>
      <w:r>
        <w:rPr>
          <w:color w:val="231F20"/>
        </w:rPr>
        <w:t>•</w:t>
      </w:r>
      <w:r>
        <w:rPr>
          <w:rFonts w:ascii="Arial;sans-serif" w:hAnsi="Arial;sans-serif"/>
          <w:b/>
          <w:i/>
          <w:color w:val="231F20"/>
          <w:sz w:val="20"/>
        </w:rPr>
        <w:t>International expansion</w:t>
      </w:r>
      <w:r>
        <w:rPr>
          <w:rFonts w:ascii="Arial;sans-serif" w:hAnsi="Arial;sans-serif"/>
          <w:b w:val="false"/>
          <w:color w:val="231F20"/>
          <w:sz w:val="20"/>
        </w:rPr>
        <w:t>. A component of our long-term growth strategy is to expand our commercial reach internationally. We continue to evaluate international expansion opportunities and we have begun expansion in select additional geographies through distributors, including Israel, Canada and the United Kingdom, and have further planned expansion through distributors in other international markets, including in South Korea through our partnership with Samsung. We expect to continue selectively engaging with international opportunities over time. Our ability to expand into new regions and jurisdictions, drive commercial sales and growth within those regions and jurisdictions and navigate economic, political, regulatory, and other risks, including geopolitical conflict associated with international operations, will be an important driver of our performance.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Arial;sans-serif" w:hAnsi="Arial;sans-serif"/>
          <w:b/>
          <w:i/>
          <w:color w:val="231F20"/>
          <w:sz w:val="20"/>
        </w:rPr>
        <w:t>Continued development of, and competition within, the market for MCED testing</w:t>
      </w:r>
      <w:r>
        <w:rPr>
          <w:rFonts w:ascii="Arial;sans-serif" w:hAnsi="Arial;sans-serif"/>
          <w:b w:val="false"/>
          <w:i/>
          <w:color w:val="231F20"/>
          <w:sz w:val="20"/>
        </w:rPr>
        <w:t>.</w:t>
      </w:r>
      <w:r>
        <w:rPr>
          <w:color w:val="231F20"/>
        </w:rPr>
        <w:t xml:space="preserve"> </w:t>
      </w:r>
      <w:r>
        <w:rPr>
          <w:rFonts w:ascii="Arial;sans-serif" w:hAnsi="Arial;sans-serif"/>
          <w:b w:val="false"/>
          <w:color w:val="231F20"/>
          <w:sz w:val="20"/>
        </w:rPr>
        <w:t>Multi-cancer early detection is a novel technology and the market for MCED tests is evolving. We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 Additionally, new MCED products from new market entrants launched commercially in the second half of 2025. We believe that the addition of new market entrants will help develop the market for MCED testing. However, these competitors will also be targeting similar markets as us and may compete with us for customers on characteristics of their tests, such as test performance, ease of use and cost. These companies may also present clinical or other information, such as test performance information, that differs from our own presentation of similar information. Our ability to differentiate Galleri from other MCED products and any such presented data will be a key factor in our success. We believe we are differentiated by our extensive and robust datasets generated from our clinical studies, our rigorous and objective approach to test development and research, our multidisciplinary capabilities leveraging the power of next-generation sequencing and advanced and trained machine learning algorithms and data science, our robust intellectual property portfolio, and our investment in our facilities and operational workflows. However, certain new market entrants may have greater financial resources, quicker reimbursement timelines, larger sales forces, more successful marketing campaigns, more experience in screening or international commercialization, lower prices or other advantages. Our ability to succeed will depend on our market success. See Item 1A. “Risk Factors”.</w:t>
      </w:r>
    </w:p>
    <w:p>
      <w:pPr>
        <w:pStyle w:val="TextBody"/>
        <w:bidi w:val="0"/>
        <w:spacing w:lineRule="auto" w:line="288" w:before="240" w:after="283"/>
        <w:ind w:left="0" w:right="0" w:hanging="360"/>
        <w:jc w:val="left"/>
        <w:rPr/>
      </w:pPr>
      <w:r>
        <w:rPr>
          <w:color w:val="231F20"/>
        </w:rPr>
        <w:t>•</w:t>
      </w:r>
      <w:r>
        <w:rPr>
          <w:rFonts w:ascii="Arial;sans-serif" w:hAnsi="Arial;sans-serif"/>
          <w:b/>
          <w:i/>
          <w:color w:val="231F20"/>
          <w:sz w:val="20"/>
        </w:rPr>
        <w:t>Demand for our products and customer mix</w:t>
      </w:r>
      <w:r>
        <w:rPr>
          <w:rFonts w:ascii="Arial;sans-serif" w:hAnsi="Arial;sans-serif"/>
          <w:b w:val="false"/>
          <w:i/>
          <w:color w:val="231F20"/>
          <w:sz w:val="20"/>
        </w:rPr>
        <w:t>.</w:t>
      </w:r>
      <w:r>
        <w:rPr>
          <w:color w:val="231F20"/>
        </w:rPr>
        <w:t xml:space="preserve"> </w:t>
      </w:r>
      <w:r>
        <w:rPr>
          <w:rFonts w:ascii="Arial;sans-serif" w:hAnsi="Arial;sans-serif"/>
          <w:b w:val="false"/>
          <w:color w:val="231F20"/>
          <w:sz w:val="20"/>
        </w:rPr>
        <w:t>A key factor to our future success is and will be our ability to increase demand for, and sales of, Galleri from new and existing customers. Our commercial strategy is focused on innovative value-oriented partnerships and targets primary care physicians, health systems, employers, digital health platforms, payors, international distributors and life insurance providers. As Galleri is not currently broadly reimbursed, our ability to drive demand from these customers is directly linked to our ability to demonstrate the clinical and economic value of our test through clinical validation and real-world experience. As of June 30, 2026, we have entered into commercial partnerships, including with leading healthcare systems, digital health platforms, employers, payors, and life insurance providers, and have established a network of more than 19,000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Galleri</w:t>
      </w:r>
      <w:r>
        <w:rPr>
          <w:color w:val="231F20"/>
        </w:rPr>
        <w:t xml:space="preserve"> </w:t>
      </w:r>
      <w:r>
        <w:rPr>
          <w:rFonts w:ascii="Arial;sans-serif" w:hAnsi="Arial;sans-serif"/>
          <w:b w:val="false"/>
          <w:color w:val="231F20"/>
          <w:sz w:val="20"/>
        </w:rPr>
        <w:t>test</w:t>
      </w:r>
      <w:r>
        <w:rPr>
          <w:color w:val="231F20"/>
        </w:rPr>
        <w:t xml:space="preserve"> </w:t>
      </w:r>
      <w:r>
        <w:rPr>
          <w:rFonts w:ascii="Arial;sans-serif" w:hAnsi="Arial;sans-serif"/>
          <w:b w:val="false"/>
          <w:color w:val="231F20"/>
          <w:sz w:val="20"/>
        </w:rPr>
        <w:t>pricing</w:t>
      </w:r>
      <w:r>
        <w:rPr>
          <w:color w:val="231F20"/>
        </w:rPr>
        <w:t xml:space="preserve"> </w:t>
      </w:r>
      <w:r>
        <w:rPr>
          <w:rFonts w:ascii="Arial;sans-serif" w:hAnsi="Arial;sans-serif"/>
          <w:b w:val="false"/>
          <w:color w:val="231F20"/>
          <w:sz w:val="20"/>
        </w:rPr>
        <w:t>is generally based on our list price, with discounts in certain channels, or, for certain customers, such as larger, higher-volume customers or international distributors, negotiated contractual rates. For certain customers, we also offer rebates. Revenue generated from customers with negotiated contractual rates, or with rebates or discounts, is generally lower margin as compared to revenue generated based on list pricing. We expect the number or magnitude of these rates, discounts and rebates to reduce our average selling price (“ASP”) over time.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Termination of these pilots or clinical trials can have a significant impact on our revenue and results of operations. For example, in late 2025, one of our pharmaceutical partners terminated its phase 3 trial due to low enrollment, for which our methylation technology was used as a potential companion diagnostic for enrolling participants. We also expect to increase demand from new customers through our efforts to further develop the market for MCED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231F20"/>
        </w:rPr>
        <w:t>•</w:t>
      </w:r>
      <w:r>
        <w:rPr>
          <w:rFonts w:ascii="Arial;sans-serif" w:hAnsi="Arial;sans-serif"/>
          <w:b/>
          <w:i/>
          <w:color w:val="231F20"/>
          <w:sz w:val="20"/>
        </w:rPr>
        <w:t>Investment in clinical studies and innovation to support our strategy and growth</w:t>
      </w:r>
      <w:r>
        <w:rPr>
          <w:rFonts w:ascii="Arial;sans-serif" w:hAnsi="Arial;sans-serif"/>
          <w:b w:val="false"/>
          <w:i/>
          <w:color w:val="231F20"/>
          <w:sz w:val="20"/>
        </w:rPr>
        <w:t>.</w:t>
      </w:r>
      <w:r>
        <w:rPr>
          <w:color w:val="231F20"/>
        </w:rPr>
        <w:t xml:space="preserve"> </w:t>
      </w:r>
      <w:r>
        <w:rPr>
          <w:rFonts w:ascii="Arial;sans-serif" w:hAnsi="Arial;sans-serif"/>
          <w:b w:val="false"/>
          <w:color w:val="231F20"/>
          <w:sz w:val="20"/>
        </w:rPr>
        <w:t>A significant aspect of our business is our investment in research and development and the ongoing evidence generation supporting the clinical performance and utility of Galleri. In particular, we have invested heavily in clinical studies and designed and executed what we believe is the largest clinical program in genomic medicine to date. These studies include: NHS-Galleri, PATHFINDER, PATHFINDER 2, CCGA, REACH/Galleri-Medicare, REFLECTION, STRIVE, SUMMIT, and SYMPLIFY.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to continue investment in data generation. In addition, we have invested heavily in the development of our methylation platform and extensive technological infrastructure. We expect research and development expenses to decrease over the next three years as several of our large clinical trials transition to long-term follow-up, and development of our automated platform has substantially concluded. In addition, we have substantially completed development of the current enhanced versions of our Galleri test, including the version that we use in commercial channels and the version that was submitted with our PMA. We will continue to invest in Galleri, including generating and reporting clinical utility evidence to support broad adoption, progressing our PMA towards potential approval, innovating to further improve Galleri’s test performance while reducing cost, and we will evaluate other research and development opportunities from time to time.</w:t>
      </w:r>
    </w:p>
    <w:p>
      <w:pPr>
        <w:pStyle w:val="TextBody"/>
        <w:bidi w:val="0"/>
        <w:spacing w:lineRule="auto" w:line="288" w:before="240" w:after="283"/>
        <w:ind w:left="0" w:right="0" w:hanging="360"/>
        <w:jc w:val="left"/>
        <w:rPr/>
      </w:pPr>
      <w:r>
        <w:rPr>
          <w:color w:val="231F20"/>
        </w:rPr>
        <w:t>•</w:t>
      </w:r>
      <w:r>
        <w:rPr>
          <w:rFonts w:ascii="Arial;sans-serif" w:hAnsi="Arial;sans-serif"/>
          <w:b/>
          <w:i/>
          <w:color w:val="231F20"/>
          <w:sz w:val="20"/>
        </w:rPr>
        <w:t>Leverage our operational infrastructure</w:t>
      </w:r>
      <w:r>
        <w:rPr>
          <w:rFonts w:ascii="Arial;sans-serif" w:hAnsi="Arial;sans-serif"/>
          <w:b w:val="false"/>
          <w:color w:val="231F20"/>
          <w:sz w:val="20"/>
        </w:rPr>
        <w:t xml:space="preserve">. We have made significant investments to build a scalable infrastructure capable of meeting significant demand of up to one million tests per year while satisfying applicable certification and licensing requirements and accreditation standards. Our Durham, North Carolina facility is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w:t>
      </w:r>
      <w:r>
        <w:rPr>
          <w:rFonts w:ascii="Arial;sans-serif" w:hAnsi="Arial;sans-serif"/>
          <w:b w:val="false"/>
          <w:color w:val="000000"/>
          <w:sz w:val="20"/>
        </w:rPr>
        <w:t>In late 2024, we began using an updated version of Galleri in commercial channels. This version incorporates a</w:t>
      </w:r>
      <w:r>
        <w:rPr>
          <w:color w:val="231F20"/>
        </w:rPr>
        <w:t xml:space="preserve"> </w:t>
      </w:r>
      <w:r>
        <w:rPr>
          <w:rFonts w:ascii="Arial;sans-serif" w:hAnsi="Arial;sans-serif"/>
          <w:b w:val="false"/>
          <w:color w:val="231F20"/>
          <w:sz w:val="20"/>
        </w:rPr>
        <w:t>highly-automated</w:t>
      </w:r>
      <w:r>
        <w:rPr>
          <w:color w:val="000000"/>
        </w:rPr>
        <w:t xml:space="preserve"> </w:t>
      </w:r>
      <w:r>
        <w:rPr>
          <w:rFonts w:ascii="Arial;sans-serif" w:hAnsi="Arial;sans-serif"/>
          <w:b w:val="false"/>
          <w:color w:val="000000"/>
          <w:sz w:val="20"/>
        </w:rPr>
        <w:t xml:space="preserve">industrial scale platform and is intended to enable us to scale more efficiently with future demand. In connection with implementation of this new version of Galleri, we have experienced and may continue to experience increased turnaround times, re-processing costs and sample failures. We continually monitor and evaluate laboratory operations and performance in an effort to achieve our intended sample processing metrics and costs; however from time to time, processing issues may arise that could impact our operations. </w:t>
      </w:r>
      <w:r>
        <w:rPr>
          <w:rFonts w:ascii="Arial;sans-serif" w:hAnsi="Arial;sans-serif"/>
          <w:b w:val="false"/>
          <w:color w:val="231F20"/>
          <w:sz w:val="20"/>
        </w:rPr>
        <w:t>In the future, it is possible that we may invest significant amounts in infrastructure to support new products or existing products in new markets.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Arial;sans-serif" w:hAnsi="Arial;sans-serif"/>
          <w:b w:val="false"/>
          <w:color w:val="231F20"/>
          <w:sz w:val="20"/>
        </w:rPr>
        <w:t xml:space="preserve">As discussed in </w:t>
      </w:r>
      <w:r>
        <w:rPr>
          <w:rFonts w:ascii="Arial;sans-serif" w:hAnsi="Arial;sans-serif"/>
          <w:b w:val="false"/>
          <w:i/>
          <w:color w:val="231F20"/>
          <w:sz w:val="20"/>
        </w:rPr>
        <w:t>Note 11 — Segment Information</w:t>
      </w:r>
      <w:r>
        <w:rPr>
          <w:rFonts w:ascii="Arial;sans-serif" w:hAnsi="Arial;sans-serif"/>
          <w:b w:val="false"/>
          <w:color w:val="231F20"/>
          <w:sz w:val="20"/>
        </w:rPr>
        <w:t>, following the leadership transition, we revised the internal management reporting package provided to the CODM, including changes to the presentation and composition of segment expenses, to align with how the CODM manages operations, assesses performance, allocates resources and develops strategic priorities. We continue to operate and manage our business as one reportable operating segment. The revised presentation conforms prior-period segment information to the current-period presentation and did not change total revenue, total costs and operating expenses, loss from operations or net loss for any period presented.</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Seasonal fluctuations and underlying business trends have also affected, and are likely to continue to affect, our business. We may experience this seasonality, in particular in the third quarter due to primary care physician and patient summer vacation periods, with relatively lower volume in the first and third quarters, and relatively higher volume in the second and fourth quarters. These seasonal trends have caused, and will likely continue to cause, fluctuations in our quarterly results, including fluctuations in sequential revenue growth rates.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 xml:space="preserve">While each of these areas presents significant opportunities for us, they also pose significant risks and challenges that we must address. See Item 1A. “Risk Factors” for more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i/>
          <w:color w:val="231F20"/>
          <w:sz w:val="20"/>
        </w:rPr>
      </w:pPr>
      <w:r>
        <w:rPr>
          <w:rFonts w:ascii="Arial;sans-serif" w:hAnsi="Arial;sans-serif"/>
          <w:b/>
          <w:i/>
          <w:color w:val="231F20"/>
          <w:sz w:val="20"/>
        </w:rPr>
        <w:t>Components of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i/>
          <w:color w:val="231F20"/>
          <w:sz w:val="20"/>
        </w:rPr>
      </w:pPr>
      <w:r>
        <w:rPr>
          <w:rFonts w:ascii="Arial;sans-serif" w:hAnsi="Arial;sans-serif"/>
          <w:b w:val="false"/>
          <w:i/>
          <w:color w:val="231F20"/>
          <w:sz w:val="20"/>
        </w:rPr>
        <w:t>Screening Revenue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We currently derive screening revenue through the sale of Galleri primarily within the United States and primarily through primary care physicians, health systems, employers, digital health platforms, payors, and life insurance providers. Galleri is not currently broadly reimbursed. Galleri test pricing is generally based on our list price, with discounts in certain channels, or, for certain customers, such as larger, higher-volume customers or international distributors, negotiated contractual rates. For certain customers, we also offer rebates. We expect the number or magnitude of these rates, discounts and rebates to reduce our ASP over time.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 </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i/>
          <w:color w:val="231F20"/>
          <w:sz w:val="20"/>
        </w:rPr>
      </w:pPr>
      <w:r>
        <w:rPr>
          <w:rFonts w:ascii="Arial;sans-serif" w:hAnsi="Arial;sans-serif"/>
          <w:b w:val="false"/>
          <w:i/>
          <w:color w:val="231F20"/>
          <w:sz w:val="20"/>
        </w:rPr>
        <w:t>Development Services Revenue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also derive revenue through our development services, which consist of research services we provide to biopharmaceutical and clinical customers including support of ongoing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related to regulatory filings to support clinical study and companion diagnostic device development and regulatory submissions for the developed product(s) using an input method based on costs incurred to measure its progress toward the completion and satisfaction of the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20"/>
        </w:rPr>
      </w:pPr>
      <w:r>
        <w:rPr>
          <w:rFonts w:ascii="Arial;sans-serif" w:hAnsi="Arial;sans-serif"/>
          <w:b w:val="false"/>
          <w:i/>
          <w:color w:val="231F20"/>
          <w:sz w:val="20"/>
        </w:rPr>
        <w:t>Cost of Screening Revenue (Exclusive of Amortization of Intangible Assets) and Cost of Development Services Revenue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Cost of revenue represents expenses that are incurred to produce and sell our products and services. For screening revenue, these costs consist of materials, labor including salaries and wages, bonus, benefits and stock-based compensation, blood collection kits and shipping, phlebotomy, royalties, electronic medical records, equipment depreciation, and allocations of overhead expenses such as facilities and information technology costs. For development services, these costs consist of materials and patient sample acquisition, labor including salaries and wages, bonus, benefits and stock-based compensation, royalties, equipment depreciation, and allocations of overhead expenses such as facilities and information technology costs. As demand for our products increases, we expect to further leverage the scale efficiencies of our infrastructure and platform technology, which we believe will positively impact margins over time. These margin improvements from scale efficiencies will at least be partially offset when we commence recognition of royalties owing under the terms of the Illumina Supply Agreement on December 24,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i/>
          <w:color w:val="231F20"/>
          <w:sz w:val="20"/>
        </w:rPr>
      </w:pPr>
      <w:r>
        <w:rPr>
          <w:rFonts w:ascii="Arial;sans-serif" w:hAnsi="Arial;sans-serif"/>
          <w:b w:val="false"/>
          <w:i/>
          <w:color w:val="231F20"/>
          <w:sz w:val="20"/>
        </w:rPr>
        <w:t>Cost of Revenue—Amortization of Intangible Assets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our diagnostic aid for cancer (“DAC”) product that is being designed to accelerate diagnostic resolution for patients for whom there is a clinical suspicion of cancer. As part of our restructuring plan designed to reprioritize our resources to focus on our core MCED business and reduce overall spend as we pursue a PMA approval from the FDA for Galleri and broad reimbursement, we have reduced investment in the development of products beyond Galleri, including DAC. The cost of identifiable intangible assets with finite lives, such as developed technology assets, are amortized on a straight-line basis over the assets’ respective estimated useful lives of 18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20"/>
        </w:rPr>
      </w:pPr>
      <w:r>
        <w:rPr>
          <w:rFonts w:ascii="Arial;sans-serif" w:hAnsi="Arial;sans-serif"/>
          <w:b w:val="false"/>
          <w:i/>
          <w:color w:val="231F20"/>
          <w:sz w:val="20"/>
        </w:rPr>
        <w:t xml:space="preserve">Research and Development </w:t>
      </w:r>
    </w:p>
    <w:p>
      <w:pPr>
        <w:pStyle w:val="TextBody"/>
        <w:bidi w:val="0"/>
        <w:spacing w:lineRule="auto" w:line="288" w:before="240" w:after="283"/>
        <w:ind w:left="0" w:right="0" w:firstLine="450"/>
        <w:jc w:val="left"/>
        <w:rPr/>
      </w:pPr>
      <w:r>
        <w:rPr>
          <w:rFonts w:ascii="Arial;sans-serif" w:hAnsi="Arial;sans-serif"/>
          <w:b w:val="false"/>
          <w:color w:val="231F20"/>
          <w:sz w:val="20"/>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w:t>
      </w:r>
      <w:r>
        <w:rPr>
          <w:rFonts w:ascii="Arial;sans-serif" w:hAnsi="Arial;sans-serif"/>
          <w:b w:val="false"/>
          <w:color w:val="000000"/>
          <w:sz w:val="20"/>
        </w:rPr>
        <w:t xml:space="preserve">ent costs in the periods in which they are incurred. Nonrefundable advance payments for goods and services that will be used or rendered in future research and development activities are deferred and recognized as expenses in the period in which the related goods are delivered or services are performed. </w:t>
      </w:r>
      <w:r>
        <w:rPr>
          <w:rFonts w:ascii="Arial;sans-serif" w:hAnsi="Arial;sans-serif"/>
          <w:b w:val="false"/>
          <w:color w:val="231F20"/>
          <w:sz w:val="20"/>
        </w:rPr>
        <w:t xml:space="preserve">We currently expect research and development expenses to decrease over the next three years as several of our large clinical trials transition to long-term follow-up, and development of our automated platform has substantially concluded. In addition, we have substantially completed development of the current enhanced versions of our Galleri test, including the version that we use in commercial channels and the version that was submitted with our PMA. We will continue to invest in Galleri, including generating and reporting clinical utility evidence to support broad adoption, progressing our PMA towards potential approval, and innovating to further improve Galleri’s test performance while reducing cost, and we will evaluate other research and development opportunities from time to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20"/>
        </w:rPr>
      </w:pPr>
      <w:r>
        <w:rPr>
          <w:rFonts w:ascii="Arial;sans-serif" w:hAnsi="Arial;sans-serif"/>
          <w:b w:val="false"/>
          <w:i/>
          <w:color w:val="231F20"/>
          <w:sz w:val="20"/>
        </w:rPr>
        <w:t>Sales and Marketing</w:t>
      </w:r>
    </w:p>
    <w:p>
      <w:pPr>
        <w:pStyle w:val="TextBody"/>
        <w:bidi w:val="0"/>
        <w:spacing w:lineRule="auto" w:line="288" w:before="240" w:after="283"/>
        <w:ind w:left="0" w:right="0" w:firstLine="450"/>
        <w:jc w:val="left"/>
        <w:rPr/>
      </w:pPr>
      <w:r>
        <w:rPr>
          <w:rFonts w:ascii="Arial;sans-serif" w:hAnsi="Arial;sans-serif"/>
          <w:b w:val="false"/>
          <w:color w:val="231F20"/>
          <w:sz w:val="20"/>
        </w:rPr>
        <w:t>Sales and marketing expenses consist primarily of personnel costs, including salaries, benefits and stock- 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 also includes amortization of the trade name intangible asset that was recognized upon the Acquisition, which has been recorded in our financial statements as a result of the application of pushdown accounting, and is amortized on a straight-line basis over the assets’ respective estimated useful lives of 9 years. We expect our sales and marketing expense</w:t>
      </w:r>
      <w:r>
        <w:rPr>
          <w:rFonts w:ascii="Arial;sans-serif" w:hAnsi="Arial;sans-serif"/>
          <w:b w:val="false"/>
          <w:color w:val="000000"/>
          <w:sz w:val="20"/>
        </w:rPr>
        <w:t xml:space="preserve">s to </w:t>
      </w:r>
      <w:r>
        <w:rPr>
          <w:rFonts w:ascii="Arial;sans-serif" w:hAnsi="Arial;sans-serif"/>
          <w:b w:val="false"/>
          <w:color w:val="231F20"/>
          <w:sz w:val="20"/>
        </w:rPr>
        <w:t>increase following the release of positive study results as we invest in initiatives to drive awareness and demand generation of Galleri</w:t>
      </w:r>
      <w:r>
        <w:rPr>
          <w:color w:val="000000"/>
        </w:rPr>
        <w:t xml:space="preserve"> </w:t>
      </w:r>
      <w:r>
        <w:rPr>
          <w:rFonts w:ascii="Arial;sans-serif" w:hAnsi="Arial;sans-serif"/>
          <w:b w:val="false"/>
          <w:color w:val="000000"/>
          <w:sz w:val="20"/>
        </w:rPr>
        <w:t xml:space="preserve">and to </w:t>
      </w:r>
      <w:r>
        <w:rPr>
          <w:rFonts w:ascii="Arial;sans-serif" w:hAnsi="Arial;sans-serif"/>
          <w:b w:val="false"/>
          <w:color w:val="231F20"/>
          <w:sz w:val="20"/>
        </w:rPr>
        <w:t xml:space="preserve">continue to </w:t>
      </w:r>
      <w:r>
        <w:rPr>
          <w:rFonts w:ascii="Arial;sans-serif" w:hAnsi="Arial;sans-serif"/>
          <w:b w:val="false"/>
          <w:color w:val="000000"/>
          <w:sz w:val="20"/>
        </w:rPr>
        <w:t>decrease as a percentage of revenue over the next three years and long term.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20"/>
        </w:rPr>
      </w:pPr>
      <w:r>
        <w:rPr>
          <w:rFonts w:ascii="Arial;sans-serif" w:hAnsi="Arial;sans-serif"/>
          <w:b w:val="false"/>
          <w:i/>
          <w:color w:val="231F20"/>
          <w:sz w:val="20"/>
        </w:rPr>
        <w:t xml:space="preserve">General and Administrative </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General and administrative expenses consist of personnel expenses, including salaries, benefits and stock-based compensation expenses, for executive, finance and accounting, legal, human resources, business development, corporate communications, portfolio management, medical affairs, and management information systems personnel. Also included are professional fees, legal costs, including patent and trademark-related expenses and educational activities. </w:t>
      </w:r>
      <w:r>
        <w:rPr>
          <w:rFonts w:ascii="Arial;sans-serif" w:hAnsi="Arial;sans-serif"/>
          <w:b w:val="false"/>
          <w:color w:val="000000"/>
          <w:sz w:val="20"/>
        </w:rPr>
        <w:t>W</w:t>
      </w:r>
      <w:r>
        <w:rPr>
          <w:rFonts w:ascii="Arial;sans-serif" w:hAnsi="Arial;sans-serif"/>
          <w:b w:val="false"/>
          <w:color w:val="231F20"/>
          <w:sz w:val="20"/>
        </w:rPr>
        <w:t xml:space="preserve">e have incurred and will incur additional expenses as a result of operating as a public company, including expenses related to compliance with the rules and regulations of the SEC, director and officer insurance premiums, investor relations activities, and other expenses related to administrative and professional services. We expect our G&amp;A expenses </w:t>
      </w:r>
      <w:r>
        <w:rPr>
          <w:rFonts w:ascii="Arial;sans-serif" w:hAnsi="Arial;sans-serif"/>
          <w:b w:val="false"/>
          <w:color w:val="000000"/>
          <w:sz w:val="20"/>
        </w:rPr>
        <w:t xml:space="preserve">to </w:t>
      </w:r>
      <w:r>
        <w:rPr>
          <w:rFonts w:ascii="Arial;sans-serif" w:hAnsi="Arial;sans-serif"/>
          <w:b w:val="false"/>
          <w:color w:val="231F20"/>
          <w:sz w:val="20"/>
        </w:rPr>
        <w:t>increase as we continue to invest in corporate infrastructure to support public company operations and the commercialization of Galleri</w:t>
      </w:r>
      <w:r>
        <w:rPr>
          <w:color w:val="000000"/>
        </w:rPr>
        <w:t xml:space="preserve"> </w:t>
      </w:r>
      <w:r>
        <w:rPr>
          <w:rFonts w:ascii="Arial;sans-serif" w:hAnsi="Arial;sans-serif"/>
          <w:b w:val="false"/>
          <w:color w:val="000000"/>
          <w:sz w:val="20"/>
        </w:rPr>
        <w:t xml:space="preserve">and </w:t>
      </w:r>
      <w:r>
        <w:rPr>
          <w:rFonts w:ascii="Arial;sans-serif" w:hAnsi="Arial;sans-serif"/>
          <w:b w:val="false"/>
          <w:color w:val="231F20"/>
          <w:sz w:val="20"/>
        </w:rPr>
        <w:t xml:space="preserve">to </w:t>
      </w:r>
      <w:r>
        <w:rPr>
          <w:rFonts w:ascii="Arial;sans-serif" w:hAnsi="Arial;sans-serif"/>
          <w:b w:val="false"/>
          <w:color w:val="000000"/>
          <w:sz w:val="20"/>
        </w:rPr>
        <w:t>continue to decrease as a percentage of revenue over the next three years and long term.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20"/>
        </w:rPr>
      </w:pPr>
      <w:r>
        <w:rPr>
          <w:rFonts w:ascii="Arial;sans-serif" w:hAnsi="Arial;sans-serif"/>
          <w:b w:val="false"/>
          <w:i/>
          <w:color w:val="231F20"/>
          <w:sz w:val="20"/>
        </w:rPr>
        <w:t>Interest Income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Interest income consists primarily of interest income earned on our cash, cash equivalents, and short-term marketable securities.</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Other Income (Expense), Net</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Other income (expense), net primarily consists of foreign currency gains and losses as a result of our intercompany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20"/>
        </w:rPr>
      </w:pPr>
      <w:r>
        <w:rPr>
          <w:rFonts w:ascii="Arial;sans-serif" w:hAnsi="Arial;sans-serif"/>
          <w:b w:val="false"/>
          <w:i/>
          <w:color w:val="231F20"/>
          <w:sz w:val="20"/>
        </w:rPr>
        <w:t>Benefit from Income Taxes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Income taxes are accounted for under the asset and liability method, which requires the recognition of deferred tax assets and liabilities for the future tax consequences of events that have been included in the consolidated financial statements. Deferred tax assets are recognized for deductible temporary differences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portions or all of the deferred tax assets will not be realized. Deferred tax assets and liabilities are adjusted for the effects of changes in tax laws and rates on the date of enactment.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Results of Operations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Comparisons of the Three and Six Months Ended June 30, 2026 and June 30, 2025</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summarizes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550"/>
        <w:gridCol w:w="1214"/>
        <w:gridCol w:w="1200"/>
        <w:gridCol w:w="211"/>
        <w:gridCol w:w="874"/>
        <w:gridCol w:w="109"/>
        <w:gridCol w:w="109"/>
        <w:gridCol w:w="109"/>
        <w:gridCol w:w="109"/>
        <w:gridCol w:w="211"/>
        <w:gridCol w:w="874"/>
        <w:gridCol w:w="109"/>
        <w:gridCol w:w="109"/>
        <w:gridCol w:w="109"/>
        <w:gridCol w:w="109"/>
        <w:gridCol w:w="211"/>
        <w:gridCol w:w="874"/>
        <w:gridCol w:w="109"/>
        <w:gridCol w:w="109"/>
        <w:gridCol w:w="109"/>
        <w:gridCol w:w="109"/>
        <w:gridCol w:w="211"/>
        <w:gridCol w:w="874"/>
        <w:gridCol w:w="109"/>
        <w:gridCol w:w="109"/>
        <w:gridCol w:w="109"/>
        <w:gridCol w:w="109"/>
        <w:gridCol w:w="157"/>
      </w:tblGrid>
      <w:tr>
        <w:trPr/>
        <w:tc>
          <w:tcPr>
            <w:tcW w:w="155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Revenue:</w:t>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 revenue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revenue</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Costs and operating expenses:</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screening revenue (exclusive of amortization of intangible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development services revenue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15"/>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revenue — amortization of intangible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Research and development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Sales and marketing</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General and administrative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and other assets impairment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costs and operating expenses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Loss from operations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Other income:</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Interest income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income (expense),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other income, net</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Loss before income taxes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(110,247)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(220,198)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231F20"/>
          <w:sz w:val="20"/>
        </w:rPr>
      </w:pPr>
      <w:r>
        <w:rPr>
          <w:rFonts w:ascii="Arial;sans-serif" w:hAnsi="Arial;sans-serif"/>
          <w:b/>
          <w:i/>
          <w:color w:val="231F20"/>
          <w:sz w:val="20"/>
        </w:rPr>
        <w:t>Comparison of the Three Months Ended June 30, 2026 and June 30, 2025</w:t>
      </w:r>
    </w:p>
    <w:p>
      <w:pPr>
        <w:pStyle w:val="TextBody"/>
        <w:bidi w:val="0"/>
        <w:spacing w:lineRule="auto" w:line="288" w:before="240" w:after="283"/>
        <w:jc w:val="both"/>
        <w:rPr>
          <w:rFonts w:ascii="Arial;sans-serif" w:hAnsi="Arial;sans-serif"/>
          <w:b w:val="false"/>
          <w:i/>
          <w:color w:val="231F20"/>
          <w:sz w:val="20"/>
        </w:rPr>
      </w:pPr>
      <w:r>
        <w:rPr>
          <w:rFonts w:ascii="Arial;sans-serif" w:hAnsi="Arial;sans-serif"/>
          <w:b w:val="false"/>
          <w:i/>
          <w:color w:val="231F20"/>
          <w:sz w:val="20"/>
        </w:rPr>
        <w:t>Revenue</w:t>
      </w:r>
    </w:p>
    <w:tbl>
      <w:tblPr>
        <w:tblW w:w="6311" w:type="dxa"/>
        <w:jc w:val="left"/>
        <w:tblInd w:w="0" w:type="dxa"/>
        <w:tblLayout w:type="fixed"/>
        <w:tblCellMar>
          <w:top w:w="28" w:type="dxa"/>
          <w:left w:w="28" w:type="dxa"/>
          <w:bottom w:w="28" w:type="dxa"/>
          <w:right w:w="28" w:type="dxa"/>
        </w:tblCellMar>
      </w:tblPr>
      <w:tblGrid>
        <w:gridCol w:w="609"/>
        <w:gridCol w:w="534"/>
        <w:gridCol w:w="5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58"/>
        <w:gridCol w:w="158"/>
        <w:gridCol w:w="316"/>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231F20"/>
          <w:sz w:val="20"/>
        </w:rPr>
      </w:pPr>
      <w:r>
        <w:rPr>
          <w:rFonts w:ascii="Arial;sans-serif" w:hAnsi="Arial;sans-serif"/>
          <w:b w:val="false"/>
          <w:i/>
          <w:color w:val="231F20"/>
          <w:sz w:val="20"/>
        </w:rPr>
        <w:t>Screening Revenue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screening revenue of $8.3 million or 24% was primarily driven by a 35% increase in Galleri sales volume, partially offset by an 8% decrease in ASP. Galleri sales volume increased in the second quarter of 2026 as a result of the continued ramp in our commercial activity following the release of our NHS-Galleri and PATHFINDER 2 study data, expansion of our partnerships with digital health platforms, employers, and international distributors, continued implementation of new pricing strategies, broader adoption of enhanced ordering pathways enabled by Electronic Health Record (“EHR”) integrations, and increased enrollment in our REACH/Galleri-Medicare clinical study.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 xml:space="preserve">Cost of Screening Revenue (Exclusive of Amortization of Intangible Assets)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1"/>
        <w:gridCol w:w="1773"/>
        <w:gridCol w:w="177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58"/>
        <w:gridCol w:w="158"/>
        <w:gridCol w:w="318"/>
      </w:tblGrid>
      <w:tr>
        <w:trPr/>
        <w:tc>
          <w:tcPr>
            <w:tcW w:w="2021"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5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screening revenue (exclusive of 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cost of screening revenue (exclusive of amortization of intangible assets) of $4.0 million or 21% was primarily driven by a 35% increase in Galleri sales volume and an increase in allocated overhead costs as a result of the increase in the proportion of commercial samples compared to research samples processed within our laboratory. These increases were partially offset by improved fixed cost leverage due to an increase in volumes and a decrease in sample reprocessing costs.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Cost of screening revenue (exclusive of amortization of intangible assets) as a percent of revenue decreased approximately 2 percentage points in the second quarter of 2026, mainly due to improved fixed cost leverage due to the increase in volumes and a decrease in sample reprocessing costs, partially offset by an 8% decrease in ASP.</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Research and Development</w:t>
      </w:r>
    </w:p>
    <w:tbl>
      <w:tblPr>
        <w:tblW w:w="6768" w:type="dxa"/>
        <w:jc w:val="left"/>
        <w:tblInd w:w="0" w:type="dxa"/>
        <w:tblLayout w:type="fixed"/>
        <w:tblCellMar>
          <w:top w:w="28" w:type="dxa"/>
          <w:left w:w="28" w:type="dxa"/>
          <w:bottom w:w="28" w:type="dxa"/>
          <w:right w:w="28" w:type="dxa"/>
        </w:tblCellMar>
      </w:tblPr>
      <w:tblGrid>
        <w:gridCol w:w="863"/>
        <w:gridCol w:w="758"/>
        <w:gridCol w:w="764"/>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09"/>
        <w:gridCol w:w="109"/>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research and development expenses of $0.8 million or 2% was primarily attributable to a $2.9 million increase in compensation expense, reflecting a $2.0 million increase in variable compensation expense, a $0.7 million increase in stock-based compensation expense and, to a lesser extent, a $0.2 million increase in salaries and wages. The increase was partially offset by a $2.1 million reduction in laboratory supplies and research collaboration expenses, primarily due to a reduction in research sample volumes as validation samples were run in the prior year to support our PMA submission.</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Sales and Marketing</w:t>
      </w:r>
    </w:p>
    <w:tbl>
      <w:tblPr>
        <w:tblW w:w="6430" w:type="dxa"/>
        <w:jc w:val="left"/>
        <w:tblInd w:w="0" w:type="dxa"/>
        <w:tblLayout w:type="fixed"/>
        <w:tblCellMar>
          <w:top w:w="28" w:type="dxa"/>
          <w:left w:w="28" w:type="dxa"/>
          <w:bottom w:w="28" w:type="dxa"/>
          <w:right w:w="28" w:type="dxa"/>
        </w:tblCellMar>
      </w:tblPr>
      <w:tblGrid>
        <w:gridCol w:w="652"/>
        <w:gridCol w:w="572"/>
        <w:gridCol w:w="57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58"/>
        <w:gridCol w:w="158"/>
        <w:gridCol w:w="31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increase in sales and marketing expenses of $9.1 million or 32% was primarily attributable to continued ramp in our commercial activity, including a $5.3 million increase in compensation expense reflecting a $3.6 million increase in salaries and wages driven by a greater allocation of labor resources supporting commercial activities and increased headcount, a $1.0 million increase in variable compensation expense, and a $0.7 million increase in stock-based compensation expense. The increase was also attributable to a $3.2 million increase in marketing expenses and professional services, primarily reflecting expanded commercial marketing initiatives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external professional services supporting our commercialization efforts, as well as a $0.6 million increase in software costs utilized to support commercial activities.</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General and Administrative</w:t>
      </w:r>
    </w:p>
    <w:tbl>
      <w:tblPr>
        <w:tblW w:w="7061" w:type="dxa"/>
        <w:jc w:val="left"/>
        <w:tblInd w:w="0" w:type="dxa"/>
        <w:tblLayout w:type="fixed"/>
        <w:tblCellMar>
          <w:top w:w="28" w:type="dxa"/>
          <w:left w:w="28" w:type="dxa"/>
          <w:bottom w:w="28" w:type="dxa"/>
          <w:right w:w="28" w:type="dxa"/>
        </w:tblCellMar>
      </w:tblPr>
      <w:tblGrid>
        <w:gridCol w:w="841"/>
        <w:gridCol w:w="739"/>
        <w:gridCol w:w="74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general and administrative expenses of $12.8 million or 34% was primarily attributable to an $8.9 million increase in compensation expense, reflecting a $3.8 million increase in stock-based compensation expense, a $2.6 million increase in salaries and wages, primarily due to higher employer payroll taxes associated with stock-based compensation and, to a lesser extent, annual salary increases, and a $2.5 million increase in variable compensation expense. The increase was also attributable to a $2.7 million increase in legal and professional services, primarily related to professional services to support audits related to our FDA approval efforts, $0.7 million of lease-related costs associated with the commencement of our new corporate headquarters lease, and a $0.5 million increase in allocated costs supporting general and administrative activities.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Intangible Impairment</w:t>
      </w:r>
    </w:p>
    <w:tbl>
      <w:tblPr>
        <w:tblW w:w="8005" w:type="dxa"/>
        <w:jc w:val="left"/>
        <w:tblInd w:w="0" w:type="dxa"/>
        <w:tblLayout w:type="fixed"/>
        <w:tblCellMar>
          <w:top w:w="28" w:type="dxa"/>
          <w:left w:w="28" w:type="dxa"/>
          <w:bottom w:w="28" w:type="dxa"/>
          <w:right w:w="28" w:type="dxa"/>
        </w:tblCellMar>
      </w:tblPr>
      <w:tblGrid>
        <w:gridCol w:w="1190"/>
        <w:gridCol w:w="1044"/>
        <w:gridCol w:w="1050"/>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35"/>
        <w:gridCol w:w="136"/>
        <w:gridCol w:w="376"/>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and other assets impairment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decrease in intangible and other assets impairment was primarily attributable to an impairment charge related to in-process research and development ("IPR&amp;D") recorded in the prior-year quarter that did not recur in the current quarter, partially offset by a full impairment of the deferred asset recognized in connection with the Samsung SPA.</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Benefit from Income Taxes</w:t>
      </w:r>
    </w:p>
    <w:tbl>
      <w:tblPr>
        <w:tblW w:w="6955" w:type="dxa"/>
        <w:jc w:val="left"/>
        <w:tblInd w:w="0" w:type="dxa"/>
        <w:tblLayout w:type="fixed"/>
        <w:tblCellMar>
          <w:top w:w="28" w:type="dxa"/>
          <w:left w:w="28" w:type="dxa"/>
          <w:bottom w:w="28" w:type="dxa"/>
          <w:right w:w="28" w:type="dxa"/>
        </w:tblCellMar>
      </w:tblPr>
      <w:tblGrid>
        <w:gridCol w:w="804"/>
        <w:gridCol w:w="706"/>
        <w:gridCol w:w="7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benefit from income taxes was primarily attributable to a higher loss before income taxes and a higher effective tax rate due to an increase in discrete tax benefits, primarily related to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Comparison of the Six Months Ended June 30, 2026 and June 30, 2025</w:t>
      </w:r>
    </w:p>
    <w:p>
      <w:pPr>
        <w:pStyle w:val="TextBody"/>
        <w:bidi w:val="0"/>
        <w:spacing w:lineRule="auto" w:line="288" w:before="240" w:after="283"/>
        <w:jc w:val="both"/>
        <w:rPr>
          <w:rFonts w:ascii="Arial;sans-serif" w:hAnsi="Arial;sans-serif"/>
          <w:b w:val="false"/>
          <w:i/>
          <w:color w:val="231F20"/>
          <w:sz w:val="20"/>
        </w:rPr>
      </w:pPr>
      <w:r>
        <w:rPr>
          <w:rFonts w:ascii="Arial;sans-serif" w:hAnsi="Arial;sans-serif"/>
          <w:b w:val="false"/>
          <w:i/>
          <w:color w:val="231F20"/>
          <w:sz w:val="20"/>
        </w:rPr>
        <w:t>Revenue</w:t>
      </w:r>
    </w:p>
    <w:tbl>
      <w:tblPr>
        <w:tblW w:w="6416" w:type="dxa"/>
        <w:jc w:val="left"/>
        <w:tblInd w:w="0" w:type="dxa"/>
        <w:tblLayout w:type="fixed"/>
        <w:tblCellMar>
          <w:top w:w="28" w:type="dxa"/>
          <w:left w:w="28" w:type="dxa"/>
          <w:bottom w:w="28" w:type="dxa"/>
          <w:right w:w="28" w:type="dxa"/>
        </w:tblCellMar>
      </w:tblPr>
      <w:tblGrid>
        <w:gridCol w:w="609"/>
        <w:gridCol w:w="534"/>
        <w:gridCol w:w="53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Screening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Screening Revenue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screening revenue of $19.0 million or 30% was primarily driven by a 42% increase in Galleri sales volume, partially offset by an 8% decrease in ASP. Galleri sales volume increased in the first six months of 2026 as a result of the continued ramp in our commercial activity following the release of our NHS-Galleri and PATHFINDER 2 study data, expansion of our partnerships with digital health platforms, employers, and international distributors, continued implementation of new pricing strategies, broader adoption of enhanced ordering pathways enabled by EHR integrations, and increased enrollment in our REACH/Galleri-Medicare clinical study.</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 xml:space="preserve">Cost of Screening Revenue (Exclusive of Amortization of Intangible Assets) </w:t>
      </w:r>
    </w:p>
    <w:tbl>
      <w:tblPr>
        <w:tblW w:w="10205" w:type="dxa"/>
        <w:jc w:val="left"/>
        <w:tblInd w:w="0" w:type="dxa"/>
        <w:tblLayout w:type="fixed"/>
        <w:tblCellMar>
          <w:top w:w="28" w:type="dxa"/>
          <w:left w:w="28" w:type="dxa"/>
          <w:bottom w:w="28" w:type="dxa"/>
          <w:right w:w="28" w:type="dxa"/>
        </w:tblCellMar>
      </w:tblPr>
      <w:tblGrid>
        <w:gridCol w:w="2021"/>
        <w:gridCol w:w="1773"/>
        <w:gridCol w:w="177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58"/>
        <w:gridCol w:w="158"/>
        <w:gridCol w:w="318"/>
      </w:tblGrid>
      <w:tr>
        <w:trPr/>
        <w:tc>
          <w:tcPr>
            <w:tcW w:w="2021"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5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Cost of screening revenue (exclusive of 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cost of screening revenue (exclusive of amortization of intangible assets) of $8.1 million or 22% was primarily driven by a 42% increase in Galleri sales volume and an increase in allocated overhead costs as a result of the increase in the proportion of commercial samples compared to research samples processed within our laboratory. These increases were partially offset by improved fixed cost leverage due to an increase in volumes and a decrease in sample processing costs.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Cost of screening revenue (exclusive of amortization of intangible assets) as a percent of revenue decreased approximately 3 percentage points in the first six months of 2026 mainly due to improved fixed cost leverage due to the increase in volumes and a decrease in sample reprocessing costs, partially offset by an 8% decrease in ASP.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Research and development</w:t>
      </w:r>
    </w:p>
    <w:tbl>
      <w:tblPr>
        <w:tblW w:w="6999" w:type="dxa"/>
        <w:jc w:val="left"/>
        <w:tblInd w:w="0" w:type="dxa"/>
        <w:tblLayout w:type="fixed"/>
        <w:tblCellMar>
          <w:top w:w="28" w:type="dxa"/>
          <w:left w:w="28" w:type="dxa"/>
          <w:bottom w:w="28" w:type="dxa"/>
          <w:right w:w="28" w:type="dxa"/>
        </w:tblCellMar>
      </w:tblPr>
      <w:tblGrid>
        <w:gridCol w:w="863"/>
        <w:gridCol w:w="758"/>
        <w:gridCol w:w="764"/>
        <w:gridCol w:w="211"/>
        <w:gridCol w:w="721"/>
        <w:gridCol w:w="109"/>
        <w:gridCol w:w="109"/>
        <w:gridCol w:w="109"/>
        <w:gridCol w:w="109"/>
        <w:gridCol w:w="211"/>
        <w:gridCol w:w="826"/>
        <w:gridCol w:w="109"/>
        <w:gridCol w:w="109"/>
        <w:gridCol w:w="109"/>
        <w:gridCol w:w="109"/>
        <w:gridCol w:w="344"/>
        <w:gridCol w:w="346"/>
        <w:gridCol w:w="109"/>
        <w:gridCol w:w="109"/>
        <w:gridCol w:w="109"/>
        <w:gridCol w:w="109"/>
        <w:gridCol w:w="135"/>
        <w:gridCol w:w="136"/>
        <w:gridCol w:w="376"/>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100,251 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decrease in research and development expenses of $4.8 million or 5% was primarily attributable to a $4.5 million decrease in laboratory supplies and research collaboration expenses, primarily due to a reduction in research sample volumes as validation samples were run in the prior year to support our PMA submission and a $1.7 million decrease in facilities and information technology costs allocated to the research and development function. These decreases were partially offset by a $1.4 million increase in stock-based compensation expense. </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Sales and Marketing</w:t>
      </w:r>
    </w:p>
    <w:tbl>
      <w:tblPr>
        <w:tblW w:w="6159" w:type="dxa"/>
        <w:jc w:val="left"/>
        <w:tblInd w:w="0" w:type="dxa"/>
        <w:tblLayout w:type="fixed"/>
        <w:tblCellMar>
          <w:top w:w="28" w:type="dxa"/>
          <w:left w:w="28" w:type="dxa"/>
          <w:bottom w:w="28" w:type="dxa"/>
          <w:right w:w="28" w:type="dxa"/>
        </w:tblCellMar>
      </w:tblPr>
      <w:tblGrid>
        <w:gridCol w:w="652"/>
        <w:gridCol w:w="572"/>
        <w:gridCol w:w="575"/>
        <w:gridCol w:w="211"/>
        <w:gridCol w:w="721"/>
        <w:gridCol w:w="109"/>
        <w:gridCol w:w="109"/>
        <w:gridCol w:w="109"/>
        <w:gridCol w:w="109"/>
        <w:gridCol w:w="211"/>
        <w:gridCol w:w="721"/>
        <w:gridCol w:w="109"/>
        <w:gridCol w:w="109"/>
        <w:gridCol w:w="109"/>
        <w:gridCol w:w="109"/>
        <w:gridCol w:w="308"/>
        <w:gridCol w:w="308"/>
        <w:gridCol w:w="109"/>
        <w:gridCol w:w="109"/>
        <w:gridCol w:w="109"/>
        <w:gridCol w:w="109"/>
        <w:gridCol w:w="128"/>
        <w:gridCol w:w="128"/>
        <w:gridCol w:w="31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68,325 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sales and marketing expenses of $4.8 million or 8% was primarily attributable to a $4.6 million increase in compensation expenses, reflecting a $3.2 million increase in salaries and wages driven by a greater allocation of labor resources supporting commercial activities and an increase in headcount, a $0.8 million increase in variable compensation expense, and a $0.6 million increase in stock-based compensation expense. The increase was also attributable to a $0.6 million increase in software costs utilized to support commercial activities. These increases were partially offset by a $0.4 million reduction in non-recurring marketing events expenses.</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General and Administrative</w:t>
      </w:r>
    </w:p>
    <w:tbl>
      <w:tblPr>
        <w:tblW w:w="7061" w:type="dxa"/>
        <w:jc w:val="left"/>
        <w:tblInd w:w="0" w:type="dxa"/>
        <w:tblLayout w:type="fixed"/>
        <w:tblCellMar>
          <w:top w:w="28" w:type="dxa"/>
          <w:left w:w="28" w:type="dxa"/>
          <w:bottom w:w="28" w:type="dxa"/>
          <w:right w:w="28" w:type="dxa"/>
        </w:tblCellMar>
      </w:tblPr>
      <w:tblGrid>
        <w:gridCol w:w="841"/>
        <w:gridCol w:w="739"/>
        <w:gridCol w:w="74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general and administrative expenses of $10.5 million or 13% was primarily attributable to a $11.4 million increase in compensation expense, reflecting a $5.1 million increase in salaries and wages, primarily due to higher annual salaries, employer payroll taxes associated with stock-based compensation, a $3.9 million increase in stock-based compensation expense, and a $2.4 million increase in variable compensation expense. The increase was also attributable to a $1.8 million increase in allocated costs supporting general and administrative activities. These increases were partially offset by $2.7 million decreases related to contractors, legal, professional services and information technology costs driven by cost optimization efforts.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Intangible Impairment</w:t>
      </w:r>
    </w:p>
    <w:tbl>
      <w:tblPr>
        <w:tblW w:w="8005" w:type="dxa"/>
        <w:jc w:val="left"/>
        <w:tblInd w:w="0" w:type="dxa"/>
        <w:tblLayout w:type="fixed"/>
        <w:tblCellMar>
          <w:top w:w="28" w:type="dxa"/>
          <w:left w:w="28" w:type="dxa"/>
          <w:bottom w:w="28" w:type="dxa"/>
          <w:right w:w="28" w:type="dxa"/>
        </w:tblCellMar>
      </w:tblPr>
      <w:tblGrid>
        <w:gridCol w:w="1190"/>
        <w:gridCol w:w="1044"/>
        <w:gridCol w:w="1050"/>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35"/>
        <w:gridCol w:w="136"/>
        <w:gridCol w:w="376"/>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and other assets impairment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decrease in intangible and other assets impairment was primarily attributable to an impairment charge related to in-process research and development ("IPR&amp;D") recorded in the prior-year quarter that did not recur in the current quarter, partially offset by a full impairment of the deferred asset recognized in connection with the Samsung SPA.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rFonts w:ascii="Arial;sans-serif" w:hAnsi="Arial;sans-serif"/>
          <w:b w:val="false"/>
          <w:i/>
          <w:color w:val="231F20"/>
          <w:sz w:val="20"/>
        </w:rPr>
      </w:pPr>
      <w:r>
        <w:rPr>
          <w:rFonts w:ascii="Arial;sans-serif" w:hAnsi="Arial;sans-serif"/>
          <w:b w:val="false"/>
          <w:i/>
          <w:color w:val="231F20"/>
          <w:sz w:val="20"/>
        </w:rPr>
        <w:t>Benefit from Income Taxes</w:t>
      </w:r>
    </w:p>
    <w:tbl>
      <w:tblPr>
        <w:tblW w:w="6955" w:type="dxa"/>
        <w:jc w:val="left"/>
        <w:tblInd w:w="0" w:type="dxa"/>
        <w:tblLayout w:type="fixed"/>
        <w:tblCellMar>
          <w:top w:w="28" w:type="dxa"/>
          <w:left w:w="28" w:type="dxa"/>
          <w:bottom w:w="28" w:type="dxa"/>
          <w:right w:w="28" w:type="dxa"/>
        </w:tblCellMar>
      </w:tblPr>
      <w:tblGrid>
        <w:gridCol w:w="804"/>
        <w:gridCol w:w="706"/>
        <w:gridCol w:w="7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benefit from income taxes was primarily attributable to a higher effective tax rate due to an increase in discrete tax benefits, primarily related to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Non-GAAP Financial Measures and Royalty Payment Suspension</w:t>
      </w:r>
    </w:p>
    <w:p>
      <w:pPr>
        <w:pStyle w:val="TextBody"/>
        <w:bidi w:val="0"/>
        <w:spacing w:before="0" w:after="0"/>
        <w:jc w:val="left"/>
        <w:rPr/>
      </w:pPr>
      <w:r>
        <w:rPr/>
      </w:r>
    </w:p>
    <w:p>
      <w:pPr>
        <w:pStyle w:val="TextBody"/>
        <w:bidi w:val="0"/>
        <w:spacing w:lineRule="auto" w:line="26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In addition to our financial results provided throughout this Form 10-Q that are determined in accordance with U.S. generally accepted accounting principles (“GAAP”), this Form 10-Q also includes financial measures that are not calculated in accordance with GAAP. Our non-GAAP financial disclosure includes Adjusted Gross Profit and Adjusted EBITDA. This information should be read in conjunction with our unaudited Condensed Consolidated Financial Statements and the related notes included elsewhere in this Form 10-Q.</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non-GAAP financial measures, definitions, and explanations to the adjustments to comparable GAAP measures are included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31F20"/>
          <w:sz w:val="20"/>
        </w:rPr>
      </w:pPr>
      <w:r>
        <w:rPr>
          <w:rFonts w:ascii="Arial;sans-serif" w:hAnsi="Arial;sans-serif"/>
          <w:b/>
          <w:i/>
          <w:color w:val="231F20"/>
          <w:sz w:val="20"/>
        </w:rPr>
        <w:t>Adjusted Gross Profit</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costs associated with our sales and marketing, product development, general and administrative activities and the impact of our financing methods and income taxes.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calculate Adjusted Gross Profit as gross profit/(loss) (as defined below) adjusted to exclude amortization of intangible assets and stock-based compensation allocated to cost of revenue. Adjusted Gross Profit should be viewed as a measure of operating performance that is a supplement to, and not a substitute for, operating income or loss from operations, net earnings or loss and other GAAP measures of income (loss) or profitability. The following table presents a reconciliation of gross loss, the most directly comparable financial measure calculated in accordance with GAAP, to Adjusted Gross Profit.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35</w:t>
                      </w:r>
                    </w:p>
                  </w:txbxContent>
                </v:textbox>
                <w10:wrap type="none"/>
              </v:rect>
            </w:pict>
          </mc:Fallback>
        </mc:AlternateContent>
      </w:r>
    </w:p>
    <w:p>
      <w:pPr>
        <w:pStyle w:val="TextBody"/>
        <w:bidi w:val="0"/>
        <w:spacing w:before="0" w:after="0"/>
        <w:jc w:val="left"/>
        <w:rPr/>
      </w:pPr>
      <w:r>
        <w:rPr/>
      </w:r>
    </w:p>
    <w:tbl>
      <w:tblPr>
        <w:tblW w:w="8731" w:type="dxa"/>
        <w:jc w:val="left"/>
        <w:tblInd w:w="0" w:type="dxa"/>
        <w:tblLayout w:type="fixed"/>
        <w:tblCellMar>
          <w:top w:w="28" w:type="dxa"/>
          <w:left w:w="28" w:type="dxa"/>
          <w:bottom w:w="28" w:type="dxa"/>
          <w:right w:w="28" w:type="dxa"/>
        </w:tblCellMar>
      </w:tblPr>
      <w:tblGrid>
        <w:gridCol w:w="1016"/>
        <w:gridCol w:w="891"/>
        <w:gridCol w:w="898"/>
        <w:gridCol w:w="252"/>
        <w:gridCol w:w="952"/>
        <w:gridCol w:w="130"/>
        <w:gridCol w:w="109"/>
        <w:gridCol w:w="109"/>
        <w:gridCol w:w="109"/>
        <w:gridCol w:w="211"/>
        <w:gridCol w:w="796"/>
        <w:gridCol w:w="109"/>
        <w:gridCol w:w="109"/>
        <w:gridCol w:w="109"/>
        <w:gridCol w:w="109"/>
        <w:gridCol w:w="252"/>
        <w:gridCol w:w="952"/>
        <w:gridCol w:w="130"/>
        <w:gridCol w:w="109"/>
        <w:gridCol w:w="109"/>
        <w:gridCol w:w="109"/>
        <w:gridCol w:w="211"/>
        <w:gridCol w:w="79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231F20"/>
                <w:sz w:val="16"/>
              </w:rPr>
              <w:t xml:space="preserve">June 30, 2026 </w:t>
            </w:r>
            <w:r>
              <w:rPr>
                <w:rFonts w:ascii="Arial;sans-serif" w:hAnsi="Arial;sans-serif"/>
                <w:b/>
                <w:color w:val="231F2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231F20"/>
                <w:sz w:val="16"/>
              </w:rPr>
              <w:t xml:space="preserve">June 30, 2026 </w:t>
            </w:r>
            <w:r>
              <w:rPr>
                <w:rFonts w:ascii="Arial;sans-serif" w:hAnsi="Arial;sans-serif"/>
                <w:b/>
                <w:color w:val="231F2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31F20"/>
                <w:sz w:val="18"/>
              </w:rPr>
              <w:t>Gross loss</w:t>
            </w:r>
            <w:r>
              <w:rPr>
                <w:color w:val="231F20"/>
              </w:rPr>
              <w:t xml:space="preserve"> </w:t>
            </w:r>
            <w:r>
              <w:rPr>
                <w:rFonts w:ascii="Arial;sans-serif" w:hAnsi="Arial;sans-serif"/>
                <w:b/>
                <w:color w:val="231F20"/>
                <w:sz w:val="12"/>
              </w:rPr>
              <w:t>(1)</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(12,566)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(26,873)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 xml:space="preserve">Amortization of intangible assets </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33,472 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66,944 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 xml:space="preserve">Stock-based compensation </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Adjusted Gross Profit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21,555 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41,253 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30,419 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231F20"/>
          <w:sz w:val="10"/>
        </w:rPr>
        <w:t>(1)</w:t>
      </w:r>
      <w:r>
        <w:rPr>
          <w:rFonts w:ascii="Arial;sans-serif" w:hAnsi="Arial;sans-serif"/>
          <w:b w:val="false"/>
          <w:color w:val="231F20"/>
          <w:sz w:val="16"/>
        </w:rPr>
        <w:t xml:space="preserve">Gross loss is calculated as total revenue less cost of screening revenue (exclusive of amortization of intangible assets), cost of     development services revenue and cost of revenue — amortization of intangible assets. </w:t>
      </w:r>
    </w:p>
    <w:p>
      <w:pPr>
        <w:pStyle w:val="TextBody"/>
        <w:bidi w:val="0"/>
        <w:spacing w:lineRule="auto" w:line="288" w:before="60" w:after="283"/>
        <w:ind w:left="0" w:right="0" w:hanging="360"/>
        <w:jc w:val="left"/>
        <w:rPr/>
      </w:pPr>
      <w:r>
        <w:rPr>
          <w:rFonts w:ascii="Arial;sans-serif" w:hAnsi="Arial;sans-serif"/>
          <w:b w:val="false"/>
          <w:color w:val="231F20"/>
          <w:sz w:val="10"/>
        </w:rPr>
        <w:t>(2)</w:t>
      </w:r>
      <w:r>
        <w:rPr>
          <w:rFonts w:ascii="Arial;sans-serif" w:hAnsi="Arial;sans-serif"/>
          <w:b w:val="false"/>
          <w:color w:val="231F20"/>
          <w:sz w:val="16"/>
        </w:rPr>
        <w:t>Gross loss excludes $3.1 million and $6.0 million of royalty expense, calculated in accordance with the Illumina Supply Agreement, that would have been incurred if such royalties had been payable during the three and six months ended June 30, 2026.</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Adjusted EBITDA</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different operational and ownership histories, and/or different forms of employee compensation.</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(loss) or income (loss) from operations. Our management recognizes that Adjusted EBITDA has inherent limitations because of the excluded items, and may not be directly comparable to similarly titled metrics used by other companies.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Company defines Adjusted EBITDA as net loss adjusted for amortization of intangible assets,      stock-based compensation, depreciation, intangible and other assets impairment, benefit from income taxes, interest income and restructuring expenses. These adjustments include non-cash items, significant non-recurring charges and/or other non-operating expenses that we do not believe are indicative of ongoing or future business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and tax payments. Further, our definition of Adjusted EBITDA may differ from similarly titled measures used by other companies and therefore may not be comparable among companies. The following table presents a reconciliation of net loss, the most directly comparable financial measure calculated in accordance with U.S. GAAP, to Adjusted EBITDA on a consolidated basis.</w:t>
      </w:r>
    </w:p>
    <w:tbl>
      <w:tblPr>
        <w:tblW w:w="9389" w:type="dxa"/>
        <w:jc w:val="center"/>
        <w:tblInd w:w="0" w:type="dxa"/>
        <w:tblLayout w:type="fixed"/>
        <w:tblCellMar>
          <w:top w:w="28" w:type="dxa"/>
          <w:left w:w="28" w:type="dxa"/>
          <w:bottom w:w="28" w:type="dxa"/>
          <w:right w:w="28" w:type="dxa"/>
        </w:tblCellMar>
      </w:tblPr>
      <w:tblGrid>
        <w:gridCol w:w="1261"/>
        <w:gridCol w:w="1106"/>
        <w:gridCol w:w="1112"/>
        <w:gridCol w:w="211"/>
        <w:gridCol w:w="901"/>
        <w:gridCol w:w="109"/>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(220,198)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Adjusted to exclude the following:</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 xml:space="preserve">Amortization of intangible assets </w:t>
            </w:r>
            <w:r>
              <w:rPr>
                <w:rFonts w:ascii="Arial;sans-serif" w:hAnsi="Arial;sans-serif"/>
                <w:b w:val="false"/>
                <w:color w:val="231F20"/>
                <w:sz w:val="12"/>
              </w:rPr>
              <w:t>(1)</w:t>
            </w:r>
            <w:r>
              <w:rPr>
                <w:color w:val="231F20"/>
              </w:rPr>
              <w:t xml:space="preserve">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 xml:space="preserve">Intangible and other assets impairment </w:t>
            </w:r>
            <w:r>
              <w:rPr>
                <w:rFonts w:ascii="Arial;sans-serif" w:hAnsi="Arial;sans-serif"/>
                <w:b w:val="false"/>
                <w:color w:val="231F2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Depreciation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Restructuring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(90,270)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(78,322)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(177,057)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231F20"/>
          <w:sz w:val="10"/>
        </w:rPr>
        <w:t>(1)</w:t>
      </w:r>
      <w:r>
        <w:rPr>
          <w:rFonts w:ascii="Arial;sans-serif" w:hAnsi="Arial;sans-serif"/>
          <w:b w:val="false"/>
          <w:color w:val="231F20"/>
          <w:sz w:val="16"/>
        </w:rPr>
        <w:t>Represents amortization of intangible assets, including developed technology and trade names.</w:t>
      </w:r>
    </w:p>
    <w:p>
      <w:pPr>
        <w:pStyle w:val="TextBody"/>
        <w:bidi w:val="0"/>
        <w:spacing w:lineRule="auto" w:line="288" w:before="0" w:after="0"/>
        <w:ind w:left="0" w:right="0" w:hanging="360"/>
        <w:jc w:val="left"/>
        <w:rPr/>
      </w:pPr>
      <w:r>
        <w:rPr>
          <w:rFonts w:ascii="Arial;sans-serif" w:hAnsi="Arial;sans-serif"/>
          <w:b w:val="false"/>
          <w:color w:val="231F20"/>
          <w:sz w:val="10"/>
        </w:rPr>
        <w:t>(2)</w:t>
      </w:r>
      <w:r>
        <w:rPr>
          <w:rFonts w:ascii="Arial;sans-serif" w:hAnsi="Arial;sans-serif"/>
          <w:b w:val="false"/>
          <w:color w:val="231F20"/>
          <w:sz w:val="16"/>
        </w:rPr>
        <w:t>Represents the impairment charge related to the deferred asset recognized in connection with the Samsung SPA in the current period and the in-process research and development ("IPR&amp;D") impairment charge in the prior period.</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Royalty Payment Suspension</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In addition to providing non-GAAP financial measures, we believe certain additional information relating to the royalty we are required to pay to Illumina, Inc. (“Illumina”) in the future is useful to investors to understand the impact of the royalty suspension on our performance. Under the terms of the Illumina Supply Agreement, regardless of whether our products incorporate any Illumina technology, we will be obligated to pay Illumina a royalty. We expect that the royalty payments we will make to Illumina in the foreseeable future will result in a 7% royalty rate. The royalty obligation is currently suspended until December 24, 2026 or any earlier change of control of GRAIL, at which time royalty payments to Illumina will resume, without retroactive effect. Notwithstanding the suspension of the royalty, had we been required to pay the royalty to Illumina for the three- and six- month periods ended June 30, 2026, we would have made payments of $3.1 million and $6.0 million. Refer to </w:t>
      </w:r>
      <w:r>
        <w:rPr>
          <w:rFonts w:ascii="Arial;sans-serif" w:hAnsi="Arial;sans-serif"/>
          <w:b w:val="false"/>
          <w:i/>
          <w:color w:val="231F20"/>
          <w:sz w:val="20"/>
        </w:rPr>
        <w:t xml:space="preserve">Note 12 — Related Party Transactions </w:t>
      </w:r>
      <w:r>
        <w:rPr>
          <w:rFonts w:ascii="Arial;sans-serif" w:hAnsi="Arial;sans-serif"/>
          <w:b w:val="false"/>
          <w:color w:val="231F20"/>
          <w:sz w:val="20"/>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Liquidity and Capital Resources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Sources of Liquidity</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From inception through Illumina’s acquisition of GRAIL, we funded operations primarily through the issuance of redeemable convertible preferred stock. Following the acquisition and until completion of our spin-off from Illumina on June 24, 2024 (the “Spin-Off”), we received quarterly funding from Illumina. Subsequent to the Spin-Off, we have primarily funded our operations through the sale of common stock and prefunded warrants, as well as generation of revenue from commercial activities. Although we generate revenue from screening and development services, such revenues have not been sufficient to fund our operations. </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During 2025, we raised capital through equity financing, including a private investment in public equity (“PIPE”) and sales under an at-the-market (“ATM”) program, generating aggregate net proceeds of $418.8 million. As of June 30, 2026, $189.3 million worth of shares of common stock remained available for issuance under the ATM program.</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In June 2026, we completed the Samsung SPA and received aggregate net proceeds of $109.0 million, after deducting issuance costs of $1.0 million.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As of June 30, 2026, our cash and cash equivalents totaled $55.6 million and our short-term marketable securities totaled $806.0 million.</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Future Funding Requirements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We began generating revenue in mid-2021, but we have continued to incur significant losses and negative cash flows from operations. Subsequent to the acquisition of GRAIL by Illumina, we have incurred net losses of $10.4 billion which includes cumulative charges of $7.5 billion for impairment of goodwill, intangible and other assets and amortization of intangible assets. We expect to continue to incur operating losses over at least the next several years as we continue to invest in research and development and seek to achieve broad reimbursement of our current commercialized products. We believe that our existing cash, cash equivalents and short-term marketable securities, together with the anticipated commercial adoption of Galleri, will be sufficient to meet our working capital and capital expenditure needs for at least the next 12 months, as of the date of this Form 10-Q. However, we anticipate that we will need to raise additional financing in the future to fund our operations. Our future capital requirements will depend on many factors, including the timing and extent of spending to support commercialization and pipeline product development, market acceptance of our products prior to broad reimbursement, and the timing of broad reimbursement. We are subject to typical risks associated with an early-stage commercial company and are developing the market for multi-cancer early detection. We may encounter complications with executing our business plans that may cause unforeseen expenses and adversely affect our business.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We may in the future enter into arrangements to acquire or invest in complementary businesses, services, technologies, and intellectual property rights.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summarizes our cash flows for the periods presented:</w:t>
      </w:r>
    </w:p>
    <w:tbl>
      <w:tblPr>
        <w:tblW w:w="9338" w:type="dxa"/>
        <w:jc w:val="center"/>
        <w:tblInd w:w="0" w:type="dxa"/>
        <w:tblLayout w:type="fixed"/>
        <w:tblCellMar>
          <w:top w:w="28" w:type="dxa"/>
          <w:left w:w="28" w:type="dxa"/>
          <w:bottom w:w="28" w:type="dxa"/>
          <w:right w:w="28" w:type="dxa"/>
        </w:tblCellMar>
      </w:tblPr>
      <w:tblGrid>
        <w:gridCol w:w="2358"/>
        <w:gridCol w:w="2081"/>
        <w:gridCol w:w="2085"/>
        <w:gridCol w:w="211"/>
        <w:gridCol w:w="901"/>
        <w:gridCol w:w="109"/>
        <w:gridCol w:w="109"/>
        <w:gridCol w:w="109"/>
        <w:gridCol w:w="109"/>
        <w:gridCol w:w="211"/>
        <w:gridCol w:w="901"/>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Six Months Ended</w:t>
            </w:r>
          </w:p>
        </w:tc>
      </w:tr>
      <w:tr>
        <w:trPr/>
        <w:tc>
          <w:tcPr>
            <w:tcW w:w="6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June 30,</w:t>
              <w:br/>
              <w:t>2025</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(167,719)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(171,977)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cash (used in) provided by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(140,014)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84,980 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Effect of exchange rate changes on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(194,082)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(86,807)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Generally, our net cash provided by financing activities is used to fund our day-to-day operating activities. First quarter operating cash requirements are generally higher due to payment in the first quarter of our annual bonuses accrued during the prior year. During the six months ended June 30, 2026 and June 30, 2025, $23.4 million and $24.2 million were paid out related to annual bonuses.</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Net Cash Used in Operating Activities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decrease in net cash used in operating activities was primarily driven by a reduction in the net loss, adjusted for non-cash charges of $11.8 million, partially offset by working capital changes of $0.7 million. The improvement in operating cash flows was primarily driven by higher cash collections from customers and lower cash expenditures for laboratory supplies and research collaboration activities, legal, professional and marketing services, and contractor and temporary labor costs driven by cost optimization efforts. These improvements were partially offset by higher cash compensation payments.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Net Cash Used in Investing Activities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change in net cash used in investing activities was primarily related to the purchase of marketable securities, net of proceeds from maturities of marketable securities.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Net Cash Provided by Financing Activities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increase in net cash provided by financing activities was primarily related to $109.0 million of net proceeds from the issuance of common stock in connection with the Samsung SPA and $4.6 million of proceeds from the issuance of common stock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Material Cash Requirements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With the exception of future cash requirements associated with our Sunnyvale, California lease, which commenced in June 2026, there have been no material changes to our material cash requirements from those disclosed in our 2025 Form 10-K. </w:t>
      </w:r>
      <w:r>
        <w:rPr>
          <w:rFonts w:ascii="Arial;sans-serif" w:hAnsi="Arial;sans-serif"/>
          <w:b w:val="false"/>
          <w:color w:val="000000"/>
          <w:sz w:val="20"/>
        </w:rPr>
        <w:t xml:space="preserve">See </w:t>
      </w:r>
      <w:r>
        <w:rPr>
          <w:rFonts w:ascii="Arial;sans-serif" w:hAnsi="Arial;sans-serif"/>
          <w:b w:val="false"/>
          <w:i/>
          <w:color w:val="231F20"/>
          <w:sz w:val="20"/>
        </w:rPr>
        <w:t>Note 6 — Leases</w:t>
      </w:r>
      <w:r>
        <w:rPr>
          <w:color w:val="000000"/>
        </w:rPr>
        <w:t xml:space="preserve"> </w:t>
      </w:r>
      <w:r>
        <w:rPr>
          <w:rFonts w:ascii="Arial;sans-serif" w:hAnsi="Arial;sans-serif"/>
          <w:b w:val="false"/>
          <w:color w:val="000000"/>
          <w:sz w:val="20"/>
        </w:rPr>
        <w:t xml:space="preserve">for more information regarding this lease. </w:t>
      </w:r>
      <w:r>
        <w:rPr>
          <w:rFonts w:ascii="Arial;sans-serif" w:hAnsi="Arial;sans-serif"/>
          <w:b w:val="false"/>
          <w:color w:val="231F20"/>
          <w:sz w:val="20"/>
        </w:rPr>
        <w:t>Refer to Notes 9 and 10 to our Consolidated Financial Statements of our 2025 Form 10-K for a discussion of our operating lease obligations and purchase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Critical Accounting Estimates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For a complete discussion of our critical accounting estimates, refer to the “Management’s Discussion and Analysis of Financial Condition and Results of Operations” section of the 2025 Form 10-K. There have been no material changes to our critical accounting estimates during the six months ended June 30, 2026, except as described below. </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Assessment for Recoverability and Impairment</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assess the recoverability of assets recognized in accordance with ASC Subtopic 340-40, Other Assets and Deferred Costs—Contracts with Customers ("ASC 340-40"), at the end of each reporting period and whenever events or changes in circumstances indicate that the carrying amount may not be recoverable.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To evaluate recoverability, we compare the carrying amount of the asset to the amount of consideration we expect to receive, and that has not been recognized as revenue in exchange for the goods or services to which the asset relates, less the costs that relate directly to providing those goods or services and that have not yet been recognized as expenses.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recoverability assessment requires significant judgment and is based on estimates of future revenues, costs, and other assumptions regarding the expected performance of the underlying arrangement. Because these estimates are inherently uncertain, changes in facts, circumstances, or assumptions could materially affect the recoverability assessment.</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If the carrying amount of the asset exceeds the amount determined to be recoverable, an impairment loss is recognized for the excess. Based on this assessment, we recognized an impairment loss of $25.4 million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231F20"/>
          <w:sz w:val="20"/>
        </w:rPr>
      </w:pPr>
      <w:r>
        <w:rPr>
          <w:rFonts w:ascii="Arial;sans-serif" w:hAnsi="Arial;sans-serif"/>
          <w:b/>
          <w:color w:val="231F20"/>
          <w:sz w:val="20"/>
        </w:rPr>
        <w:t>JOBS Act</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are an emerging growth company (“EGC”)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we will adopt new or revised accounting standards on the relevant dates on which adoption of such standards is required for other public companies.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will remain an EGC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and are not a smaller reporting company), or (iv) the last day of the fiscal year following the fifth anniversary of the date of the first sale of our common stock pursuant to an effective registration statement under the Securities Act. We expect to cease to be an EGC effective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Recent Accounting Pronouncements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See </w:t>
      </w:r>
      <w:r>
        <w:rPr>
          <w:rFonts w:ascii="Arial;sans-serif" w:hAnsi="Arial;sans-serif"/>
          <w:b w:val="false"/>
          <w:i/>
          <w:color w:val="231F20"/>
          <w:sz w:val="20"/>
        </w:rPr>
        <w:t>Note 2 — Summary Of Significant Accounting Policies</w:t>
      </w:r>
      <w:r>
        <w:rPr>
          <w:color w:val="231F20"/>
        </w:rPr>
        <w:t xml:space="preserve"> </w:t>
      </w:r>
      <w:r>
        <w:rPr>
          <w:rFonts w:ascii="Arial;sans-serif" w:hAnsi="Arial;sans-serif"/>
          <w:b w:val="false"/>
          <w:color w:val="231F20"/>
          <w:sz w:val="20"/>
        </w:rPr>
        <w:t xml:space="preserve">to our unaudited Condensed Consolidated Financial Statements included in </w:t>
      </w:r>
      <w:r>
        <w:rPr>
          <w:rFonts w:ascii="Arial;sans-serif" w:hAnsi="Arial;sans-serif"/>
          <w:b w:val="false"/>
          <w:i/>
          <w:color w:val="231F20"/>
          <w:sz w:val="20"/>
        </w:rPr>
        <w:t>Item 1. Financial Statements</w:t>
      </w:r>
      <w:r>
        <w:rPr>
          <w:color w:val="231F20"/>
        </w:rPr>
        <w:t xml:space="preserve"> </w:t>
      </w:r>
      <w:r>
        <w:rPr>
          <w:rFonts w:ascii="Arial;sans-serif" w:hAnsi="Arial;sans-serif"/>
          <w:b w:val="false"/>
          <w:color w:val="231F20"/>
          <w:sz w:val="20"/>
        </w:rPr>
        <w:t>for details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Item 3. Quantitative and Qualitative Disclosures About Market Risk</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Interest Rate Sensitivity</w:t>
      </w:r>
    </w:p>
    <w:p>
      <w:pPr>
        <w:pStyle w:val="TextBody"/>
        <w:bidi w:val="0"/>
        <w:spacing w:lineRule="auto" w:line="288" w:before="240" w:after="283"/>
        <w:ind w:left="0" w:right="0" w:firstLine="450"/>
        <w:jc w:val="left"/>
        <w:rPr/>
      </w:pPr>
      <w:r>
        <w:rPr>
          <w:rFonts w:ascii="Arial;sans-serif" w:hAnsi="Arial;sans-serif"/>
          <w:b w:val="false"/>
          <w:color w:val="231F20"/>
          <w:sz w:val="20"/>
        </w:rPr>
        <w:t>We are exposed to market risk related to changes in interest rates related primarily to our cash, cash equivalents and marketable securities. We had cash and cash equivalents of $55.6 million</w:t>
      </w:r>
      <w:r>
        <w:rPr>
          <w:color w:val="000000"/>
        </w:rPr>
        <w:t xml:space="preserve"> </w:t>
      </w:r>
      <w:r>
        <w:rPr>
          <w:rFonts w:ascii="Arial;sans-serif" w:hAnsi="Arial;sans-serif"/>
          <w:b w:val="false"/>
          <w:color w:val="000000"/>
          <w:sz w:val="20"/>
        </w:rPr>
        <w:t>a</w:t>
      </w:r>
      <w:r>
        <w:rPr>
          <w:rFonts w:ascii="Arial;sans-serif" w:hAnsi="Arial;sans-serif"/>
          <w:b w:val="false"/>
          <w:color w:val="231F20"/>
          <w:sz w:val="20"/>
        </w:rPr>
        <w:t xml:space="preserve">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which consisted primarily of bank deposits, money market funds and marketable securities. As of June 30, 2026, we had short-term marketable securities of $806.0 million. Our marketable securities are held in U.S. government treasury bills. Our primary exposure to market risk is interest income sensitivity, which is affected by changes in the general level of the interest rates in the United States. The primary objective of our investment activities is to preserve capital to fund our operations. We do not enter into investments for trading or speculative purposes.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Condensed Consolidated Financial Statements.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Foreign Currency Sensitivity</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Item 4. Controls and Procedures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Limitation on Effectiveness of Controls and Procedures</w:t>
      </w:r>
    </w:p>
    <w:p>
      <w:pPr>
        <w:pStyle w:val="TextBody"/>
        <w:bidi w:val="0"/>
        <w:spacing w:lineRule="auto" w:line="288" w:before="240" w:after="283"/>
        <w:ind w:left="0" w:right="0" w:firstLine="45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Evaluation of Disclosure Controls and Procedures </w:t>
      </w:r>
    </w:p>
    <w:p>
      <w:pPr>
        <w:pStyle w:val="TextBody"/>
        <w:bidi w:val="0"/>
        <w:spacing w:lineRule="auto" w:line="288" w:before="240" w:after="283"/>
        <w:ind w:left="0" w:right="0" w:firstLine="450"/>
        <w:jc w:val="left"/>
        <w:rPr/>
      </w:pPr>
      <w:r>
        <w:rPr>
          <w:rFonts w:ascii="Arial;sans-serif" w:hAnsi="Arial;sans-serif"/>
          <w:b w:val="false"/>
          <w:color w:val="000000"/>
          <w:sz w:val="20"/>
          <w:shd w:fill="FFFFFF" w:val="clear"/>
        </w:rPr>
        <w:t>Our management, with the participation of our principal executive officer and principal financial officer, evaluated, as of the end of the period covered by this Form 10</w:t>
        <w:noBreakHyphen/>
        <w:t>Q, the effectiveness of our disclosure controls and procedures (as defined in Rules 13a</w:t>
        <w:noBreakHyphen/>
        <w:t>15(e) and 15d</w:t>
        <w:noBreakHyphen/>
        <w:t xml:space="preserve">15(e) under the Exchange Act). Based on that evaluation, our principal executive officer and principal financial officer concluded that, as of </w:t>
      </w:r>
      <w:r>
        <w:rPr>
          <w:rFonts w:ascii="Arial;sans-serif" w:hAnsi="Arial;sans-serif"/>
          <w:b w:val="false"/>
          <w:color w:val="231F20"/>
          <w:sz w:val="20"/>
        </w:rPr>
        <w:t>June 30, 2026</w:t>
      </w:r>
      <w:r>
        <w:rPr>
          <w:rFonts w:ascii="Arial;sans-serif" w:hAnsi="Arial;sans-serif"/>
          <w:b w:val="false"/>
          <w:color w:val="000000"/>
          <w:sz w:val="20"/>
          <w:shd w:fill="FFFFFF" w:val="clear"/>
        </w:rPr>
        <w:t>, our disclosure controls and procedures were effective at the reasonable assurance level.</w:t>
      </w:r>
      <w:r>
        <w:rPr>
          <w:color w:val="000000"/>
        </w:rPr>
        <w:t xml:space="preserve"> </w:t>
      </w:r>
    </w:p>
    <w:p>
      <w:pPr>
        <w:pStyle w:val="TextBody"/>
        <w:bidi w:val="0"/>
        <w:spacing w:lineRule="auto" w:line="288" w:before="240" w:after="283"/>
        <w:ind w:left="0" w:right="0" w:firstLine="450"/>
        <w:jc w:val="left"/>
        <w:rPr/>
      </w:pPr>
      <w:r>
        <w:rPr>
          <w:rFonts w:ascii="Arial;sans-serif" w:hAnsi="Arial;sans-serif"/>
          <w:b/>
          <w:color w:val="000000"/>
          <w:sz w:val="20"/>
        </w:rPr>
        <w:t>C</w:t>
      </w:r>
      <w:r>
        <w:rPr>
          <w:rFonts w:ascii="Arial;sans-serif" w:hAnsi="Arial;sans-serif"/>
          <w:b/>
          <w:i/>
          <w:color w:val="000000"/>
          <w:sz w:val="20"/>
        </w:rPr>
        <w:t>ha</w:t>
      </w:r>
      <w:r>
        <w:rPr>
          <w:rFonts w:ascii="Arial;sans-serif" w:hAnsi="Arial;sans-serif"/>
          <w:b/>
          <w:i/>
          <w:color w:val="231F20"/>
          <w:sz w:val="20"/>
        </w:rPr>
        <w:t>nges in Internal Control over Financial Reporting</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There were no changes in our internal control over financial reporting (as defined in Rules 13a-15(f) and 15d-15(f) under the Exchange Act) that occurred during the period covered by this Form 10-Q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Item 1. Legal Proceedings</w:t>
      </w:r>
    </w:p>
    <w:p>
      <w:pPr>
        <w:pStyle w:val="TextBody"/>
        <w:bidi w:val="0"/>
        <w:spacing w:lineRule="auto" w:line="288" w:before="240" w:after="283"/>
        <w:ind w:left="0" w:right="0" w:firstLine="450"/>
        <w:jc w:val="left"/>
        <w:rPr/>
      </w:pPr>
      <w:r>
        <w:rPr>
          <w:rFonts w:ascii="Arial;sans-serif" w:hAnsi="Arial;sans-serif"/>
          <w:b w:val="false"/>
          <w:color w:val="231F20"/>
          <w:sz w:val="20"/>
        </w:rPr>
        <w:t>For information with respect to Legal Proceedings, see</w:t>
      </w:r>
      <w:r>
        <w:rPr>
          <w:color w:val="231F20"/>
        </w:rPr>
        <w:t xml:space="preserve"> </w:t>
      </w:r>
      <w:r>
        <w:rPr>
          <w:rFonts w:ascii="Arial;sans-serif" w:hAnsi="Arial;sans-serif"/>
          <w:b w:val="false"/>
          <w:i/>
          <w:color w:val="231F20"/>
          <w:sz w:val="20"/>
        </w:rPr>
        <w:t>Note 8 — Legal Proceedings, Commitments, and Contingencies</w:t>
      </w:r>
      <w:r>
        <w:rPr>
          <w:color w:val="231F20"/>
        </w:rPr>
        <w:t xml:space="preserve"> </w:t>
      </w:r>
      <w:r>
        <w:rPr>
          <w:rFonts w:ascii="Arial;sans-serif" w:hAnsi="Arial;sans-serif"/>
          <w:b w:val="false"/>
          <w:color w:val="231F20"/>
          <w:sz w:val="20"/>
        </w:rPr>
        <w:t>to our condensed consolidated financial statements included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 xml:space="preserve">Item 1A. Risk Factors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Form 10-Q, you should consider carefully the factors discussed in Part I, Item 1A, “Risk Factors” in our 2025 Form 10-K (filed with the SEC on March 12, 2026). The risks and uncertainties disclosed in such Annual Report and in this Form 10-Q could materially adversely affect our business, financial condition, cash flows or results of operations and thus our stock price.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These risk factors may be important to understanding other statements in this Form 10-Q and should be read in conjunction with the unaudited condensed consolidated financial statements and related notes in Part I, Item 1, “Financial Statements” and Part I, Item 2, “Management’s Discussion and Analysis of Financial Condition and Results of Operations” of this Form 10-Q.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We could be subject to additional securities class action litigation.</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Securities class action litigation is often brought against a company following a decline in the market price of its securities. Our stock price may be volatile and may decline significantly in response to the announcement of clinical trial results, including results that do not meet their primary endpoints or that are perceived unfavorably by the investment community. For example, in February 2026, we announced that the NHS-Galleri Trial did not meet its primary endpoint of statistically significant combined Stage 3 and 4 reduction and experienced a decline in our stock price on the following day. The announcement of these results, or any future announcements of clinical trial results that do not meet expectations, could cause significant volatility or decline in the market price of our common stock. </w:t>
      </w:r>
      <w:r>
        <w:rPr>
          <w:rFonts w:ascii="Arial;sans-serif" w:hAnsi="Arial;sans-serif"/>
          <w:b w:val="false"/>
          <w:color w:val="000000"/>
          <w:sz w:val="20"/>
        </w:rPr>
        <w:t xml:space="preserve">On November 11, 2023, the first of three securities class action complaints was filed against Illumina and certain of its current and former executive officers. The complaints generally allege, among other things, that defendants made materially false and misleading statements and omitted material facts relating to Illumina’s acquisition of GRAIL. In June 2026, a putative securities class action captioned </w:t>
      </w:r>
      <w:r>
        <w:rPr>
          <w:rFonts w:ascii="Arial;sans-serif" w:hAnsi="Arial;sans-serif"/>
          <w:b w:val="false"/>
          <w:i/>
          <w:color w:val="000000"/>
          <w:sz w:val="20"/>
        </w:rPr>
        <w:t xml:space="preserve">Robbins v. GRAIL, Inc. et al. </w:t>
      </w:r>
      <w:r>
        <w:rPr>
          <w:rFonts w:ascii="Arial;sans-serif" w:hAnsi="Arial;sans-serif"/>
          <w:b w:val="false"/>
          <w:color w:val="000000"/>
          <w:sz w:val="20"/>
        </w:rPr>
        <w:t>was filed against the Company and certain of its executive officers, alleging that defendants violated Sections 10(b) and 20(a) of the Securities Exchange Act and SEC Rule 10b</w:t>
        <w:noBreakHyphen/>
        <w:t>5 by making materially false and misleading statements regarding the NHS</w:t>
        <w:noBreakHyphen/>
        <w:t xml:space="preserve">Galleri trial. Additionally, in June 2026, a shareholder derivative action captioned </w:t>
      </w:r>
      <w:r>
        <w:rPr>
          <w:rFonts w:ascii="Arial;sans-serif" w:hAnsi="Arial;sans-serif"/>
          <w:b w:val="false"/>
          <w:i/>
          <w:color w:val="000000"/>
          <w:sz w:val="20"/>
        </w:rPr>
        <w:t xml:space="preserve">Augitto v. Ragusa et al. </w:t>
      </w:r>
      <w:r>
        <w:rPr>
          <w:rFonts w:ascii="Arial;sans-serif" w:hAnsi="Arial;sans-serif"/>
          <w:b w:val="false"/>
          <w:color w:val="000000"/>
          <w:sz w:val="20"/>
        </w:rPr>
        <w:t xml:space="preserve">was filed against the Company’s current Board members and certain officers, alleging that defendants breached their fiduciary duties by causing or permitting the Company to make materially false and misleading statements and omissions concerning the NHS-Galleri trial, tracking the same alleged misstatements, and omissions underlying the </w:t>
      </w:r>
      <w:r>
        <w:rPr>
          <w:rFonts w:ascii="Arial;sans-serif" w:hAnsi="Arial;sans-serif"/>
          <w:b w:val="false"/>
          <w:i/>
          <w:color w:val="000000"/>
          <w:sz w:val="20"/>
        </w:rPr>
        <w:t>Robbins</w:t>
      </w:r>
      <w:r>
        <w:rPr>
          <w:color w:val="000000"/>
        </w:rPr>
        <w:t xml:space="preserve"> </w:t>
      </w:r>
      <w:r>
        <w:rPr>
          <w:rFonts w:ascii="Arial;sans-serif" w:hAnsi="Arial;sans-serif"/>
          <w:b w:val="false"/>
          <w:color w:val="000000"/>
          <w:sz w:val="20"/>
        </w:rPr>
        <w:t>action.</w:t>
      </w:r>
      <w:r>
        <w:rPr>
          <w:color w:val="000000"/>
        </w:rPr>
        <w:t xml:space="preserve"> </w:t>
      </w:r>
      <w:r>
        <w:rPr>
          <w:rFonts w:ascii="Arial;sans-serif" w:hAnsi="Arial;sans-serif"/>
          <w:b w:val="false"/>
          <w:color w:val="231F20"/>
          <w:sz w:val="20"/>
        </w:rPr>
        <w:t>If we continue to face litigation arising from the decline of our market price of our common stock, it could result in substantial costs and a diversion of our management’s attention and resources, which could harm our business.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In addition, any perceived or actual decline in our business prospects or stock price following the NHS-Galleri Trial results or other adverse developments could invite shareholder activism. Responding to shareholder activism can be costly and time-consuming, disrupt our operations, and divert the attention of our management and board of directors. Furthermore, activist shareholders may attempt to influence or change our strategic direction, capital allocation, or governance practices, which could adversely affect our business and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Item 2. Unregistered Sales of Equity Securities and Use of Proceeds</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Item 3. Defaults Upon Senior Securities</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Item 4. Mine Safety Disclosures</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Item 5. Other Information</w:t>
      </w:r>
    </w:p>
    <w:p>
      <w:pPr>
        <w:pStyle w:val="TextBody"/>
        <w:bidi w:val="0"/>
        <w:spacing w:lineRule="auto" w:line="288" w:before="240" w:after="283"/>
        <w:ind w:left="0" w:right="0" w:firstLine="45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240" w:after="283"/>
        <w:ind w:left="0" w:right="0" w:firstLine="45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240" w:after="283"/>
        <w:ind w:left="0" w:right="0" w:firstLine="450"/>
        <w:jc w:val="both"/>
        <w:rPr>
          <w:rFonts w:ascii="Arial;sans-serif" w:hAnsi="Arial;sans-serif"/>
          <w:b w:val="false"/>
          <w:color w:val="000000"/>
          <w:sz w:val="20"/>
        </w:rPr>
      </w:pPr>
      <w:r>
        <w:rPr>
          <w:rFonts w:ascii="Arial;sans-serif" w:hAnsi="Arial;sans-serif"/>
          <w:b w:val="false"/>
          <w:color w:val="000000"/>
          <w:sz w:val="20"/>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37" w:before="0" w:after="0"/>
        <w:jc w:val="left"/>
        <w:rPr>
          <w:rFonts w:ascii="Arial;sans-serif" w:hAnsi="Arial;sans-serif"/>
          <w:b/>
          <w:color w:val="231F20"/>
          <w:sz w:val="20"/>
        </w:rPr>
      </w:pPr>
      <w:r>
        <w:rPr>
          <w:rFonts w:ascii="Arial;sans-serif" w:hAnsi="Arial;sans-serif"/>
          <w:b/>
          <w:color w:val="231F20"/>
          <w:sz w:val="20"/>
        </w:rPr>
        <w:t>Item 6. Exhibits</w:t>
      </w:r>
    </w:p>
    <w:p>
      <w:pPr>
        <w:pStyle w:val="TextBody"/>
        <w:bidi w:val="0"/>
        <w:spacing w:lineRule="auto" w:line="288" w:before="120" w:after="283"/>
        <w:jc w:val="left"/>
        <w:rPr>
          <w:rFonts w:ascii="Arial;sans-serif" w:hAnsi="Arial;sans-serif"/>
          <w:b w:val="false"/>
          <w:color w:val="231F20"/>
          <w:sz w:val="20"/>
        </w:rPr>
      </w:pPr>
      <w:r>
        <w:rPr>
          <w:rFonts w:ascii="Arial;sans-serif" w:hAnsi="Arial;sans-serif"/>
          <w:b w:val="false"/>
          <w:color w:val="231F20"/>
          <w:sz w:val="20"/>
        </w:rPr>
        <w:t xml:space="preserve">The following documents are filed as exhibits hereto: </w:t>
      </w:r>
    </w:p>
    <w:tbl>
      <w:tblPr>
        <w:tblW w:w="10205" w:type="dxa"/>
        <w:jc w:val="left"/>
        <w:tblInd w:w="0" w:type="dxa"/>
        <w:tblLayout w:type="fixed"/>
        <w:tblCellMar>
          <w:top w:w="28" w:type="dxa"/>
          <w:left w:w="28" w:type="dxa"/>
          <w:bottom w:w="28" w:type="dxa"/>
          <w:right w:w="28" w:type="dxa"/>
        </w:tblCellMar>
      </w:tblPr>
      <w:tblGrid>
        <w:gridCol w:w="322"/>
        <w:gridCol w:w="282"/>
        <w:gridCol w:w="284"/>
        <w:gridCol w:w="109"/>
        <w:gridCol w:w="109"/>
        <w:gridCol w:w="109"/>
        <w:gridCol w:w="1834"/>
        <w:gridCol w:w="1522"/>
        <w:gridCol w:w="1528"/>
        <w:gridCol w:w="109"/>
        <w:gridCol w:w="109"/>
        <w:gridCol w:w="109"/>
        <w:gridCol w:w="175"/>
        <w:gridCol w:w="175"/>
        <w:gridCol w:w="176"/>
        <w:gridCol w:w="117"/>
        <w:gridCol w:w="117"/>
        <w:gridCol w:w="117"/>
        <w:gridCol w:w="174"/>
        <w:gridCol w:w="174"/>
        <w:gridCol w:w="175"/>
        <w:gridCol w:w="117"/>
        <w:gridCol w:w="117"/>
        <w:gridCol w:w="117"/>
        <w:gridCol w:w="245"/>
        <w:gridCol w:w="245"/>
        <w:gridCol w:w="246"/>
        <w:gridCol w:w="109"/>
        <w:gridCol w:w="109"/>
        <w:gridCol w:w="109"/>
        <w:gridCol w:w="279"/>
        <w:gridCol w:w="279"/>
        <w:gridCol w:w="407"/>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8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6"/>
              </w:rPr>
            </w:pPr>
            <w:r>
              <w:rPr>
                <w:rFonts w:ascii="Arial;sans-serif" w:hAnsi="Arial;sans-serif"/>
                <w:b/>
                <w:color w:val="231F2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Filed Herewith</w:t>
            </w:r>
          </w:p>
        </w:tc>
      </w:tr>
      <w:tr>
        <w:trPr/>
        <w:tc>
          <w:tcPr>
            <w:tcW w:w="8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Date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18"/>
                  <w:u w:val="single"/>
                </w:rPr>
                <w:t>Separation and Distribution Agreement, dated June 21, 2024, between Illumina, Inc. and GRAIL,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6/24/24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18"/>
                  <w:u w:val="single"/>
                </w:rPr>
                <w:t>Certificate of Incorporation of GRAIL, Inc.</w:t>
              </w:r>
            </w:hyperlink>
            <w:r>
              <w:rPr>
                <w:rFonts w:ascii="Arial;sans-serif" w:hAnsi="Arial;sans-serif"/>
                <w:b w:val="false"/>
                <w:color w:val="231F20"/>
                <w:sz w:val="18"/>
              </w:rPr>
              <w:t>, dated June 21,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S-8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6/21/24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 xml:space="preserve">Amended and Restated </w:t>
            </w:r>
            <w:hyperlink r:id="rId4">
              <w:r>
                <w:rPr>
                  <w:rStyle w:val="InternetLink"/>
                  <w:rFonts w:ascii="Arial;sans-serif" w:hAnsi="Arial;sans-serif"/>
                  <w:b w:val="false"/>
                  <w:color w:val="0000FF"/>
                  <w:sz w:val="18"/>
                  <w:u w:val="single"/>
                </w:rPr>
                <w:t>Bylaws of GRAIL, Inc.</w:t>
              </w:r>
            </w:hyperlink>
            <w:r>
              <w:rPr>
                <w:rFonts w:ascii="Arial;sans-serif" w:hAnsi="Arial;sans-serif"/>
                <w:b w:val="false"/>
                <w:color w:val="231F20"/>
                <w:sz w:val="18"/>
              </w:rPr>
              <w:t>, dated June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S-8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6/21/24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8"/>
                  <w:u w:val="single"/>
                </w:rPr>
                <w:t>Certificate of Conversion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6/24/24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8"/>
                  <w:u w:val="single"/>
                </w:rPr>
                <w:t>Amended Offer Letter by and between the Company and Joshua Ofman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6/1/26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rail-250smathildasunnyval.htm">
              <w:r>
                <w:rPr>
                  <w:rStyle w:val="InternetLink"/>
                  <w:rFonts w:ascii="Arial;sans-serif" w:hAnsi="Arial;sans-serif"/>
                  <w:b w:val="false"/>
                  <w:color w:val="0000FF"/>
                  <w:sz w:val="18"/>
                  <w:u w:val="single"/>
                </w:rPr>
                <w:t>Amendment dated May 22, 2026, to Lease, dated September 11, 2025, by and between GRAIL, Inc. and Sunnyvale Office Acquisition,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1ceosection302certifi.htm">
              <w:r>
                <w:rPr>
                  <w:rStyle w:val="InternetLink"/>
                  <w:rFonts w:ascii="Arial;sans-serif" w:hAnsi="Arial;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12cfosection302certifi.htm">
              <w:r>
                <w:rPr>
                  <w:rStyle w:val="InternetLink"/>
                  <w:rFonts w:ascii="Arial;sans-serif" w:hAnsi="Arial;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1ceosection906certifi.htm">
              <w:r>
                <w:rPr>
                  <w:rStyle w:val="InternetLink"/>
                  <w:rFonts w:ascii="Arial;sans-serif" w:hAnsi="Arial;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22cfosection906certifi.htm">
              <w:r>
                <w:rPr>
                  <w:rStyle w:val="InternetLink"/>
                  <w:rFonts w:ascii="Arial;sans-serif" w:hAnsi="Arial;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Inline XBRL Instance Document – the instance document does not appear in the Interactive Data File because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Inline XBRL Taxonomy Extension Schema With Embedded Linkbase Documents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Inline XBRL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Inline XBRL Taxonomy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r>
        <w:trPr/>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Cover Page Interactive Data File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_________</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231F20"/>
          <w:sz w:val="20"/>
        </w:rPr>
      </w:pPr>
      <w:r>
        <w:rPr>
          <w:rFonts w:ascii="Arial;sans-serif" w:hAnsi="Arial;sans-serif"/>
          <w:b w:val="false"/>
          <w:color w:val="231F20"/>
          <w:sz w:val="20"/>
        </w:rPr>
        <w:t xml:space="preserve">+         This certification accompanies the Quarterly Report on Form 10-Q pursuant to Section 906 of the Sarbanes-Oxley Act of 2002 and shall not be deemed "filed" by the Registrant for purposes of Section 18 of the Securities Exchange Act of 1934, as amended. </w:t>
      </w:r>
    </w:p>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    Filed herewith</w:t>
      </w:r>
    </w:p>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    Furnished herewith</w:t>
      </w:r>
    </w:p>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     Submitted electronically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231F20"/>
                          <w:sz w:val="20"/>
                        </w:rPr>
                      </w:pPr>
                      <w:r>
                        <w:rPr>
                          <w:rFonts w:ascii="Arial;sans-serif" w:hAnsi="Arial;sans-serif"/>
                          <w:b w:val="false"/>
                          <w:color w:val="231F2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center"/>
        <w:rPr>
          <w:rFonts w:ascii="Arial;sans-serif" w:hAnsi="Arial;sans-serif"/>
          <w:b/>
          <w:color w:val="231F20"/>
          <w:sz w:val="20"/>
        </w:rPr>
      </w:pPr>
      <w:r>
        <w:rPr>
          <w:rFonts w:ascii="Arial;sans-serif" w:hAnsi="Arial;sans-serif"/>
          <w:b/>
          <w:color w:val="231F20"/>
          <w:sz w:val="20"/>
        </w:rPr>
        <w:t>SIGNATURES</w:t>
      </w:r>
    </w:p>
    <w:p>
      <w:pPr>
        <w:pStyle w:val="TextBody"/>
        <w:bidi w:val="0"/>
        <w:spacing w:lineRule="auto" w:line="290" w:before="240" w:after="283"/>
        <w:jc w:val="left"/>
        <w:rPr/>
      </w:pPr>
      <w:r>
        <w:rPr>
          <w:rFonts w:ascii="Arial;sans-serif" w:hAnsi="Arial;sans-serif"/>
          <w:b w:val="false"/>
          <w:color w:val="231F20"/>
          <w:sz w:val="20"/>
        </w:rPr>
        <w:t>Pursuant to the requirements</w:t>
      </w:r>
      <w:r>
        <w:rPr>
          <w:color w:val="231F20"/>
        </w:rPr>
        <w:t xml:space="preserve"> </w:t>
      </w:r>
      <w:r>
        <w:rPr>
          <w:rFonts w:ascii="Arial;sans-serif" w:hAnsi="Arial;sans-serif"/>
          <w:b w:val="false"/>
          <w:color w:val="231F20"/>
          <w:sz w:val="20"/>
        </w:rPr>
        <w:t>of the Securities</w:t>
      </w:r>
      <w:r>
        <w:rPr>
          <w:color w:val="231F20"/>
        </w:rPr>
        <w:t xml:space="preserve"> </w:t>
      </w:r>
      <w:r>
        <w:rPr>
          <w:rFonts w:ascii="Arial;sans-serif" w:hAnsi="Arial;sans-serif"/>
          <w:b w:val="false"/>
          <w:color w:val="231F20"/>
          <w:sz w:val="20"/>
        </w:rPr>
        <w:t>Exchange Act of 1934, the registrant</w:t>
      </w:r>
      <w:r>
        <w:rPr>
          <w:color w:val="231F20"/>
        </w:rPr>
        <w:t xml:space="preserve"> </w:t>
      </w:r>
      <w:r>
        <w:rPr>
          <w:rFonts w:ascii="Arial;sans-serif" w:hAnsi="Arial;sans-serif"/>
          <w:b w:val="false"/>
          <w:color w:val="231F20"/>
          <w:sz w:val="20"/>
        </w:rPr>
        <w:t>has duly caused this report to be signed on its behalf</w:t>
      </w:r>
      <w:r>
        <w:rPr>
          <w:color w:val="231F20"/>
        </w:rPr>
        <w:t xml:space="preserve"> </w:t>
      </w:r>
      <w:r>
        <w:rPr>
          <w:rFonts w:ascii="Arial;sans-serif" w:hAnsi="Arial;sans-serif"/>
          <w:b w:val="false"/>
          <w:color w:val="231F20"/>
          <w:sz w:val="20"/>
        </w:rPr>
        <w:t>by the undersigned,</w:t>
      </w:r>
      <w:r>
        <w:rPr>
          <w:color w:val="231F20"/>
        </w:rPr>
        <w:t xml:space="preserve"> </w:t>
      </w:r>
      <w:r>
        <w:rPr>
          <w:rFonts w:ascii="Arial;sans-serif" w:hAnsi="Arial;sans-serif"/>
          <w:b w:val="false"/>
          <w:color w:val="231F20"/>
          <w:sz w:val="20"/>
        </w:rPr>
        <w:t>thereunto</w:t>
      </w:r>
      <w:r>
        <w:rPr>
          <w:color w:val="231F20"/>
        </w:rPr>
        <w:t xml:space="preserve"> </w:t>
      </w:r>
      <w:r>
        <w:rPr>
          <w:rFonts w:ascii="Arial;sans-serif" w:hAnsi="Arial;sans-serif"/>
          <w:b w:val="false"/>
          <w:color w:val="231F20"/>
          <w:sz w:val="20"/>
        </w:rPr>
        <w:t>duly authorized.</w:t>
      </w:r>
    </w:p>
    <w:tbl>
      <w:tblPr>
        <w:tblW w:w="5155"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84"/>
        <w:gridCol w:w="184"/>
        <w:gridCol w:w="184"/>
        <w:gridCol w:w="757"/>
        <w:gridCol w:w="757"/>
        <w:gridCol w:w="10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6"/>
            <w:tcBorders/>
            <w:tcMar>
              <w:top w:w="0" w:type="dxa"/>
              <w:left w:w="0" w:type="dxa"/>
              <w:bottom w:w="0" w:type="dxa"/>
              <w:right w:w="0" w:type="dxa"/>
            </w:tcMar>
            <w:vAlign w:val="center"/>
          </w:tcPr>
          <w:p>
            <w:pPr>
              <w:pStyle w:val="TableContents"/>
              <w:bidi w:val="0"/>
              <w:spacing w:lineRule="auto" w:line="240" w:before="34" w:after="283"/>
              <w:jc w:val="left"/>
              <w:rPr/>
            </w:pPr>
            <w:r>
              <w:rPr>
                <w:rFonts w:ascii="Arial;sans-serif" w:hAnsi="Arial;sans-serif"/>
                <w:b w:val="false"/>
                <w:color w:val="231F20"/>
                <w:sz w:val="20"/>
              </w:rPr>
              <w:t>GRAIL,</w:t>
            </w:r>
            <w:r>
              <w:rPr>
                <w:color w:val="231F20"/>
              </w:rPr>
              <w:t xml:space="preserve"> </w:t>
            </w:r>
            <w:r>
              <w:rPr>
                <w:rFonts w:ascii="Arial;sans-serif" w:hAnsi="Arial;sans-serif"/>
                <w:b w:val="false"/>
                <w:color w:val="231F20"/>
                <w:sz w:val="20"/>
              </w:rPr>
              <w:t>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20"/>
              </w:rPr>
            </w:pPr>
            <w:r>
              <w:rPr>
                <w:rFonts w:ascii="Arial;sans-serif" w:hAnsi="Arial;sans-serif"/>
                <w:b w:val="false"/>
                <w:color w:val="231F2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20"/>
              </w:rPr>
            </w:pPr>
            <w:r>
              <w:rPr>
                <w:rFonts w:ascii="Arial;sans-serif" w:hAnsi="Arial;sans-serif"/>
                <w:b w:val="false"/>
                <w:color w:val="231F20"/>
                <w:sz w:val="20"/>
              </w:rPr>
              <w:t>August 6, 2026</w:t>
            </w:r>
          </w:p>
        </w:tc>
        <w:tc>
          <w:tcPr>
            <w:tcW w:w="552"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Arial;sans-serif" w:hAnsi="Arial;sans-serif"/>
                <w:b w:val="false"/>
                <w:color w:val="231F20"/>
                <w:sz w:val="20"/>
              </w:rPr>
            </w:pPr>
            <w:r>
              <w:rPr>
                <w:rFonts w:ascii="Arial;sans-serif" w:hAnsi="Arial;sans-serif"/>
                <w:b w:val="false"/>
                <w:color w:val="231F20"/>
                <w:sz w:val="20"/>
              </w:rPr>
              <w:t xml:space="preserve">By: </w:t>
            </w:r>
          </w:p>
        </w:tc>
        <w:tc>
          <w:tcPr>
            <w:tcW w:w="2594"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Arial;sans-serif" w:hAnsi="Arial;sans-serif"/>
                <w:b w:val="false"/>
                <w:color w:val="000000"/>
                <w:sz w:val="20"/>
              </w:rPr>
            </w:pPr>
            <w:r>
              <w:rPr>
                <w:rFonts w:ascii="Arial;sans-serif" w:hAnsi="Arial;sans-serif"/>
                <w:b w:val="false"/>
                <w:color w:val="000000"/>
                <w:sz w:val="20"/>
              </w:rPr>
              <w:t>/s/ Joshua Ofman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0"/>
              <w:jc w:val="left"/>
              <w:rPr>
                <w:rFonts w:ascii="Arial;sans-serif" w:hAnsi="Arial;sans-serif"/>
                <w:b w:val="false"/>
                <w:color w:val="231F20"/>
                <w:sz w:val="20"/>
              </w:rPr>
            </w:pPr>
            <w:r>
              <w:rPr>
                <w:rFonts w:ascii="Arial;sans-serif" w:hAnsi="Arial;sans-serif"/>
                <w:b w:val="false"/>
                <w:color w:val="231F20"/>
                <w:sz w:val="20"/>
              </w:rPr>
              <w:t>Joshua Ofman</w:t>
            </w:r>
          </w:p>
          <w:p>
            <w:pPr>
              <w:pStyle w:val="TableContents"/>
              <w:bidi w:val="0"/>
              <w:spacing w:lineRule="auto" w:line="290" w:before="0" w:after="0"/>
              <w:jc w:val="left"/>
              <w:rPr>
                <w:rFonts w:ascii="Arial;sans-serif" w:hAnsi="Arial;sans-serif"/>
                <w:b w:val="false"/>
                <w:color w:val="231F20"/>
                <w:sz w:val="20"/>
              </w:rPr>
            </w:pPr>
            <w:r>
              <w:rPr>
                <w:rFonts w:ascii="Arial;sans-serif" w:hAnsi="Arial;sans-serif"/>
                <w:b w:val="false"/>
                <w:color w:val="231F20"/>
                <w:sz w:val="20"/>
              </w:rPr>
              <w:t xml:space="preserve">Chief Executive Officer </w:t>
            </w:r>
          </w:p>
          <w:p>
            <w:pPr>
              <w:pStyle w:val="TableContents"/>
              <w:bidi w:val="0"/>
              <w:spacing w:lineRule="auto" w:line="290" w:before="0" w:after="0"/>
              <w:jc w:val="left"/>
              <w:rPr>
                <w:rFonts w:ascii="Arial;sans-serif" w:hAnsi="Arial;sans-serif"/>
                <w:b w:val="false"/>
                <w:color w:val="231F20"/>
                <w:sz w:val="20"/>
              </w:rPr>
            </w:pPr>
            <w:r>
              <w:rPr>
                <w:rFonts w:ascii="Arial;sans-serif" w:hAnsi="Arial;sans-serif"/>
                <w:b w:val="false"/>
                <w:color w:val="231F2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20"/>
              </w:rPr>
            </w:pPr>
            <w:r>
              <w:rPr>
                <w:rFonts w:ascii="Arial;sans-serif" w:hAnsi="Arial;sans-serif"/>
                <w:b w:val="false"/>
                <w:color w:val="231F2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20"/>
              </w:rPr>
            </w:pPr>
            <w:r>
              <w:rPr>
                <w:rFonts w:ascii="Arial;sans-serif" w:hAnsi="Arial;sans-serif"/>
                <w:b w:val="false"/>
                <w:color w:val="231F20"/>
                <w:sz w:val="20"/>
              </w:rPr>
              <w:t>August 6, 2026</w:t>
            </w:r>
          </w:p>
        </w:tc>
        <w:tc>
          <w:tcPr>
            <w:tcW w:w="552"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Arial;sans-serif" w:hAnsi="Arial;sans-serif"/>
                <w:b w:val="false"/>
                <w:color w:val="231F20"/>
                <w:sz w:val="20"/>
              </w:rPr>
            </w:pPr>
            <w:r>
              <w:rPr>
                <w:rFonts w:ascii="Arial;sans-serif" w:hAnsi="Arial;sans-serif"/>
                <w:b w:val="false"/>
                <w:color w:val="231F20"/>
                <w:sz w:val="20"/>
              </w:rPr>
              <w:t xml:space="preserve">By: </w:t>
            </w:r>
          </w:p>
        </w:tc>
        <w:tc>
          <w:tcPr>
            <w:tcW w:w="2594"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Arial;sans-serif" w:hAnsi="Arial;sans-serif"/>
                <w:b w:val="false"/>
                <w:color w:val="000000"/>
                <w:sz w:val="20"/>
              </w:rPr>
            </w:pPr>
            <w:r>
              <w:rPr>
                <w:rFonts w:ascii="Arial;sans-serif" w:hAnsi="Arial;sans-serif"/>
                <w:b w:val="false"/>
                <w:color w:val="000000"/>
                <w:sz w:val="20"/>
              </w:rPr>
              <w:t>/s/ 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0"/>
              <w:jc w:val="left"/>
              <w:rPr>
                <w:rFonts w:ascii="Arial;sans-serif" w:hAnsi="Arial;sans-serif"/>
                <w:b w:val="false"/>
                <w:color w:val="231F20"/>
                <w:sz w:val="20"/>
              </w:rPr>
            </w:pPr>
            <w:r>
              <w:rPr>
                <w:rFonts w:ascii="Arial;sans-serif" w:hAnsi="Arial;sans-serif"/>
                <w:b w:val="false"/>
                <w:color w:val="231F20"/>
                <w:sz w:val="20"/>
              </w:rPr>
              <w:t>Aaron Freidin</w:t>
            </w:r>
          </w:p>
          <w:p>
            <w:pPr>
              <w:pStyle w:val="TableContents"/>
              <w:bidi w:val="0"/>
              <w:spacing w:lineRule="auto" w:line="290" w:before="0" w:after="0"/>
              <w:jc w:val="left"/>
              <w:rPr>
                <w:rFonts w:ascii="Arial;sans-serif" w:hAnsi="Arial;sans-serif"/>
                <w:b w:val="false"/>
                <w:color w:val="231F20"/>
                <w:sz w:val="20"/>
              </w:rPr>
            </w:pPr>
            <w:r>
              <w:rPr>
                <w:rFonts w:ascii="Arial;sans-serif" w:hAnsi="Arial;sans-serif"/>
                <w:b w:val="false"/>
                <w:color w:val="231F20"/>
                <w:sz w:val="20"/>
              </w:rPr>
              <w:t>Chief Financial Officer</w:t>
            </w:r>
          </w:p>
          <w:p>
            <w:pPr>
              <w:pStyle w:val="TableContents"/>
              <w:bidi w:val="0"/>
              <w:spacing w:lineRule="auto" w:line="290" w:before="0" w:after="0"/>
              <w:jc w:val="left"/>
              <w:rPr>
                <w:rFonts w:ascii="Arial;sans-serif" w:hAnsi="Arial;sans-serif"/>
                <w:b w:val="false"/>
                <w:color w:val="231F20"/>
                <w:sz w:val="20"/>
              </w:rPr>
            </w:pPr>
            <w:r>
              <w:rPr>
                <w:rFonts w:ascii="Arial;sans-serif" w:hAnsi="Arial;sans-serif"/>
                <w:b w:val="false"/>
                <w:color w:val="231F20"/>
                <w:sz w:val="20"/>
              </w:rPr>
              <w:t>(Principal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rial;sans-serif" w:hAnsi="Arial;sans-serif"/>
                          <w:b w:val="false"/>
                          <w:color w:val="231F20"/>
                          <w:sz w:val="20"/>
                        </w:rPr>
                      </w:pPr>
                      <w:r>
                        <w:rPr>
                          <w:rFonts w:ascii="Arial;sans-serif" w:hAnsi="Arial;sans-serif"/>
                          <w:b w:val="false"/>
                          <w:color w:val="231F20"/>
                          <w:sz w:val="20"/>
                        </w:rPr>
                        <w:t>45</w:t>
                      </w:r>
                    </w:p>
                  </w:txbxContent>
                </v:textbox>
                <w10:wrap type="none"/>
              </v:rect>
            </w:pict>
          </mc:Fallback>
        </mc:AlternateContent>
      </w:r>
    </w:p>
    <w:p>
      <w:pPr>
        <w:pStyle w:val="TextBody"/>
        <w:bidi w:val="0"/>
        <w:spacing w:lineRule="auto" w:line="288" w:before="0" w:after="0"/>
        <w:jc w:val="center"/>
        <w:rPr/>
      </w:pPr>
      <w:r>
        <w:rPr>
          <w:rFonts w:ascii="Arial;sans-serif" w:hAnsi="Arial;sans-serif"/>
          <w:b w:val="false"/>
          <w:color w:val="000000"/>
          <w:sz w:val="20"/>
        </w:rPr>
        <w:t>1.</w:t>
      </w:r>
      <w:r>
        <w:rPr>
          <w:rFonts w:ascii="Times New Roman;serif" w:hAnsi="Times New Roman;serif"/>
          <w:b/>
          <w:color w:val="000000"/>
          <w:sz w:val="24"/>
        </w:rPr>
        <w:t>FIRST AMENDMENT TO LEASE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FIRST AMENDMENT TO LEASE (this "</w:t>
      </w:r>
      <w:r>
        <w:rPr>
          <w:rFonts w:ascii="Times New Roman;serif" w:hAnsi="Times New Roman;serif"/>
          <w:b/>
          <w:color w:val="000000"/>
          <w:sz w:val="24"/>
        </w:rPr>
        <w:t>Amendment</w:t>
      </w:r>
      <w:r>
        <w:rPr>
          <w:rFonts w:ascii="Times New Roman;serif" w:hAnsi="Times New Roman;serif"/>
          <w:b w:val="false"/>
          <w:color w:val="000000"/>
          <w:sz w:val="24"/>
        </w:rPr>
        <w:t>") is made and entered into as of May 22, 2026 ("</w:t>
      </w:r>
      <w:r>
        <w:rPr>
          <w:rFonts w:ascii="Times New Roman;serif" w:hAnsi="Times New Roman;serif"/>
          <w:b/>
          <w:color w:val="000000"/>
          <w:sz w:val="24"/>
        </w:rPr>
        <w:t>Effective Date</w:t>
      </w:r>
      <w:r>
        <w:rPr>
          <w:rFonts w:ascii="Times New Roman;serif" w:hAnsi="Times New Roman;serif"/>
          <w:b w:val="false"/>
          <w:color w:val="000000"/>
          <w:sz w:val="24"/>
        </w:rPr>
        <w:t>"), by and between SUNNYVALE OFFICE ACQUISITION, LLC, a Delaware limited liability company ("</w:t>
      </w:r>
      <w:r>
        <w:rPr>
          <w:rFonts w:ascii="Times New Roman;serif" w:hAnsi="Times New Roman;serif"/>
          <w:b/>
          <w:color w:val="000000"/>
          <w:sz w:val="24"/>
        </w:rPr>
        <w:t>Landlord</w:t>
      </w:r>
      <w:r>
        <w:rPr>
          <w:rFonts w:ascii="Times New Roman;serif" w:hAnsi="Times New Roman;serif"/>
          <w:b w:val="false"/>
          <w:color w:val="000000"/>
          <w:sz w:val="24"/>
        </w:rPr>
        <w:t>"), and GRAIL, INC., a Delaware corporation ("</w:t>
      </w:r>
      <w:r>
        <w:rPr>
          <w:rFonts w:ascii="Times New Roman;serif" w:hAnsi="Times New Roman;serif"/>
          <w:b/>
          <w:color w:val="000000"/>
          <w:sz w:val="24"/>
        </w:rPr>
        <w:t>Tenant</w:t>
      </w:r>
      <w:r>
        <w:rPr>
          <w:rFonts w:ascii="Times New Roman;serif" w:hAnsi="Times New Roman;serif"/>
          <w:b w:val="false"/>
          <w:color w:val="000000"/>
          <w:sz w:val="24"/>
        </w:rPr>
        <w:t>").</w:t>
      </w:r>
    </w:p>
    <w:p>
      <w:pPr>
        <w:pStyle w:val="TextBody"/>
        <w:bidi w:val="0"/>
        <w:spacing w:lineRule="auto" w:line="288" w:before="24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    Landlord and Tenant are parties to that certain Office Lease dated as of September 11, 2025 (the "</w:t>
      </w:r>
      <w:r>
        <w:rPr>
          <w:rFonts w:ascii="Times New Roman;serif" w:hAnsi="Times New Roman;serif"/>
          <w:b/>
          <w:color w:val="000000"/>
          <w:sz w:val="24"/>
        </w:rPr>
        <w:t>Lease</w:t>
      </w:r>
      <w:r>
        <w:rPr>
          <w:rFonts w:ascii="Times New Roman;serif" w:hAnsi="Times New Roman;serif"/>
          <w:b w:val="false"/>
          <w:color w:val="000000"/>
          <w:sz w:val="24"/>
        </w:rPr>
        <w:t>"), pursuant to which Tenant leases from Landlord certain space containing approximately 75,556 rentable square feet of space (collectively, the "</w:t>
      </w:r>
      <w:r>
        <w:rPr>
          <w:rFonts w:ascii="Times New Roman;serif" w:hAnsi="Times New Roman;serif"/>
          <w:b/>
          <w:color w:val="000000"/>
          <w:sz w:val="24"/>
        </w:rPr>
        <w:t>Existing Premises</w:t>
      </w:r>
      <w:r>
        <w:rPr>
          <w:rFonts w:ascii="Times New Roman;serif" w:hAnsi="Times New Roman;serif"/>
          <w:b w:val="false"/>
          <w:color w:val="000000"/>
          <w:sz w:val="24"/>
        </w:rPr>
        <w:t>") on the first (1</w:t>
      </w:r>
      <w:r>
        <w:rPr>
          <w:rFonts w:ascii="Times New Roman;serif" w:hAnsi="Times New Roman;serif"/>
          <w:b w:val="false"/>
          <w:color w:val="000000"/>
          <w:sz w:val="16"/>
        </w:rPr>
        <w:t>st</w:t>
      </w:r>
      <w:r>
        <w:rPr>
          <w:rFonts w:ascii="Times New Roman;serif" w:hAnsi="Times New Roman;serif"/>
          <w:b w:val="false"/>
          <w:color w:val="000000"/>
          <w:sz w:val="24"/>
        </w:rPr>
        <w:t>), second (2</w:t>
      </w:r>
      <w:r>
        <w:rPr>
          <w:rFonts w:ascii="Times New Roman;serif" w:hAnsi="Times New Roman;serif"/>
          <w:b w:val="false"/>
          <w:color w:val="000000"/>
          <w:sz w:val="16"/>
        </w:rPr>
        <w:t>nd</w:t>
      </w:r>
      <w:r>
        <w:rPr>
          <w:rFonts w:ascii="Times New Roman;serif" w:hAnsi="Times New Roman;serif"/>
          <w:b w:val="false"/>
          <w:color w:val="000000"/>
          <w:sz w:val="24"/>
        </w:rPr>
        <w:t>), and third (3</w:t>
      </w:r>
      <w:r>
        <w:rPr>
          <w:rFonts w:ascii="Times New Roman;serif" w:hAnsi="Times New Roman;serif"/>
          <w:b w:val="false"/>
          <w:color w:val="000000"/>
          <w:sz w:val="16"/>
        </w:rPr>
        <w:t>rd</w:t>
      </w:r>
      <w:r>
        <w:rPr>
          <w:rFonts w:ascii="Times New Roman;serif" w:hAnsi="Times New Roman;serif"/>
          <w:b w:val="false"/>
          <w:color w:val="000000"/>
          <w:sz w:val="24"/>
        </w:rPr>
        <w:t>) floors of that certain office building located at 250 S. Mathilda Avenue, Sunnyvale, California (the "</w:t>
      </w:r>
      <w:r>
        <w:rPr>
          <w:rFonts w:ascii="Times New Roman;serif" w:hAnsi="Times New Roman;serif"/>
          <w:b/>
          <w:color w:val="000000"/>
          <w:sz w:val="24"/>
        </w:rPr>
        <w:t>Building</w:t>
      </w:r>
      <w:r>
        <w:rPr>
          <w:rFonts w:ascii="Times New Roman;serif" w:hAnsi="Times New Roman;serif"/>
          <w:b w:val="false"/>
          <w:color w:val="000000"/>
          <w:sz w:val="24"/>
        </w:rPr>
        <w:t>") and commonly known as Suite 100, Suite 200, and Suite 350, respectively, as more particularly described in the Lease. All terms defined in the Lease when used herein shall have the meanings ascribed to such terms in the Lease unless expressly superseded by the terms of this Amendment.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Landlord and Tenant desire to amend the Lease to (i) provide for the leasing by Tenant of certain storage space, (ii) adjust the rentable square footage of the Premises as a result of a re-measurement of the Premises, and (iii) make certain other Lease modifications, all as more particularly set forth herein.</w:t>
      </w:r>
    </w:p>
    <w:p>
      <w:pPr>
        <w:pStyle w:val="TextBody"/>
        <w:bidi w:val="0"/>
        <w:spacing w:lineRule="auto" w:line="288" w:before="24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valuable consideration, the receipt and sufficiency of which are hereby acknowledged, Landlord and Tenant agree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Storage Space</w:t>
      </w:r>
      <w:r>
        <w:rPr>
          <w:rFonts w:ascii="Times New Roman;serif" w:hAnsi="Times New Roman;serif"/>
          <w:b w:val="false"/>
          <w:color w:val="000000"/>
          <w:sz w:val="24"/>
        </w:rPr>
        <w:t xml:space="preserve">. Effective as of the Storage Space Commencement Date (as defined below), and continuing for the duration of the Lease Term, Landlord shall lease to Tenant, and Tenant shall lease from Landlord, the storage room adjacent to the Building's loading area, as outlined and identified with the arrow shown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color w:val="000000"/>
          <w:sz w:val="24"/>
        </w:rPr>
        <w:t>Storage Space</w:t>
      </w:r>
      <w:r>
        <w:rPr>
          <w:rFonts w:ascii="Times New Roman;serif" w:hAnsi="Times New Roman;serif"/>
          <w:b w:val="false"/>
          <w:color w:val="000000"/>
          <w:sz w:val="24"/>
        </w:rPr>
        <w:t xml:space="preserve">"). The Storage Space contains approximately 108 rentable square feet.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below, and Tenant's obligations thereunder, take into account the Storage Space. Tenant shall accept the Storage Space in its as-is condition as of the Storage Space Commencement Date and Landlord shall have no obligation to make or pay for any alterations, additions, improvements or renovations in or to the Storage Space. The "</w:t>
      </w:r>
      <w:r>
        <w:rPr>
          <w:rFonts w:ascii="Times New Roman;serif" w:hAnsi="Times New Roman;serif"/>
          <w:b/>
          <w:color w:val="000000"/>
          <w:sz w:val="24"/>
        </w:rPr>
        <w:t>Storage Space Commencement Date</w:t>
      </w:r>
      <w:r>
        <w:rPr>
          <w:rFonts w:ascii="Times New Roman;serif" w:hAnsi="Times New Roman;serif"/>
          <w:b w:val="false"/>
          <w:color w:val="000000"/>
          <w:sz w:val="24"/>
        </w:rPr>
        <w:t xml:space="preserve">" shall mean the date that Landlord delivers the Storage Space to Tenant, which is anticipated to occur on the date immediately following the mutual execution and delivery of this Amendment and such delivery shall be confirmed in a writing executed by the parties. Notwithstanding anything to the contrary in this </w:t>
      </w:r>
      <w:r>
        <w:rPr>
          <w:rFonts w:ascii="Times New Roman;serif" w:hAnsi="Times New Roman;serif"/>
          <w:b w:val="false"/>
          <w:color w:val="000000"/>
          <w:sz w:val="24"/>
          <w:u w:val="single"/>
        </w:rPr>
        <w:t>Section 1</w:t>
      </w:r>
      <w:r>
        <w:rPr>
          <w:rFonts w:ascii="Times New Roman;serif" w:hAnsi="Times New Roman;serif"/>
          <w:b w:val="false"/>
          <w:color w:val="000000"/>
          <w:sz w:val="24"/>
        </w:rPr>
        <w:t xml:space="preserve">, Landlord's failure to deliver the Storage Space to Tenant on the estimated Storage Space Commencement Date shall not be a default by Landlord or otherwise render Landlord liable for damages,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Tenant shall have no liability for payment of rent or any other matter with respect to the Storage Space unless and until the Storage Space is actually delivered to Tenant. Tenant agrees that the Storage Space shall be used for storage of equipment, inventory and other non-perishable items normally used in Tenant's business and for no other purpose (including, without, limitation, general office use). Landlord shall provide lighting suitable for the use of the Storage Space for storage purposes (which shall be bare bulb lighting), and no other utilities or services. Tenant shall be responsible for providing, at Tenant's sole cost and expense, janitorial services to the Storage Space, and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9920"/>
                <wp:effectExtent l="0" t="0" r="0" b="0"/>
                <wp:wrapNone/>
                <wp:docPr id="48" name="Frame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 xml:space="preserve">Landlord shall have no obligation to furnish or pay for such service. Tenant further agrees that all of the terms, covenants, conditions, rules and regulations (as may be applicable to storage space) that are contained in the Lease shall apply to Tenant's lease of the Storage Space, except for the provisions therein regarding tenant improvements, rent and other provisions that are not applicable to Storage Space. On the Lease Expiration Date or such earlier termination of Tenant's lease of the Storage Space, Tenant shall surrender the Storage Space to Landlord in accordance with the terms of the Lease. If Tenant shall fail to surrender possession of the Storage Space to Landlord in the condition required by the Lease on or prior to the Lease Expiration Date, Tenant's continued occupancy of the Storage Space shall be on the basis of a tenancy at sufferance, and the provisions of </w:t>
      </w:r>
      <w:r>
        <w:rPr>
          <w:rFonts w:ascii="Times New Roman;serif" w:hAnsi="Times New Roman;serif"/>
          <w:b w:val="false"/>
          <w:color w:val="000000"/>
          <w:sz w:val="24"/>
          <w:u w:val="single"/>
        </w:rPr>
        <w:t>Article 16</w:t>
      </w:r>
      <w:r>
        <w:rPr>
          <w:color w:val="000000"/>
        </w:rPr>
        <w:t xml:space="preserve"> </w:t>
      </w:r>
      <w:r>
        <w:rPr>
          <w:rFonts w:ascii="Times New Roman;serif" w:hAnsi="Times New Roman;serif"/>
          <w:b w:val="false"/>
          <w:color w:val="000000"/>
          <w:sz w:val="24"/>
        </w:rPr>
        <w:t>of the Lease shall be applicable, and without limitation, Tenant shall pay holdover Base Rent for the Storage Space, which amount shall be in addition to the holdover Base Rent payable for the Premises pursuant to the Lease if and to the extent Tenant has also failed to surrender the Premises as and when required under the Lease. The foregoing shall not imply any right of Tenant to remain in possession of the Storage Space beyond the Lease Expiration Date, and Landlord reserves all other rights and remedies pursuant to the Lease and Applicable Law if Tenant shall fail to timely surrender the Storage Space as required hereunder.</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Remeasurement</w:t>
      </w:r>
      <w:r>
        <w:rPr>
          <w:rFonts w:ascii="Times New Roman;serif" w:hAnsi="Times New Roman;serif"/>
          <w:b w:val="false"/>
          <w:color w:val="000000"/>
          <w:sz w:val="24"/>
        </w:rPr>
        <w:t xml:space="preserve">. Landlord and Tenant hereby acknowledge and agree that the Premises have been remeasured. In connection with such remeasurement, Landlord and Tenant hereby agree and stipulate that, effective as of the Effective Date of the Lease, the Premises shall be deemed to contain approximately 74,901 rentable square feet of space in the aggregate.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Base Rent</w:t>
      </w:r>
      <w:r>
        <w:rPr>
          <w:rFonts w:ascii="Times New Roman;serif" w:hAnsi="Times New Roman;serif"/>
          <w:b w:val="false"/>
          <w:color w:val="000000"/>
          <w:sz w:val="24"/>
        </w:rPr>
        <w:t xml:space="preserve">. Landlord and Tenant hereby agree that the Base Rent chart currently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the Summary is hereby deleted in its entirety and replaced with the following Base Rent chart: </w:t>
      </w:r>
    </w:p>
    <w:tbl>
      <w:tblPr>
        <w:tblW w:w="6255" w:type="dxa"/>
        <w:jc w:val="left"/>
        <w:tblInd w:w="0" w:type="dxa"/>
        <w:tblLayout w:type="fixed"/>
        <w:tblCellMar>
          <w:top w:w="28" w:type="dxa"/>
          <w:left w:w="28" w:type="dxa"/>
          <w:bottom w:w="28" w:type="dxa"/>
          <w:right w:w="28" w:type="dxa"/>
        </w:tblCellMar>
      </w:tblPr>
      <w:tblGrid>
        <w:gridCol w:w="738"/>
        <w:gridCol w:w="648"/>
        <w:gridCol w:w="653"/>
        <w:gridCol w:w="494"/>
        <w:gridCol w:w="494"/>
        <w:gridCol w:w="498"/>
        <w:gridCol w:w="444"/>
        <w:gridCol w:w="444"/>
        <w:gridCol w:w="446"/>
        <w:gridCol w:w="409"/>
        <w:gridCol w:w="409"/>
        <w:gridCol w:w="578"/>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Times New Roman;serif" w:hAnsi="Times New Roman;serif"/>
                <w:b w:val="false"/>
                <w:color w:val="000000"/>
                <w:sz w:val="24"/>
              </w:rPr>
              <w:br/>
              <w:br/>
              <w:br/>
              <w:t>Period During</w:t>
              <w:br/>
            </w:r>
            <w:r>
              <w:rPr>
                <w:rFonts w:ascii="Times New Roman;serif" w:hAnsi="Times New Roman;serif"/>
                <w:b w:val="false"/>
                <w:color w:val="000000"/>
                <w:sz w:val="24"/>
                <w:u w:val="single"/>
              </w:rPr>
              <w:t>Lease Term</w:t>
            </w:r>
          </w:p>
        </w:tc>
        <w:tc>
          <w:tcPr>
            <w:tcW w:w="1486"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Times New Roman;serif" w:hAnsi="Times New Roman;serif"/>
                <w:b w:val="false"/>
                <w:color w:val="000000"/>
                <w:sz w:val="24"/>
              </w:rPr>
              <w:br/>
              <w:br/>
              <w:br/>
              <w:t>Annual</w:t>
              <w:br/>
            </w:r>
            <w:r>
              <w:rPr>
                <w:rFonts w:ascii="Times New Roman;serif" w:hAnsi="Times New Roman;serif"/>
                <w:b w:val="false"/>
                <w:color w:val="000000"/>
                <w:sz w:val="24"/>
                <w:u w:val="single"/>
              </w:rPr>
              <w:t>Base Rent</w:t>
            </w:r>
          </w:p>
        </w:tc>
        <w:tc>
          <w:tcPr>
            <w:tcW w:w="1334"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Times New Roman;serif" w:hAnsi="Times New Roman;serif"/>
                <w:b w:val="false"/>
                <w:color w:val="000000"/>
                <w:sz w:val="24"/>
              </w:rPr>
              <w:br/>
              <w:br/>
              <w:t>Monthly</w:t>
              <w:br/>
              <w:t>Installment</w:t>
              <w:br/>
            </w:r>
            <w:r>
              <w:rPr>
                <w:rFonts w:ascii="Times New Roman;serif" w:hAnsi="Times New Roman;serif"/>
                <w:b w:val="false"/>
                <w:color w:val="000000"/>
                <w:sz w:val="24"/>
                <w:u w:val="single"/>
              </w:rPr>
              <w:t>of Base Rent</w:t>
            </w:r>
          </w:p>
        </w:tc>
        <w:tc>
          <w:tcPr>
            <w:tcW w:w="1396"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Times New Roman;serif" w:hAnsi="Times New Roman;serif"/>
                <w:b w:val="false"/>
                <w:color w:val="000000"/>
                <w:sz w:val="24"/>
              </w:rPr>
              <w:t>Approximate</w:t>
              <w:br/>
              <w:t>Monthly</w:t>
              <w:br/>
              <w:t>Rental Rate</w:t>
              <w:br/>
              <w:t>per Rentable</w:t>
              <w:br/>
            </w:r>
            <w:r>
              <w:rPr>
                <w:rFonts w:ascii="Times New Roman;serif" w:hAnsi="Times New Roman;serif"/>
                <w:b w:val="false"/>
                <w:color w:val="000000"/>
                <w:sz w:val="24"/>
                <w:u w:val="single"/>
              </w:rPr>
              <w:t>Square Foot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10/01/26 – 09/30/27</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$5,347,931.40</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$445,660.95</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$5.95*</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10/01/27 – 09/30/28</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$5,508,369.34</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$459,030.78</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$6.13*</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10/01/28 – 09/30/29</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$5,673,620.42</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$472,801.70</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$6.31</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10/01/29 – 09/30/30</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$5,843,829.03</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$486,985.75</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$6.50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10/01/30 – 09/30/31</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$6,019,143.91</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$501,595.33</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$6.70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10/01/31 – 09/30/32</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$6,199,718.22</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$516,643.19</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$6.90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10/01/32 – 09/30/33</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$6,385,709.77</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$532,142.48</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10/01/33 – 09/30/34</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$6,577,281.06</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$548,106.76</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$7.32</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10/01/34 – 09/30/35</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$6,774,599.49</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$564,549.96</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$7.54</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10/01/35 – 09/30/36</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$6,977,837.48</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$581,486.46</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$7.76</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10/01/36 – 09/30/37</w:t>
            </w:r>
          </w:p>
        </w:tc>
        <w:tc>
          <w:tcPr>
            <w:tcW w:w="148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$7,187,172.60</w:t>
            </w:r>
          </w:p>
        </w:tc>
        <w:tc>
          <w:tcPr>
            <w:tcW w:w="133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$598,931.05</w:t>
            </w:r>
          </w:p>
        </w:tc>
        <w:tc>
          <w:tcPr>
            <w:tcW w:w="139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$8.00</w:t>
            </w:r>
          </w:p>
        </w:tc>
      </w:tr>
    </w:tbl>
    <w:p>
      <w:pPr>
        <w:pStyle w:val="TextBody"/>
        <w:bidi w:val="0"/>
        <w:spacing w:lineRule="auto" w:line="288" w:before="240" w:after="283"/>
        <w:jc w:val="both"/>
        <w:rPr/>
      </w:pPr>
      <w:r>
        <w:rPr>
          <w:rFonts w:ascii="Arial;sans-serif" w:hAnsi="Arial;sans-serif"/>
          <w:b w:val="false"/>
          <w:color w:val="000000"/>
          <w:sz w:val="20"/>
        </w:rPr>
        <w:t>4.</w:t>
      </w:r>
      <w:r>
        <w:rPr>
          <w:rFonts w:ascii="Times New Roman;serif" w:hAnsi="Times New Roman;serif"/>
          <w:b w:val="false"/>
          <w:color w:val="000000"/>
          <w:sz w:val="24"/>
        </w:rPr>
        <w:t xml:space="preserve">*Subject to abatement pursuant to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of the Lease.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Tenant's Share</w:t>
      </w:r>
      <w:r>
        <w:rPr>
          <w:rFonts w:ascii="Times New Roman;serif" w:hAnsi="Times New Roman;serif"/>
          <w:b w:val="false"/>
          <w:color w:val="000000"/>
          <w:sz w:val="24"/>
        </w:rPr>
        <w:t xml:space="preserve">. Landlord and Tenant hereby agree that the Tenant's Share, as set forth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of the Summary, is hereby amended to 46.48%.</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9920"/>
                <wp:effectExtent l="0" t="0" r="0" b="0"/>
                <wp:wrapNone/>
                <wp:docPr id="49"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Letter of Credit</w:t>
      </w:r>
      <w:r>
        <w:rPr>
          <w:rFonts w:ascii="Times New Roman;serif" w:hAnsi="Times New Roman;serif"/>
          <w:b w:val="false"/>
          <w:color w:val="000000"/>
          <w:sz w:val="24"/>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Landlord is currently holding an L-C under the Lease in the amount of $3,625,011.90 as security for the faithful performance by Tenant of the terms, covenants and conditions of the Lease. On account of the remeasurement of the Premises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above, the L-C Amount is hereby revised to be $3,593,586.30. Tenant shall have the right to tender to Landlord a replacement L-C or a certificate of amendment to the existing L-C in the form required under </w:t>
      </w:r>
      <w:r>
        <w:rPr>
          <w:rFonts w:ascii="Times New Roman;serif" w:hAnsi="Times New Roman;serif"/>
          <w:b w:val="false"/>
          <w:color w:val="000000"/>
          <w:sz w:val="24"/>
          <w:u w:val="single"/>
        </w:rPr>
        <w:t>Article 21</w:t>
      </w:r>
      <w:r>
        <w:rPr>
          <w:color w:val="000000"/>
        </w:rPr>
        <w:t xml:space="preserve"> </w:t>
      </w:r>
      <w:r>
        <w:rPr>
          <w:rFonts w:ascii="Times New Roman;serif" w:hAnsi="Times New Roman;serif"/>
          <w:b w:val="false"/>
          <w:color w:val="000000"/>
          <w:sz w:val="24"/>
        </w:rPr>
        <w:t xml:space="preserve">of the Original Lease and conforming in all respects to the requirements of said </w:t>
      </w:r>
      <w:r>
        <w:rPr>
          <w:rFonts w:ascii="Times New Roman;serif" w:hAnsi="Times New Roman;serif"/>
          <w:b w:val="false"/>
          <w:color w:val="000000"/>
          <w:sz w:val="24"/>
          <w:u w:val="single"/>
        </w:rPr>
        <w:t>Article 21</w:t>
      </w:r>
      <w:r>
        <w:rPr>
          <w:color w:val="000000"/>
        </w:rPr>
        <w:t xml:space="preserve"> </w:t>
      </w:r>
      <w:r>
        <w:rPr>
          <w:rFonts w:ascii="Times New Roman;serif" w:hAnsi="Times New Roman;serif"/>
          <w:b w:val="false"/>
          <w:color w:val="000000"/>
          <w:sz w:val="24"/>
        </w:rPr>
        <w:t>in the amount of the reduced L</w:t>
        <w:softHyphen/>
        <w:t xml:space="preserve">C Amount described above in this </w:t>
      </w:r>
      <w:r>
        <w:rPr>
          <w:rFonts w:ascii="Times New Roman;serif" w:hAnsi="Times New Roman;serif"/>
          <w:b w:val="false"/>
          <w:color w:val="000000"/>
          <w:sz w:val="24"/>
          <w:u w:val="single"/>
        </w:rPr>
        <w:t>Section 5(a)</w:t>
      </w:r>
      <w:r>
        <w:rPr>
          <w:rFonts w:ascii="Times New Roman;serif" w:hAnsi="Times New Roman;serif"/>
          <w:b w:val="false"/>
          <w:color w:val="000000"/>
          <w:sz w:val="24"/>
        </w:rPr>
        <w:t>, in which event Landlord shall exchange the L-C then held by Landlord, if applicable, for the replacement or amended L-C tendered by Tenant. If Tenant tenders a replacement L-C to Landlord, then Landlord shall, within a commercially reasonable period of time, return the existing L-C to Tenant. In no event shall any such reduction of the Letter of Credit be construed as an admission by Landlord that Tenant has performed all of its covenants and obligations under the Lease. Tenant shall pay all expenses, points and fees incurred by Tenant or Landlord in connection with the replacement or amended L-C. Landlord shall cooperate in a commercially reasonable manner with Tenant to replace or amend the existing L-C to reflect the reduced L-C Amount.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Landlord and Tenant hereby agree that the L-C reduction chart currently set forth in </w:t>
      </w:r>
      <w:r>
        <w:rPr>
          <w:rFonts w:ascii="Times New Roman;serif" w:hAnsi="Times New Roman;serif"/>
          <w:b w:val="false"/>
          <w:color w:val="000000"/>
          <w:sz w:val="24"/>
          <w:u w:val="single"/>
        </w:rPr>
        <w:t>Section 21.7.2</w:t>
      </w:r>
      <w:r>
        <w:rPr>
          <w:color w:val="000000"/>
        </w:rPr>
        <w:t xml:space="preserve"> </w:t>
      </w:r>
      <w:r>
        <w:rPr>
          <w:rFonts w:ascii="Times New Roman;serif" w:hAnsi="Times New Roman;serif"/>
          <w:b w:val="false"/>
          <w:color w:val="000000"/>
          <w:sz w:val="24"/>
        </w:rPr>
        <w:t>of the Lease is hereby deleted in its entirety and replaced with the following chart:</w:t>
      </w:r>
    </w:p>
    <w:tbl>
      <w:tblPr>
        <w:tblW w:w="9342" w:type="dxa"/>
        <w:jc w:val="left"/>
        <w:tblInd w:w="0" w:type="dxa"/>
        <w:tblLayout w:type="fixed"/>
        <w:tblCellMar>
          <w:top w:w="28" w:type="dxa"/>
          <w:left w:w="28" w:type="dxa"/>
          <w:bottom w:w="28" w:type="dxa"/>
          <w:right w:w="28" w:type="dxa"/>
        </w:tblCellMar>
      </w:tblPr>
      <w:tblGrid>
        <w:gridCol w:w="1590"/>
        <w:gridCol w:w="1401"/>
        <w:gridCol w:w="1403"/>
        <w:gridCol w:w="769"/>
        <w:gridCol w:w="769"/>
        <w:gridCol w:w="771"/>
        <w:gridCol w:w="772"/>
        <w:gridCol w:w="772"/>
        <w:gridCol w:w="1095"/>
      </w:tblGrid>
      <w:tr>
        <w:trPr/>
        <w:tc>
          <w:tcPr>
            <w:tcW w:w="15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Date of Reduction</w:t>
            </w:r>
          </w:p>
        </w:tc>
        <w:tc>
          <w:tcPr>
            <w:tcW w:w="230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Amount of Reduction</w:t>
            </w:r>
          </w:p>
        </w:tc>
        <w:tc>
          <w:tcPr>
            <w:tcW w:w="26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Remaining L-C Amount</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Initial Reduction Date</w:t>
            </w:r>
          </w:p>
        </w:tc>
        <w:tc>
          <w:tcPr>
            <w:tcW w:w="230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$1,796,793.15</w:t>
            </w:r>
          </w:p>
        </w:tc>
        <w:tc>
          <w:tcPr>
            <w:tcW w:w="26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$1,796,793.15</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 Year Anniversary of Initial Reduction Date</w:t>
            </w:r>
          </w:p>
        </w:tc>
        <w:tc>
          <w:tcPr>
            <w:tcW w:w="230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$598,931.05</w:t>
            </w:r>
          </w:p>
        </w:tc>
        <w:tc>
          <w:tcPr>
            <w:tcW w:w="26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$1,197,862.10</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2 Year Anniversary of Initial Reduction Date</w:t>
            </w:r>
          </w:p>
        </w:tc>
        <w:tc>
          <w:tcPr>
            <w:tcW w:w="230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$598,931.05</w:t>
            </w:r>
          </w:p>
        </w:tc>
        <w:tc>
          <w:tcPr>
            <w:tcW w:w="263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$598,931.05</w:t>
            </w:r>
          </w:p>
        </w:tc>
      </w:tr>
    </w:tbl>
    <w:p>
      <w:pPr>
        <w:pStyle w:val="TextBody"/>
        <w:bidi w:val="0"/>
        <w:spacing w:lineRule="auto" w:line="240" w:before="240" w:after="283"/>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Intentionally Omitted</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Tenant Improvement Allowance; Additional Allowance</w:t>
      </w:r>
      <w:r>
        <w:rPr>
          <w:rFonts w:ascii="Times New Roman;serif" w:hAnsi="Times New Roman;serif"/>
          <w:b w:val="false"/>
          <w:color w:val="000000"/>
          <w:sz w:val="24"/>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Landlord and Tenant hereby agree that the Tenant Improvement Allowance, as described in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of the Summary, is hereby amended to $14,231,190.00.</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Landlord and Tenant hereby agree that all references in the Lease to the "Additional Allowance", including, without limitation, in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 xml:space="preserve">of the Summary and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of the Tenant Work Letter, are hereby deleted in their entirety (it being agreed that Tenant did not request the use of the Additional Allowance within sixty (60) days of the Possession Date).</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Landlord and Tenant hereby agree that the last full paragraph of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 xml:space="preserve">of the Tenant Work Letter, is hereby deleted in its entirety and replaced with the following: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Notwithstanding the foregoing, (i) not more than $2,846,238.00 (i.e., twenty percent (20%)) in the aggregate of the Tenant Improvement Allowance may be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9920"/>
                <wp:effectExtent l="0" t="0" r="0" b="0"/>
                <wp:wrapNone/>
                <wp:docPr id="50" name="Frame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used by Tenant for the items described in </w:t>
      </w:r>
      <w:r>
        <w:rPr>
          <w:rFonts w:ascii="Times New Roman;serif" w:hAnsi="Times New Roman;serif"/>
          <w:b w:val="false"/>
          <w:color w:val="000000"/>
          <w:sz w:val="24"/>
          <w:u w:val="single"/>
        </w:rPr>
        <w:t>Section 2.2.1.1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2.2.1.2</w:t>
      </w:r>
      <w:r>
        <w:rPr>
          <w:color w:val="000000"/>
        </w:rPr>
        <w:t xml:space="preserve"> </w:t>
      </w:r>
      <w:r>
        <w:rPr>
          <w:rFonts w:ascii="Times New Roman;serif" w:hAnsi="Times New Roman;serif"/>
          <w:b w:val="false"/>
          <w:color w:val="000000"/>
          <w:sz w:val="24"/>
        </w:rPr>
        <w:t>above, (ii) following the completion of the Tenant Improvements, any unused portion of the Tenant Improvement Allowance, not to exceed $749,010.00 (i.e., $10.00 per rentable square foot of the Premises) in the aggregate, may be utilized by Tenant towards payment of Base Rent for the Premises, so long as Tenant notifies Landlord in writing ("</w:t>
      </w:r>
      <w:r>
        <w:rPr>
          <w:rFonts w:ascii="Times New Roman;serif" w:hAnsi="Times New Roman;serif"/>
          <w:b/>
          <w:color w:val="000000"/>
          <w:sz w:val="24"/>
        </w:rPr>
        <w:t>Credit Notice</w:t>
      </w:r>
      <w:r>
        <w:rPr>
          <w:rFonts w:ascii="Times New Roman;serif" w:hAnsi="Times New Roman;serif"/>
          <w:b w:val="false"/>
          <w:color w:val="000000"/>
          <w:sz w:val="24"/>
        </w:rPr>
        <w:t>") of the same at least thirty (30) days prior to such application and in any event prior to the Sunset Date, (iii) with respect only to the Additional Allowance, (A) the cap in clause (i) of this paragraph shall not be applicable, and (B) Tenant may utilize up to $749,010.00 (i.e., $10.00 per rentable square foot of the Premises) of the Additional Allowance in the aggregate towards Tenant's moving costs with respect to the Premises, and (iv) Landlord shall be solely responsible for the cost of any Code upgrades required under the Code or any other Applicable Laws in the Common Areas and/or exterior of the Building triggered by the construction of the Tenant Improvements.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EV Chargers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Exhibit H</w:t>
      </w:r>
      <w:r>
        <w:rPr>
          <w:color w:val="000000"/>
        </w:rPr>
        <w:t xml:space="preserve"> </w:t>
      </w:r>
      <w:r>
        <w:rPr>
          <w:rFonts w:ascii="Times New Roman;serif" w:hAnsi="Times New Roman;serif"/>
          <w:b w:val="false"/>
          <w:color w:val="000000"/>
          <w:sz w:val="24"/>
        </w:rPr>
        <w:t xml:space="preserve">to the Lease is hereby deleted in its entirety and replaced with </w:t>
      </w:r>
      <w:r>
        <w:rPr>
          <w:rFonts w:ascii="Times New Roman;serif" w:hAnsi="Times New Roman;serif"/>
          <w:b/>
          <w:color w:val="000000"/>
          <w:sz w:val="24"/>
          <w:u w:val="single"/>
        </w:rPr>
        <w:t>Exhibit B</w:t>
      </w:r>
      <w:r>
        <w:rPr>
          <w:color w:val="000000"/>
        </w:rPr>
        <w:t xml:space="preserve"> </w:t>
      </w:r>
      <w:r>
        <w:rPr>
          <w:rFonts w:ascii="Times New Roman;serif" w:hAnsi="Times New Roman;serif"/>
          <w:b w:val="false"/>
          <w:color w:val="000000"/>
          <w:sz w:val="24"/>
        </w:rPr>
        <w:t xml:space="preserve">attached to this Amendment. All references in the Lease to the pre-approved locations for the installation of Tenant's EV Chargers shall mean and refer to the colored locations shown in </w:t>
      </w:r>
      <w:r>
        <w:rPr>
          <w:rFonts w:ascii="Times New Roman;serif" w:hAnsi="Times New Roman;serif"/>
          <w:b/>
          <w:color w:val="000000"/>
          <w:sz w:val="24"/>
          <w:u w:val="single"/>
        </w:rPr>
        <w:t>Exhibit B</w:t>
      </w:r>
      <w:r>
        <w:rPr>
          <w:color w:val="000000"/>
        </w:rPr>
        <w:t xml:space="preserve"> </w:t>
      </w:r>
      <w:r>
        <w:rPr>
          <w:rFonts w:ascii="Times New Roman;serif" w:hAnsi="Times New Roman;serif"/>
          <w:b w:val="false"/>
          <w:color w:val="000000"/>
          <w:sz w:val="24"/>
        </w:rPr>
        <w:t xml:space="preserve">attached to this Amendment. The third sentence of Section 8.6 of the Lease is amended and restated in its entirety to read as follows: “The location of Tenant's EV Chargers other than the colored locations shown on </w:t>
      </w:r>
      <w:r>
        <w:rPr>
          <w:rFonts w:ascii="Times New Roman;serif" w:hAnsi="Times New Roman;serif"/>
          <w:b/>
          <w:color w:val="000000"/>
          <w:sz w:val="24"/>
          <w:u w:val="single"/>
        </w:rPr>
        <w:t>Exhibit H</w:t>
      </w:r>
      <w:r>
        <w:rPr>
          <w:color w:val="000000"/>
        </w:rPr>
        <w:t xml:space="preserve"> </w:t>
      </w:r>
      <w:r>
        <w:rPr>
          <w:rFonts w:ascii="Times New Roman;serif" w:hAnsi="Times New Roman;serif"/>
          <w:b w:val="false"/>
          <w:color w:val="000000"/>
          <w:sz w:val="24"/>
        </w:rPr>
        <w:t xml:space="preserve">shall be subject to Landlord's reasonable approval.”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EV Restoration Work</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color w:val="000000"/>
          <w:sz w:val="24"/>
          <w:u w:val="single"/>
        </w:rPr>
        <w:t>Exhibit B</w:t>
      </w:r>
      <w:r>
        <w:rPr>
          <w:color w:val="000000"/>
        </w:rPr>
        <w:t xml:space="preserve"> </w:t>
      </w:r>
      <w:r>
        <w:rPr>
          <w:rFonts w:ascii="Times New Roman;serif" w:hAnsi="Times New Roman;serif"/>
          <w:b w:val="false"/>
          <w:color w:val="000000"/>
          <w:sz w:val="24"/>
        </w:rPr>
        <w:t>to the Lease is hereby deleted in its entirety and Landlord shall have no obligations to perform any EV Restoration Work.</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Intentionally Omitted</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Brokers</w:t>
      </w:r>
      <w:r>
        <w:rPr>
          <w:rFonts w:ascii="Times New Roman;serif" w:hAnsi="Times New Roman;serif"/>
          <w:b w:val="false"/>
          <w:color w:val="000000"/>
          <w:sz w:val="24"/>
        </w:rPr>
        <w:t xml:space="preserve">. Landlord and Tenant hereby warrant to each other that they have had no dealings with any real estate broker or agent in connection with the negotiation of this Amendment other than Newmark on behalf of Tenant and CBRE, Inc., on behalf of Landlord (collectively, the </w:t>
      </w:r>
      <w:r>
        <w:rPr>
          <w:rFonts w:ascii="Times New Roman;serif" w:hAnsi="Times New Roman;serif"/>
          <w:b/>
          <w:color w:val="000000"/>
          <w:sz w:val="24"/>
        </w:rPr>
        <w:t>Brokers</w:t>
      </w:r>
      <w:r>
        <w:rPr>
          <w:rFonts w:ascii="Times New Roman;serif" w:hAnsi="Times New Roman;serif"/>
          <w:b w:val="false"/>
          <w:color w:val="000000"/>
          <w:sz w:val="24"/>
        </w:rPr>
        <w:t xml:space="preserve">"), and that they know of no real estate broker or agent who is entitled to a commission in connection with this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shall survive the expiration or earlier termination of the Lease, as amended.</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Organization and Authority</w:t>
      </w:r>
      <w:r>
        <w:rPr>
          <w:rFonts w:ascii="Times New Roman;serif" w:hAnsi="Times New Roman;serif"/>
          <w:b w:val="false"/>
          <w:color w:val="000000"/>
          <w:sz w:val="24"/>
        </w:rPr>
        <w:t xml:space="preserve">. Tenant hereby covenants, represents and warrants that (a) Tenant is duly organized, in good standing and qualified to do business under the laws of the state of its formation and, if different, is qualified to do business in the State of California and has all necessary powers to enter into and perform its obligations under the Lease, as amended, (b) this Amendment has been duly and effectively authorized by all necessary action required under Tenant's organizational documents, and (c) this Amendment has been duly executed and delivered on behalf of Tenant, and is a valid and binding agreement of Tenant. Landlord hereby covenants, represents and warrants that (i) Landlord is duly organized, in good standing and qualified to do business under the laws of the state of its formation and, if different, is qualified to do business in the State of California and has all necessary powers to enter into and perform its obligations under the Lease, as amended, (ii) this Amendment has been duly and effectively authorized by all necessary action required under Landlord’s organizational documents, and (iii)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9920"/>
                <wp:effectExtent l="0" t="0" r="0" b="0"/>
                <wp:wrapNone/>
                <wp:docPr id="51" name="Frame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this Amendment has been duly executed and delivered on behalf of Landlord, and is a valid and binding agreement of Landlord.</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Counterparts</w:t>
      </w:r>
      <w:r>
        <w:rPr>
          <w:rFonts w:ascii="Times New Roman;serif" w:hAnsi="Times New Roman;serif"/>
          <w:b w:val="false"/>
          <w:color w:val="000000"/>
          <w:sz w:val="24"/>
        </w:rPr>
        <w:t>. This Amendment may be executed in any number of original counterparts. Any such counterpart, when executed, shall constitute an original of this Amendment, and all such counterparts together shall constitute one and the same Amendment.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California Accessibility Disclosure</w:t>
      </w:r>
      <w:r>
        <w:rPr>
          <w:rFonts w:ascii="Times New Roman;serif" w:hAnsi="Times New Roman;serif"/>
          <w:b w:val="false"/>
          <w:color w:val="000000"/>
          <w:sz w:val="24"/>
        </w:rPr>
        <w:t xml:space="preserve">. For purposes of Section 1938 of the California Civil Code, Landlord hereby discloses to Tenant, and Tenant hereby acknowledges, that the Project, the Building and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pursuant to </w:t>
      </w:r>
      <w:r>
        <w:rPr>
          <w:rFonts w:ascii="Times New Roman;serif" w:hAnsi="Times New Roman;serif"/>
          <w:b w:val="false"/>
          <w:color w:val="000000"/>
          <w:sz w:val="24"/>
          <w:u w:val="single"/>
        </w:rPr>
        <w:t>Article 24</w:t>
      </w:r>
      <w:r>
        <w:rPr>
          <w:color w:val="000000"/>
        </w:rPr>
        <w:t xml:space="preserve"> </w:t>
      </w:r>
      <w:r>
        <w:rPr>
          <w:rFonts w:ascii="Times New Roman;serif" w:hAnsi="Times New Roman;serif"/>
          <w:b w:val="false"/>
          <w:color w:val="000000"/>
          <w:sz w:val="24"/>
        </w:rPr>
        <w:t>of the Lease, Tenant, at its cost, is responsible for making any repairs within the Premises to correct violations of construction-related accessibility standards disclosed by a CASp inspection requested by Tenant.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Ratification and Confirmation</w:t>
      </w:r>
      <w:r>
        <w:rPr>
          <w:rFonts w:ascii="Times New Roman;serif" w:hAnsi="Times New Roman;serif"/>
          <w:b w:val="false"/>
          <w:color w:val="000000"/>
          <w:sz w:val="24"/>
        </w:rPr>
        <w:t>. Except as set forth in this Amendment, all of the terms and provisions of the Lease are hereby ratified and confirmed and shall remain unmodified and in full force and effect. In the event of any conflict between the terms and conditions of the Lease and the terms and conditions of this Amendment, the terms and conditions of this Amendment shall prevail.</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Counterparts; Execution</w:t>
      </w:r>
      <w:r>
        <w:rPr>
          <w:rFonts w:ascii="Times New Roman;serif" w:hAnsi="Times New Roman;serif"/>
          <w:b w:val="false"/>
          <w:color w:val="000000"/>
          <w:sz w:val="24"/>
        </w:rPr>
        <w:t>. This Amendment may be executed in any number of counterparts, each of which shall be deemed to be an original, and all of which counterparts, when taken together, shall be deemed to constitute one and the same instrument. In addition, the parties hereto consent and agree that this Amendment may be signed and/or transmitted by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9920"/>
                <wp:effectExtent l="0" t="0" r="0" b="0"/>
                <wp:wrapNone/>
                <wp:docPr id="52" name="Frame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as of the date first above written.</w:t>
      </w:r>
    </w:p>
    <w:p>
      <w:pPr>
        <w:pStyle w:val="TextBody"/>
        <w:bidi w:val="0"/>
        <w:spacing w:before="0" w:after="0"/>
        <w:jc w:val="left"/>
        <w:rPr/>
      </w:pPr>
      <w:r>
        <w:rPr/>
      </w:r>
    </w:p>
    <w:tbl>
      <w:tblPr>
        <w:tblW w:w="5127" w:type="dxa"/>
        <w:jc w:val="left"/>
        <w:tblInd w:w="0" w:type="dxa"/>
        <w:tblLayout w:type="fixed"/>
        <w:tblCellMar>
          <w:top w:w="28" w:type="dxa"/>
          <w:left w:w="28" w:type="dxa"/>
          <w:bottom w:w="28" w:type="dxa"/>
          <w:right w:w="28" w:type="dxa"/>
        </w:tblCellMar>
      </w:tblPr>
      <w:tblGrid>
        <w:gridCol w:w="1722"/>
        <w:gridCol w:w="1514"/>
        <w:gridCol w:w="1519"/>
        <w:gridCol w:w="109"/>
        <w:gridCol w:w="109"/>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LANDLORD:</w:t>
            </w:r>
          </w:p>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SUNNYVALE OFFICE ACQUISITION, LLC</w:t>
              <w:br/>
              <w:t xml:space="preserve">a Delaware limited liability company </w:t>
            </w:r>
          </w:p>
          <w:p>
            <w:pPr>
              <w:pStyle w:val="TableContents"/>
              <w:bidi w:val="0"/>
              <w:spacing w:lineRule="auto" w:line="288" w:before="240" w:after="283"/>
              <w:jc w:val="both"/>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Title</w:t>
            </w:r>
            <w:r>
              <w:rPr>
                <w:color w:val="000000"/>
                <w:u w:val="single"/>
              </w:rPr>
              <w:t>    </w:t>
            </w:r>
          </w:p>
          <w:p>
            <w:pPr>
              <w:pStyle w:val="TableContents"/>
              <w:bidi w:val="0"/>
              <w:spacing w:before="240" w:after="283"/>
              <w:jc w:val="both"/>
              <w:rPr/>
            </w:pPr>
            <w:r>
              <w:rPr/>
            </w:r>
          </w:p>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TENANT:</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GRAIL, INC.,</w:t>
              <w:br/>
              <w:t xml:space="preserve">a Delaware corporation </w:t>
            </w:r>
          </w:p>
          <w:p>
            <w:pPr>
              <w:pStyle w:val="TableContents"/>
              <w:bidi w:val="0"/>
              <w:spacing w:lineRule="auto" w:line="288" w:before="240" w:after="283"/>
              <w:jc w:val="both"/>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Title</w:t>
            </w:r>
            <w:r>
              <w:rPr>
                <w:color w:val="000000"/>
                <w:u w:val="single"/>
              </w:rPr>
              <w:t>    </w:t>
            </w:r>
          </w:p>
        </w:tc>
        <w:tc>
          <w:tcPr>
            <w:tcW w:w="372" w:type="dxa"/>
            <w:gridSpan w:val="3"/>
            <w:tcBorders/>
            <w:tcMar>
              <w:top w:w="0" w:type="dxa"/>
              <w:left w:w="0" w:type="dxa"/>
              <w:bottom w:w="0" w:type="dxa"/>
              <w:right w:w="0" w:type="dxa"/>
            </w:tcMar>
            <w:vAlign w:val="center"/>
          </w:tcPr>
          <w:p>
            <w:pPr>
              <w:pStyle w:val="TableContents"/>
              <w:bidi w:val="0"/>
              <w:spacing w:before="240" w:after="283"/>
              <w:jc w:val="both"/>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9920"/>
                <wp:effectExtent l="0" t="0" r="0" b="0"/>
                <wp:wrapNone/>
                <wp:docPr id="53" name="Frame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Outline of Storage Space</w:t>
      </w:r>
    </w:p>
    <w:p>
      <w:pPr>
        <w:pStyle w:val="TextBody"/>
        <w:bidi w:val="0"/>
        <w:spacing w:before="0" w:after="0"/>
        <w:jc w:val="center"/>
        <w:rPr/>
      </w:pPr>
      <w:r>
        <w:rPr/>
      </w:r>
    </w:p>
    <w:p>
      <w:pPr>
        <w:pStyle w:val="TextBody"/>
        <w:bidi w:val="0"/>
        <w:spacing w:before="0" w:after="0"/>
        <w:jc w:val="center"/>
        <w:rPr/>
      </w:pPr>
      <w:r>
        <w:rPr/>
        <w:drawing>
          <wp:inline distT="0" distB="0" distL="0" distR="0">
            <wp:extent cx="5457825" cy="6915150"/>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7"/>
                    <a:stretch>
                      <a:fillRect/>
                    </a:stretch>
                  </pic:blipFill>
                  <pic:spPr bwMode="auto">
                    <a:xfrm>
                      <a:off x="0" y="0"/>
                      <a:ext cx="5457825" cy="69151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71525"/>
                <wp:effectExtent l="0" t="0" r="0" b="0"/>
                <wp:wrapNone/>
                <wp:docPr id="55" name="Frame54"/>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1613"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A</w:t>
                                    <w:br/>
                                    <w:t>-1-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1613"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A</w:t>
                              <w:br/>
                              <w:t>-1-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Tenant's EV Chargers</w:t>
      </w:r>
    </w:p>
    <w:p>
      <w:pPr>
        <w:pStyle w:val="TextBody"/>
        <w:bidi w:val="0"/>
        <w:spacing w:before="0" w:after="0"/>
        <w:jc w:val="center"/>
        <w:rPr/>
      </w:pPr>
      <w:r>
        <w:rPr/>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 xml:space="preserve">Area depicted is located in the subterranean portion of the Building Parking Facilities. </w:t>
      </w:r>
    </w:p>
    <w:p>
      <w:pPr>
        <w:pStyle w:val="TextBody"/>
        <w:bidi w:val="0"/>
        <w:spacing w:before="240" w:after="283"/>
        <w:jc w:val="left"/>
        <w:rPr/>
      </w:pPr>
      <w:r>
        <w:rPr/>
        <w:drawing>
          <wp:inline distT="0" distB="0" distL="0" distR="0">
            <wp:extent cx="6715125" cy="3600450"/>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8"/>
                    <a:stretch>
                      <a:fillRect/>
                    </a:stretch>
                  </pic:blipFill>
                  <pic:spPr bwMode="auto">
                    <a:xfrm>
                      <a:off x="0" y="0"/>
                      <a:ext cx="6715125" cy="3600450"/>
                    </a:xfrm>
                    <a:prstGeom prst="rect">
                      <a:avLst/>
                    </a:prstGeom>
                  </pic:spPr>
                </pic:pic>
              </a:graphicData>
            </a:graphic>
          </wp:inline>
        </w:drawing>
      </w:r>
    </w:p>
    <w:p>
      <w:pPr>
        <w:pStyle w:val="TextBody"/>
        <w:bidi w:val="0"/>
        <w:spacing w:before="240" w:after="283"/>
        <w:jc w:val="left"/>
        <w:rPr/>
      </w:pPr>
      <w:r>
        <w:rPr/>
      </w:r>
    </w:p>
    <w:p>
      <w:pPr>
        <w:pStyle w:val="TextBody"/>
        <w:bidi w:val="0"/>
        <w:spacing w:before="240" w:after="283"/>
        <w:jc w:val="left"/>
        <w:rPr/>
      </w:pPr>
      <w:r>
        <w:rPr/>
      </w:r>
    </w:p>
    <w:tbl>
      <w:tblPr>
        <w:tblW w:w="8941" w:type="dxa"/>
        <w:jc w:val="left"/>
        <w:tblInd w:w="0" w:type="dxa"/>
        <w:tblLayout w:type="fixed"/>
        <w:tblCellMar>
          <w:top w:w="28" w:type="dxa"/>
          <w:left w:w="28" w:type="dxa"/>
          <w:bottom w:w="28" w:type="dxa"/>
          <w:right w:w="28" w:type="dxa"/>
        </w:tblCellMar>
      </w:tblPr>
      <w:tblGrid>
        <w:gridCol w:w="342"/>
        <w:gridCol w:w="301"/>
        <w:gridCol w:w="303"/>
        <w:gridCol w:w="2338"/>
        <w:gridCol w:w="2338"/>
        <w:gridCol w:w="331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COLOR</w:t>
            </w:r>
          </w:p>
        </w:tc>
        <w:tc>
          <w:tcPr>
            <w:tcW w:w="7995"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DESCRIPTION</w:t>
            </w:r>
          </w:p>
        </w:tc>
      </w:tr>
      <w:tr>
        <w:trPr/>
        <w:tc>
          <w:tcPr>
            <w:tcW w:w="9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371475" cy="200025"/>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9"/>
                          <a:stretch>
                            <a:fillRect/>
                          </a:stretch>
                        </pic:blipFill>
                        <pic:spPr bwMode="auto">
                          <a:xfrm>
                            <a:off x="0" y="0"/>
                            <a:ext cx="371475" cy="200025"/>
                          </a:xfrm>
                          <a:prstGeom prst="rect">
                            <a:avLst/>
                          </a:prstGeom>
                        </pic:spPr>
                      </pic:pic>
                    </a:graphicData>
                  </a:graphic>
                </wp:inline>
              </w:drawing>
            </w:r>
          </w:p>
        </w:tc>
        <w:tc>
          <w:tcPr>
            <w:tcW w:w="7995"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Existing parking stall without EV electrical infrastructure approved for Tenant use</w:t>
            </w:r>
          </w:p>
        </w:tc>
      </w:tr>
      <w:tr>
        <w:trPr/>
        <w:tc>
          <w:tcPr>
            <w:tcW w:w="94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left"/>
              <w:rPr/>
            </w:pPr>
            <w:r>
              <w:rPr/>
              <w:drawing>
                <wp:inline distT="0" distB="0" distL="0" distR="0">
                  <wp:extent cx="371475" cy="190500"/>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10"/>
                          <a:stretch>
                            <a:fillRect/>
                          </a:stretch>
                        </pic:blipFill>
                        <pic:spPr bwMode="auto">
                          <a:xfrm>
                            <a:off x="0" y="0"/>
                            <a:ext cx="371475" cy="190500"/>
                          </a:xfrm>
                          <a:prstGeom prst="rect">
                            <a:avLst/>
                          </a:prstGeom>
                        </pic:spPr>
                      </pic:pic>
                    </a:graphicData>
                  </a:graphic>
                </wp:inline>
              </w:drawing>
            </w:r>
          </w:p>
        </w:tc>
        <w:tc>
          <w:tcPr>
            <w:tcW w:w="7995"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Existing parking stall with EV electrical infrastructure approved for Tenant use</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71525"/>
                <wp:effectExtent l="0" t="0" r="0" b="0"/>
                <wp:wrapNone/>
                <wp:docPr id="59" name="Frame55"/>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1613"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481.35pt;mso-position-horizontal:left;mso-position-horizontal-relative:text">
                <v:textbox>
                  <w:txbxContent>
                    <w:tbl>
                      <w:tblPr>
                        <w:tblW w:w="1613"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Joshua Ofman, certify that: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GRAIL, Inc.;</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460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757"/>
        <w:gridCol w:w="757"/>
        <w:gridCol w:w="10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Ofman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Joshua Ofman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Aaron Freidin, certify that: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GRAIL, Inc.;</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451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731"/>
        <w:gridCol w:w="731"/>
        <w:gridCol w:w="104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Certification of Chief Executive Officer,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As Adopted Pursuant to Section 906 of the Sarbanes-Oxley Act of 2002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connection with the Quarterly Report of GRAIL, Inc. (the “Company”) on Form 10-Q for the quarter ended June 30, 2026, as filed with the Securities and Exchange Commission on the date hereof (the “Report”), I, Joshua Ofman, Chief Executive Officer of the Company, certify, pursuant to 18 U.S.C. Section 1350, as adopted pursuant to Section 906 of the Sarbanes-Oxley Act of 2002, that:</w:t>
      </w:r>
    </w:p>
    <w:p>
      <w:pPr>
        <w:pStyle w:val="TextBody"/>
        <w:bidi w:val="0"/>
        <w:spacing w:before="0" w:after="12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60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757"/>
        <w:gridCol w:w="757"/>
        <w:gridCol w:w="10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Ofman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Joshua Ofman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Certification of Chief Financial Officer,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As Adopted Pursuant to Section 906 of the Sarbanes-Oxley Act of 2002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connection with the Quarterly Report of GRAIL, Inc. (the “Company”) on Form 10-Q for the quarter ended June 30, 2026, as filed with the Securities and Exchange Commission on the date hereof (the “Report”), I, Aaron Freidin, Chief Financial Officer of the Company, certify, pursuant to 18 U.S.C. Section 1350, as adopted pursuant to Section 906 of the Sarbanes-Oxley Act of 2002, that:</w:t>
      </w:r>
    </w:p>
    <w:p>
      <w:pPr>
        <w:pStyle w:val="TextBody"/>
        <w:bidi w:val="0"/>
        <w:spacing w:before="0" w:after="12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51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731"/>
        <w:gridCol w:w="731"/>
        <w:gridCol w:w="104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delle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9031/000119312524167037/d797014dex21.htm" TargetMode="External"/><Relationship Id="rId3" Type="http://schemas.openxmlformats.org/officeDocument/2006/relationships/hyperlink" Target="https://www.sec.gov/Archives/edgar/data/1699031/000119312524167037/d797014dex31.htm" TargetMode="External"/><Relationship Id="rId4" Type="http://schemas.openxmlformats.org/officeDocument/2006/relationships/hyperlink" Target="https://www.sec.gov/Archives/edgar/data/1699031/000119312524165947/d804232dex42.htm" TargetMode="External"/><Relationship Id="rId5" Type="http://schemas.openxmlformats.org/officeDocument/2006/relationships/hyperlink" Target="https://www.sec.gov/Archives/edgar/data/1699031/000119312524167037/d797014dex33.htm" TargetMode="External"/><Relationship Id="rId6" Type="http://schemas.openxmlformats.org/officeDocument/2006/relationships/hyperlink" Target="https://www.sec.gov/Archives/edgar/data/1699031/000162828026039461/grail-offerletterofmanfinal.htm"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24252</Words>
  <Characters>137221</Characters>
  <CharactersWithSpaces>160066</CharactersWithSpaces>
  <Paragraphs>2342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