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GRAIL,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001-42045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86-3673636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1525 O’Brien Drive</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Menlo Park,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94025</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694-2553</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GRAL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and Distribution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June 24, 2024 (the “Distribution Date”), at 12:01 a.m., Eastern Time, the previously announced separation (the “Separation”) of GRAIL, Inc. (formerly known as GRAIL, LLC) (“GRAIL,” the “Company,” “we,” “us” or “our”) from Illumina, Inc. (“Illumina”) was completed. The Separation of GRAIL from Illumina was achieved through Illumina’s pro rata distribution of 85.5% of the outstanding shares of GRAIL common stock to holders of record of Illumina common stock as of the close of business on June 13, 2024 (the “Record Date”). Each holder of record of Illumina common stock received one share of GRAIL common stock for every six shares of Illumina common stock held at the close of business on the Record Date (the “Distribution”). In connection with the Separation, Illumina made a one-time disposal funding payment to the Company of approximately</w:t>
      </w:r>
    </w:p>
    <w:p>
      <w:pPr>
        <w:spacing w:after="0" w:line="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$932.30 million. Following the completion of the Separation, GRAIL became an independent, publicly traded company. On June 25, 2024, GRAIL’s common stock will begin trading on the Nasdaq Global Select Market (“Nasdaq”) under the ticker symbol “GRAL.”</w:t>
      </w:r>
    </w:p>
    <w:p>
      <w:pPr>
        <w:spacing w:after="0" w:line="1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on June 21, 2024, the Company entered into the Separation and Distribution Agreement and several other separation-related several agreements with Illumina, including the Tax Matters Agreement, the Employee Matters Agreement, the Stockholder and Registration Rights Agreement and the Fourth Amendment to the Amended and Restated Supply and Commercialization Agreement (the “Supply Agreement Amendment”), that, among other things, provide a framework for the Company’s relationship with Illumina after the Separation.</w:t>
      </w:r>
    </w:p>
    <w:p>
      <w:pPr>
        <w:spacing w:after="0" w:line="18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 summary of certain material features of the Separation and Distribution Agreement, the Tax Matters Agreement, the Employee Matters Agreement, the Stockholder and Registration Rights Agreement and the Supply Agreement Amendment, all of which are referenced below, can be found in the section entitled “Certain Relationships and Related Person Transactions—Agreements with Illumina” in GRAIL’s Information Statement, which is included as Exhibit 99.1 to Amendment No. 2 to GRAIL’s Registration Statement on Form 10 (File No. 001-42045) filed with the Securities and Exchange Commission on June 3, 2024 (the “Information Statement”). These summaries are incorporated by reference into this Item 1.01 in their entirety.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and Distribution Agreement</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Separation and Distribution Agreement sets forth, among other things, the agreements between the Company and Illumina regarding the principal transactions necessary to effect the Separation and the Distribution. It also sets forth other agreements that govern certain aspects of our ongoing relationship with Illumina after the completion of the Separation and the Distribution. The description of the Separation and Distribution Agreement set forth under this Item 1.01 is qualified in its entirety by reference to the complete terms and conditions of the Separation and Distribution Agreement filed as Exhibit 2.1 hereto and incorporated herein by reference.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Matters Agreement</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Tax Matters Agreement governs our and Illumina’s respective rights, responsibilities and obligations with respect to tax liabilities and benefits, tax attributes, the preparation and filing of tax returns, the control of audits and other tax proceedings and certain other matters regarding taxes. The description of the Tax Matters Agreement set forth under this Item 1.01 is qualified in its entirety by reference to the complete terms and conditions of the Tax Matters Agreement filed as Exhibit 10.1 hereto and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Matters Agreement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Employee Matters Agreement governs, among other things, our and Illumina’s compensation and employee benefit obligations with respect to the employees and other service providers of each company, and generally allocates liabilities and responsibilities relating to employment matters and employee compensation and benefit plans and programs. The description of the Employee Matters Agreement set forth under this Item 1.01 is qualified in its entirety by reference to the complete terms and conditions of the Employee Matters Agreement filed as Exhibit 10.2 hereto and incorporated herein by reference.</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Stockholder and Registration Rights Agreement</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Stockholder and Registration Rights Agreement governs the respective rights, responsibilities and obligations of Illumina and GRAIL with respect to Illumina’s continuing ownership of GRAIL common stock. The description of the Stockholder and Registration Rights Agreement set forth under this Item 1.01 is qualified in its entirety by reference to the complete terms and conditions of the Stockholder and Registration Rights Agreement filed as Exhibit 10.3 hereto and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Agreement Amendment</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Supply Agreement Amendment governs, among other things, the ongoing supply and commercialization relationship, including licensing, royalty payments and intellectual property, between the Company and Illumina after the completion of the Separation and the Distribution. The description of the Supply Agreement Amendment set forth under this Item 1.01 is qualified in its entirety by reference to the complete terms and conditions of the Supply Agreement Amendment filed as Exhibit 10.4 hereto and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 indemnification agreements provide indemnification to each such director or officer, to the fullest extent permitted by applicable law, subject to certain exceptions, against expenses, judgments, fines and other amounts arising from any claims relating to the fact that such person is or was a director or officer, as applicable, and also provides for rights to advancement of expenses. The description of the indemnification agreements set forth under this Item 1.01 is qualified in its entirety by reference to the complete terms and conditions of the indemnification agreements, the form of which is filed as Exhibit 10.5 hereto and incorporated herein by reference.</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the extent required by Item 3.03 of Form 8-K, the information set forth under Item 5.03 of this Current Report on Form 8-K is incorporated into this Item 3.03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Immediately prior to the Distribution, the Company was a wholly owned subsidiary of Illumina. Following the completion of the Separation and Distribution, the Company is now an independent public company and its common stock is trading under the symbol “GRAL” on Nasdaq, and Illumina retained a 14.5% ownership interest in the Company.</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Distribution was made to holders of record of Illumina as of the Record Date, who received one share of GRAIL common stock for every six shares of Illumina common stock held as of the Record Date. In lieu of fractional shares, stockholders of Illumina will receive cash. The description of the Separation included under Item 1.01 of this Current Report on Form 8-K is incorporated herein by reference.</w:t>
      </w:r>
    </w:p>
    <w:p>
      <w:pPr>
        <w:sectPr>
          <w:pgSz w:w="11900" w:h="16838" w:orient="portrait"/>
          <w:cols w:equalWidth="0" w:num="1">
            <w:col w:w="10980"/>
          </w:cols>
          <w:pgMar w:left="440" w:top="295" w:right="47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ectPr>
          <w:pgSz w:w="11900" w:h="16838" w:orient="portrait"/>
          <w:cols w:equalWidth="0" w:num="2">
            <w:col w:w="700" w:space="500"/>
            <w:col w:w="9780"/>
          </w:cols>
          <w:pgMar w:left="440" w:top="29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Departure of Directors</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June 21, 2024, in connection with and effective upon the effectiveness of the Conversion (as defined below), Charles Dadswell, Ankur Dhingra and William (Bill) Chase ceased to be directors of GRAIL, LLC, the Company’s predecessor.</w:t>
      </w:r>
    </w:p>
    <w:p>
      <w:pPr>
        <w:sectPr>
          <w:pgSz w:w="11900" w:h="16838" w:orient="portrait"/>
          <w:cols w:equalWidth="0" w:num="1">
            <w:col w:w="10980"/>
          </w:cols>
          <w:pgMar w:left="440" w:top="295" w:right="4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 and Officer Appointments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21, 2024, immediately following the Conversion, the size of the Board was established at four directors and William (Bill) Chase, Steve Mizell, Gregory (Greg) Summe and Robert Ragusa were appointed to the Board.</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Biographical information for each member of the Board can be found in the Information Statement under the section entitled “Management,” which is incorporated herein by reference.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Board is divided into three classes, denominated as class I, class II and class III. Members of each class will hold office for staggered three-year terms. The three classes are as follows:</w:t>
      </w:r>
    </w:p>
    <w:p>
      <w:pPr>
        <w:spacing w:after="0" w:line="67" w:lineRule="exact"/>
        <w:rPr>
          <w:sz w:val="20"/>
          <w:szCs w:val="20"/>
          <w:color w:val="auto"/>
        </w:rPr>
      </w:pPr>
    </w:p>
    <w:p>
      <w:pPr>
        <w:ind w:left="960" w:right="4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William (Bill) Chase is a class I director, whose term will expire at the first annual meeting of our shareholders following the completion of the distribution, which the Company expects to hold in 2025.</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Mr. Mizell is a class II director, whose term will expire at the second annual meeting of our shareholders following the completion of the distribution, which the Company expects to hold in 2026.</w:t>
      </w:r>
    </w:p>
    <w:p>
      <w:pPr>
        <w:spacing w:after="0" w:line="67"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Messrs. Ragusa and Summe are class III directors, whose term will expire at the third annual meeting of our shareholders following the completion of the distribution, which the Company expects to hold in 2027.</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their joining the Board, certain directors of the Company were appointed to the Audit Committee, Compensation Committee and Nominating and Corporate Governance Committee of the Board (the “Committees”), effective immediately. Mr. Summe was appointed as the Chair of the Board and the current composition of the committees is as follows:</w:t>
      </w:r>
    </w:p>
    <w:p>
      <w:pPr>
        <w:sectPr>
          <w:pgSz w:w="11900" w:h="16838" w:orient="portrait"/>
          <w:cols w:equalWidth="0" w:num="1">
            <w:col w:w="11000"/>
          </w:cols>
          <w:pgMar w:left="440" w:top="295" w:right="45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Committee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4"/>
          <w:szCs w:val="14"/>
          <w:b w:val="1"/>
          <w:bCs w:val="1"/>
          <w:color w:val="auto"/>
        </w:rPr>
        <w:t>Members</w:t>
      </w:r>
    </w:p>
    <w:p>
      <w:pPr>
        <w:spacing w:after="0" w:line="21" w:lineRule="exact"/>
        <w:rPr>
          <w:sz w:val="20"/>
          <w:szCs w:val="20"/>
          <w:color w:val="auto"/>
        </w:rPr>
      </w:pPr>
    </w:p>
    <w:p>
      <w:pPr>
        <w:sectPr>
          <w:pgSz w:w="11900" w:h="16838" w:orient="portrait"/>
          <w:cols w:equalWidth="0" w:num="2">
            <w:col w:w="5020" w:space="720"/>
            <w:col w:w="5260"/>
          </w:cols>
          <w:pgMar w:left="440" w:top="29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Audit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William (Bill) Chase (Chair)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Mizell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(Greg) Summe</w:t>
      </w:r>
    </w:p>
    <w:p>
      <w:pPr>
        <w:spacing w:after="0" w:line="200" w:lineRule="exact"/>
        <w:rPr>
          <w:sz w:val="20"/>
          <w:szCs w:val="20"/>
          <w:color w:val="auto"/>
        </w:rPr>
      </w:pPr>
    </w:p>
    <w:p>
      <w:pPr>
        <w:sectPr>
          <w:pgSz w:w="11900" w:h="16838" w:orient="portrait"/>
          <w:cols w:equalWidth="0" w:num="2">
            <w:col w:w="5020" w:space="720"/>
            <w:col w:w="5260"/>
          </w:cols>
          <w:pgMar w:left="440" w:top="295" w:right="45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Steve Mizell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(Bill) 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Gregory (Greg) Summe</w:t>
      </w:r>
    </w:p>
    <w:p>
      <w:pPr>
        <w:spacing w:after="0" w:line="200" w:lineRule="exact"/>
        <w:rPr>
          <w:sz w:val="20"/>
          <w:szCs w:val="20"/>
          <w:color w:val="auto"/>
        </w:rPr>
      </w:pPr>
    </w:p>
    <w:p>
      <w:pPr>
        <w:sectPr>
          <w:pgSz w:w="11900" w:h="16838" w:orient="portrait"/>
          <w:cols w:equalWidth="0" w:num="2">
            <w:col w:w="5020" w:space="720"/>
            <w:col w:w="5260"/>
          </w:cols>
          <w:pgMar w:left="440" w:top="295" w:right="45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Gregory (Greg) Summe (Chair)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(Bill) 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Mizell</w:t>
      </w:r>
    </w:p>
    <w:p>
      <w:pPr>
        <w:spacing w:after="0" w:line="200" w:lineRule="exact"/>
        <w:rPr>
          <w:sz w:val="20"/>
          <w:szCs w:val="20"/>
          <w:color w:val="auto"/>
        </w:rPr>
      </w:pPr>
    </w:p>
    <w:p>
      <w:pPr>
        <w:sectPr>
          <w:pgSz w:w="11900" w:h="16838" w:orient="portrait"/>
          <w:cols w:equalWidth="0" w:num="2">
            <w:col w:w="5020" w:space="720"/>
            <w:col w:w="5260"/>
          </w:cols>
          <w:pgMar w:left="440" w:top="295" w:right="45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on June 21, 2024, the Board made the following officer appointments, effective immediately:</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Section 16 Designation</w:t>
            </w:r>
          </w:p>
        </w:tc>
      </w:tr>
      <w:tr>
        <w:trPr>
          <w:trHeight w:val="191"/>
        </w:trPr>
        <w:tc>
          <w:tcPr>
            <w:tcW w:w="20" w:type="dxa"/>
            <w:vAlign w:val="bottom"/>
          </w:tcPr>
          <w:p>
            <w:pPr>
              <w:spacing w:after="0"/>
              <w:rPr>
                <w:sz w:val="16"/>
                <w:szCs w:val="16"/>
                <w:color w:val="auto"/>
              </w:rPr>
            </w:pPr>
          </w:p>
        </w:tc>
        <w:tc>
          <w:tcPr>
            <w:tcW w:w="3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Ragusa</w:t>
            </w:r>
          </w:p>
        </w:tc>
        <w:tc>
          <w:tcPr>
            <w:tcW w:w="100" w:type="dxa"/>
            <w:vAlign w:val="bottom"/>
          </w:tcPr>
          <w:p>
            <w:pPr>
              <w:spacing w:after="0"/>
              <w:rPr>
                <w:sz w:val="16"/>
                <w:szCs w:val="16"/>
                <w:color w:val="auto"/>
              </w:rPr>
            </w:pPr>
          </w:p>
        </w:tc>
        <w:tc>
          <w:tcPr>
            <w:tcW w:w="3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Pr>
          <w:p>
            <w:pPr>
              <w:spacing w:after="0"/>
              <w:rPr>
                <w:sz w:val="16"/>
                <w:szCs w:val="16"/>
                <w:color w:val="auto"/>
              </w:rPr>
            </w:pPr>
          </w:p>
        </w:tc>
        <w:tc>
          <w:tcPr>
            <w:tcW w:w="3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Principal Executive Officer</w:t>
            </w:r>
          </w:p>
        </w:tc>
      </w:tr>
      <w:tr>
        <w:trPr>
          <w:trHeight w:val="216"/>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Aaron Freidin</w:t>
            </w: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234"/>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Josh Ofman</w:t>
            </w: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Statement under the sections entitled “Management” and “Executive Compensation” contains the biographical information about and compensation information for the officers listed above. Such information is incorporated by reference in this Item 5.02.</w:t>
      </w:r>
    </w:p>
    <w:p>
      <w:pPr>
        <w:sectPr>
          <w:pgSz w:w="11900" w:h="16838" w:orient="portrait"/>
          <w:cols w:equalWidth="0" w:num="1">
            <w:col w:w="11000"/>
          </w:cols>
          <w:pgMar w:left="440" w:top="295" w:right="4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GRAIL, Inc. 2024 Incentive Award Plan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GRAIL, Inc. 2024 Incentive Award Plan (the “2024 Plan”) became effective on June 21, 2024. A description of the material terms of the 2024 Plan can be found in the Information Statement under the section entitled “Executive Compensation Arrangements—2024 Equity Incentive Plan” which is incorporated herein by reference. The description is qualified in its entirety by reference to the 2024 Plan, which is filed as Exhibit 10.6 hereto and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GRAIL, Inc. 2024 Employee Stock Purchase Plan</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GRAIL, Inc. 2024 Employee Stock Purchase Plan (the “ESPP”) became effective on June 21, 2024. A description of the material terms of the ESPP can be found in the Information Statement under the section entitled “Executive Compensation Arrangements—2024 Employee Stock Purchase Plan” which is incorporated herein by reference. The description is qualified in its entirety by reference to the ESPP, which is filed as Exhibit 10.7 hereto and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and preceding the Separation, on June 21, 2024, GRAIL, LLC, a Delaware limited liability company and the predecessor entity of the Company, was converted into a corporation and renamed GRAIL, Inc., a Delaware corporation, pursuant to a Certificate of Conversion filed with the Delaware Secretary of State (the “Conversion”). Immediately following the Conversion, the Company’s Certificate of Incorporation and Bylaws became effective. A summary of the Certificate of Incorporation and Bylaws is included in the Information Statement under the heading “Description of our Capital Stock,” which is incorporated by reference in this Item 5.03.</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Company’s Certificate of Incorporation, Bylaws and Certificate of Conversion are not complete and are subject to, and qualified in their entirety by, the complete text of the Certificate of Incorporation, Bylaws and Certificate of Conversion, which are filed with this Current Report on Form 8-K as Exhibits 3.1, 3.2 and 3.3, each of which is incorporated by reference in this Item 5.03.</w:t>
      </w:r>
    </w:p>
    <w:p>
      <w:pPr>
        <w:sectPr>
          <w:pgSz w:w="11900" w:h="16838" w:orient="portrait"/>
          <w:cols w:equalWidth="0" w:num="1">
            <w:col w:w="11000"/>
          </w:cols>
          <w:pgMar w:left="440" w:top="295"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-220980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704" w:space="500"/>
            <w:col w:w="9800"/>
          </w:cols>
          <w:pgMar w:left="436" w:top="293" w:right="459" w:bottom="1440" w:gutter="0" w:footer="0" w:header="0"/>
        </w:sectPr>
      </w:pPr>
    </w:p>
    <w:p>
      <w:pPr>
        <w:ind w:left="4"/>
        <w:spacing w:after="0"/>
        <w:rPr>
          <w:sz w:val="20"/>
          <w:szCs w:val="20"/>
          <w:color w:val="auto"/>
        </w:rPr>
      </w:pPr>
      <w:r>
        <w:rPr>
          <w:rFonts w:ascii="Times New Roman" w:cs="Times New Roman" w:eastAsia="Times New Roman" w:hAnsi="Times New Roman"/>
          <w:sz w:val="17"/>
          <w:szCs w:val="17"/>
          <w:color w:val="auto"/>
        </w:rPr>
        <w:t>(d) Exhibits.</w:t>
      </w:r>
    </w:p>
    <w:p>
      <w:pPr>
        <w:sectPr>
          <w:pgSz w:w="11900" w:h="16838" w:orient="portrait"/>
          <w:cols w:equalWidth="0" w:num="1">
            <w:col w:w="11004"/>
          </w:cols>
          <w:pgMar w:left="436" w:top="293" w:right="459" w:bottom="1440" w:gutter="0" w:footer="0" w:header="0"/>
          <w:type w:val="continuous"/>
        </w:sectPr>
      </w:pPr>
    </w:p>
    <w:p>
      <w:pPr>
        <w:spacing w:after="0" w:line="259" w:lineRule="exact"/>
        <w:rPr>
          <w:sz w:val="20"/>
          <w:szCs w:val="20"/>
          <w:color w:val="auto"/>
        </w:rPr>
      </w:pPr>
    </w:p>
    <w:p>
      <w:pPr>
        <w:jc w:val="center"/>
        <w:ind w:right="4456"/>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jc w:val="center"/>
        <w:ind w:right="4456"/>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4"/>
          <w:szCs w:val="14"/>
          <w:color w:val="auto"/>
        </w:rPr>
        <w:t>Description</w:t>
      </w:r>
    </w:p>
    <w:p>
      <w:pPr>
        <w:spacing w:after="0" w:line="99" w:lineRule="exact"/>
        <w:rPr>
          <w:sz w:val="20"/>
          <w:szCs w:val="20"/>
          <w:color w:val="auto"/>
        </w:rPr>
      </w:pPr>
    </w:p>
    <w:p>
      <w:pPr>
        <w:sectPr>
          <w:pgSz w:w="11900" w:h="16838" w:orient="portrait"/>
          <w:cols w:equalWidth="0" w:num="2">
            <w:col w:w="4884" w:space="720"/>
            <w:col w:w="5400"/>
          </w:cols>
          <w:pgMar w:left="436" w:top="293" w:right="459" w:bottom="1440" w:gutter="0" w:footer="0" w:header="0"/>
          <w:type w:val="continuous"/>
        </w:sect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18"/>
          <w:szCs w:val="18"/>
          <w:u w:val="single" w:color="auto"/>
          <w:color w:val="0000EE"/>
        </w:rPr>
        <w:t>Separation and Distribution Agreement, dated June 21, 2024, between Illumina, Inc. and GRAIL, Inc.</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8"/>
          <w:szCs w:val="18"/>
          <w:u w:val="single" w:color="auto"/>
          <w:color w:val="0000EE"/>
        </w:rPr>
        <w:t>Certificate of Incorporation of GRAIL, Inc.</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r>
      <w:r>
        <w:rPr>
          <w:rFonts w:ascii="Times New Roman" w:cs="Times New Roman" w:eastAsia="Times New Roman" w:hAnsi="Times New Roman"/>
          <w:sz w:val="18"/>
          <w:szCs w:val="18"/>
          <w:u w:val="single" w:color="auto"/>
          <w:color w:val="0000EE"/>
        </w:rPr>
        <w:t>Bylaws of GRAIL, Inc.</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w:t>
      </w:r>
      <w:r>
        <w:rPr>
          <w:rFonts w:ascii="Times New Roman" w:cs="Times New Roman" w:eastAsia="Times New Roman" w:hAnsi="Times New Roman"/>
          <w:sz w:val="18"/>
          <w:szCs w:val="18"/>
          <w:u w:val="single" w:color="auto"/>
          <w:color w:val="0000EE"/>
        </w:rPr>
        <w:t>Certificate of Conversion</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Tax Matters Agreement, dated June 24, 2024, between Illumina, Inc. and GRAIL, Inc.</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Employee Matters Agreement, dated June 24, 2024, between Illumina, Inc. and GRAIL, Inc.</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EE"/>
        </w:rPr>
        <w:t>Stockholder and Registration Rights Agreement, dated June 24, 2024, between Illumina, Inc. and GRAIL, Inc.</w:t>
      </w:r>
    </w:p>
    <w:p>
      <w:pPr>
        <w:spacing w:after="0" w:line="117" w:lineRule="exact"/>
        <w:rPr>
          <w:sz w:val="20"/>
          <w:szCs w:val="20"/>
          <w:color w:val="auto"/>
        </w:rPr>
      </w:pPr>
    </w:p>
    <w:p>
      <w:pPr>
        <w:ind w:left="844" w:hanging="849"/>
        <w:spacing w:after="0" w:line="282" w:lineRule="auto"/>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0000EE"/>
        </w:rPr>
        <w:t>Fourth Amendment to the Amended and Restated Supply and Commercialization Agreement, dated June 24, 2024, by and between Illumina, Inc. and GRAIL, Inc.</w:t>
      </w:r>
    </w:p>
    <w:p>
      <w:pPr>
        <w:spacing w:after="0" w:line="54" w:lineRule="exact"/>
        <w:rPr>
          <w:sz w:val="20"/>
          <w:szCs w:val="20"/>
          <w:color w:val="auto"/>
        </w:rPr>
      </w:pPr>
    </w:p>
    <w:p>
      <w:pPr>
        <w:ind w:left="844" w:right="20" w:hanging="849"/>
        <w:spacing w:after="0" w:line="282" w:lineRule="auto"/>
        <w:tabs>
          <w:tab w:leader="none" w:pos="82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22">
        <w:r>
          <w:rPr>
            <w:rFonts w:ascii="Times New Roman" w:cs="Times New Roman" w:eastAsia="Times New Roman" w:hAnsi="Times New Roman"/>
            <w:sz w:val="18"/>
            <w:szCs w:val="18"/>
            <w:u w:val="single" w:color="auto"/>
            <w:color w:val="0000EE"/>
          </w:rPr>
          <w:t>Form of Indemnification Agreement (incorporated by reference from Exhibit 10.11 to Amendment No. 2 to GRAIL’s Registration Statement</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on Form 10 filed on June 3, 2024)</w:t>
        </w:r>
      </w:hyperlink>
    </w:p>
    <w:p>
      <w:pPr>
        <w:spacing w:after="0" w:line="54" w:lineRule="exact"/>
        <w:rPr>
          <w:sz w:val="20"/>
          <w:szCs w:val="20"/>
          <w:color w:val="auto"/>
        </w:rPr>
      </w:pPr>
    </w:p>
    <w:p>
      <w:pPr>
        <w:ind w:left="844" w:right="580" w:hanging="849"/>
        <w:spacing w:after="0" w:line="282" w:lineRule="auto"/>
        <w:tabs>
          <w:tab w:leader="none" w:pos="82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23">
        <w:r>
          <w:rPr>
            <w:rFonts w:ascii="Times New Roman" w:cs="Times New Roman" w:eastAsia="Times New Roman" w:hAnsi="Times New Roman"/>
            <w:sz w:val="18"/>
            <w:szCs w:val="18"/>
            <w:u w:val="single" w:color="auto"/>
            <w:color w:val="0000EE"/>
          </w:rPr>
          <w:t>GRAIL, Inc. 2024 Incentive Award Plan (incorporated by reference from Exhibit 10.8 to Amendment No. 2 to GRAIL’s Registration</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Statement on Form 10 filed on June 3, 2024)</w:t>
        </w:r>
      </w:hyperlink>
    </w:p>
    <w:p>
      <w:pPr>
        <w:spacing w:after="0" w:line="54" w:lineRule="exact"/>
        <w:rPr>
          <w:sz w:val="20"/>
          <w:szCs w:val="20"/>
          <w:color w:val="auto"/>
        </w:rPr>
      </w:pPr>
    </w:p>
    <w:p>
      <w:pPr>
        <w:ind w:left="844" w:right="20" w:hanging="849"/>
        <w:spacing w:after="0" w:line="282" w:lineRule="auto"/>
        <w:tabs>
          <w:tab w:leader="none" w:pos="82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4">
        <w:r>
          <w:rPr>
            <w:rFonts w:ascii="Times New Roman" w:cs="Times New Roman" w:eastAsia="Times New Roman" w:hAnsi="Times New Roman"/>
            <w:sz w:val="18"/>
            <w:szCs w:val="18"/>
            <w:u w:val="single" w:color="auto"/>
            <w:color w:val="0000EE"/>
          </w:rPr>
          <w:t>GRAIL, Inc. 2024 Employee Stock Purchase Plan (incorporated by reference to Exhibit 10.12 to Amendment No. 2 to GRAIL’s Registration</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Statement on Form 10 filed on June 3, 2024)</w:t>
        </w:r>
      </w:hyperlink>
    </w:p>
    <w:p>
      <w:pPr>
        <w:spacing w:after="0" w:line="54"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type w:val="continuous"/>
        </w:sectPr>
      </w:pPr>
    </w:p>
    <w:bookmarkStart w:id="6" w:name="page7"/>
    <w:bookmarkEnd w:id="6"/>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GRAIL,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Abram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Abram Barth</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ectPr>
          <w:pgSz w:w="11900" w:h="16838" w:orient="portrait"/>
          <w:cols w:equalWidth="0" w:num="1">
            <w:col w:w="10660"/>
          </w:cols>
          <w:pgMar w:left="440" w:top="293" w:right="7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251460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SEPARATION AND DISTRIBUTION AGREEMENT</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ILLUMINA,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GRAIL, LLC</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(to be converted into GRAIL, INC.)</w:t>
      </w:r>
    </w:p>
    <w:p>
      <w:pPr>
        <w:spacing w:after="0" w:line="20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DATED AS OF June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191135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814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60" w:type="dxa"/>
            <w:vAlign w:val="bottom"/>
          </w:tcPr>
          <w:p>
            <w:pPr>
              <w:spacing w:after="0"/>
              <w:rPr>
                <w:sz w:val="20"/>
                <w:szCs w:val="20"/>
                <w:color w:val="auto"/>
              </w:rPr>
            </w:pPr>
          </w:p>
        </w:tc>
      </w:tr>
      <w:tr>
        <w:trPr>
          <w:trHeight w:val="459"/>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Interpretation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SEPARATION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Allocation of GRAIL Assets, Illumina Assets, GRAIL Liabilities and Illumina Liabilities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Misdirected 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Disclaimer of Representations and Warranties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DISPOSAL FUNDING</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 of Disposal Funding</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Clawback</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COMPLETION OF THE DISTRIBUTION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Actions Prior to the Distribution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Effecting the Distribution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the Distribution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Discretion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MUTUAL RELEASES; INDEMNIFICATION; COOPERATION; INSURANCE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 of Claims Prior to Distribution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by Illumina</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by GRAIL</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Obligations Net of Insurance Proceeds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Procedures for Indemnification of Third-Party Claims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Matters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 of Indemnities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Contribution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Covenant Not to Sue (Liabilities and Indemnity)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Impact on Third Parties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Cross-Claims or Third-Party Claims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Exclusivity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Cooperation in Defense and Settlement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 Matters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EXCHANGE OF INFORMATION; CONFIDENTIALITY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 for Exchange of Information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CVR Information. (a)</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Ownership of Information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for Providing Information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Record Retention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Agreements Providing for Exchange of Information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 of Liability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Auditors and Audits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Privileged Matters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Protective Arrangements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Witness Services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FURTHER ASSURANCES AND ADDITIONAL COVENANTS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Further Assurances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7.2.</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w:t>
            </w:r>
          </w:p>
        </w:tc>
        <w:tc>
          <w:tcPr>
            <w:tcW w:w="61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7.3.</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Restrictions on Post-Closing Competitive Activities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7.4.</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Non-Solicitation Covenant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7.5.</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Mail Forwarding</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TERMINATION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8.1.</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w:t>
            </w:r>
          </w:p>
        </w:tc>
        <w:tc>
          <w:tcPr>
            <w:tcW w:w="614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8.2.</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Termination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Counterparts; Entire Agreement; Power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Negotiation by Senior Executives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9.3.</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Arbitration</w:t>
            </w:r>
          </w:p>
        </w:tc>
        <w:tc>
          <w:tcPr>
            <w:tcW w:w="61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9.4.</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Governing Law</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9.5.</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Waiver of Jury Trial</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9.6.</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Assignability</w:t>
            </w:r>
          </w:p>
        </w:tc>
        <w:tc>
          <w:tcPr>
            <w:tcW w:w="61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9.7.</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Third-Party Beneficiaries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9.8.</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61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9.9.</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61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Force Majeure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9.11.</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Publicity</w:t>
            </w:r>
          </w:p>
        </w:tc>
        <w:tc>
          <w:tcPr>
            <w:tcW w:w="61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9.12.</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61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9.13.</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Late Payments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9.14.</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Headings</w:t>
            </w:r>
          </w:p>
        </w:tc>
        <w:tc>
          <w:tcPr>
            <w:tcW w:w="61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Survival of Covenants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9.16.</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Waivers of Default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9.17.</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Specific Performance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9.18.</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w:t>
            </w:r>
          </w:p>
        </w:tc>
        <w:tc>
          <w:tcPr>
            <w:tcW w:w="61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9.19.</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61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9.20.</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Limited Liability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9.21.</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Exclusivity of Tax Matters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9.22.</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Exclusivity of Employee Matters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9.23.</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Exclusivity of Retained Stock Matters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9.24.</w:t>
            </w: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Limitations of Liability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8"/>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Schedules</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3.1(a)</w:t>
            </w:r>
          </w:p>
        </w:tc>
        <w:tc>
          <w:tcPr>
            <w:tcW w:w="1020" w:type="dxa"/>
            <w:vAlign w:val="bottom"/>
          </w:tcPr>
          <w:p>
            <w:pPr>
              <w:spacing w:after="0"/>
              <w:rPr>
                <w:sz w:val="24"/>
                <w:szCs w:val="24"/>
                <w:color w:val="auto"/>
              </w:rPr>
            </w:pPr>
          </w:p>
        </w:tc>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Disposal Funding Schedule</w:t>
            </w:r>
          </w:p>
        </w:tc>
        <w:tc>
          <w:tcPr>
            <w:tcW w:w="2640" w:type="dxa"/>
            <w:vAlign w:val="bottom"/>
          </w:tcPr>
          <w:p>
            <w:pPr>
              <w:spacing w:after="0"/>
              <w:rPr>
                <w:sz w:val="24"/>
                <w:szCs w:val="24"/>
                <w:color w:val="auto"/>
              </w:rPr>
            </w:pP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3.2(a)</w:t>
            </w:r>
          </w:p>
        </w:tc>
        <w:tc>
          <w:tcPr>
            <w:tcW w:w="1020" w:type="dxa"/>
            <w:vAlign w:val="bottom"/>
          </w:tcPr>
          <w:p>
            <w:pPr>
              <w:spacing w:after="0"/>
              <w:rPr>
                <w:sz w:val="18"/>
                <w:szCs w:val="18"/>
                <w:color w:val="auto"/>
              </w:rPr>
            </w:pPr>
          </w:p>
        </w:tc>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Specified Illumina Account</w:t>
            </w:r>
          </w:p>
        </w:tc>
        <w:tc>
          <w:tcPr>
            <w:tcW w:w="2640" w:type="dxa"/>
            <w:vAlign w:val="bottom"/>
          </w:tcPr>
          <w:p>
            <w:pPr>
              <w:spacing w:after="0"/>
              <w:rPr>
                <w:sz w:val="18"/>
                <w:szCs w:val="18"/>
                <w:color w:val="auto"/>
              </w:rPr>
            </w:pPr>
          </w:p>
        </w:tc>
      </w:tr>
      <w:tr>
        <w:trPr>
          <w:trHeight w:val="216"/>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5.1(c)(i)</w:t>
            </w:r>
          </w:p>
        </w:tc>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Agreements</w:t>
            </w:r>
          </w:p>
        </w:tc>
        <w:tc>
          <w:tcPr>
            <w:tcW w:w="2640" w:type="dxa"/>
            <w:vAlign w:val="bottom"/>
          </w:tcPr>
          <w:p>
            <w:pPr>
              <w:spacing w:after="0"/>
              <w:rPr>
                <w:sz w:val="18"/>
                <w:szCs w:val="18"/>
                <w:color w:val="auto"/>
              </w:rPr>
            </w:pP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7.4</w:t>
            </w:r>
          </w:p>
        </w:tc>
        <w:tc>
          <w:tcPr>
            <w:tcW w:w="1020" w:type="dxa"/>
            <w:vAlign w:val="bottom"/>
          </w:tcPr>
          <w:p>
            <w:pPr>
              <w:spacing w:after="0"/>
              <w:rPr>
                <w:sz w:val="20"/>
                <w:szCs w:val="20"/>
                <w:color w:val="auto"/>
              </w:rPr>
            </w:pPr>
          </w:p>
        </w:tc>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GRAIL Key Employees</w:t>
            </w:r>
          </w:p>
        </w:tc>
        <w:tc>
          <w:tcPr>
            <w:tcW w:w="264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78"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Exhibits</w:t>
            </w:r>
          </w:p>
        </w:tc>
        <w:tc>
          <w:tcPr>
            <w:tcW w:w="8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461"/>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3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Employee Matters Agreement</w:t>
            </w: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3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Registration Rights Agreement</w:t>
            </w: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3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Supply Agreement Amendment</w:t>
            </w: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3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Tax Matters Agreement</w:t>
            </w: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33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GRAIL Certificate of Incorporation</w:t>
            </w:r>
          </w:p>
        </w:tc>
      </w:tr>
      <w:tr>
        <w:trPr>
          <w:trHeight w:val="234"/>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F</w:t>
            </w:r>
          </w:p>
        </w:tc>
        <w:tc>
          <w:tcPr>
            <w:tcW w:w="3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GRAIL Bylaws</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right"/>
        <w:ind w:right="44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019"/>
          </w:cols>
          <w:pgMar w:left="440" w:top="257"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SEPARATION AND DISTRIBUTION AGREEMENT</w:t>
      </w:r>
    </w:p>
    <w:p>
      <w:pPr>
        <w:spacing w:after="0" w:line="229"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This SEPARATION AND DISTRIBUTION AGREEMENT is entered into as of June 21, 2024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by and between Illumina, Inc., a Delaware corporation (“</w:t>
      </w:r>
      <w:r>
        <w:rPr>
          <w:rFonts w:ascii="Times New Roman" w:cs="Times New Roman" w:eastAsia="Times New Roman" w:hAnsi="Times New Roman"/>
          <w:sz w:val="17"/>
          <w:szCs w:val="17"/>
          <w:u w:val="single" w:color="auto"/>
          <w:color w:val="auto"/>
        </w:rPr>
        <w:t>Illumina</w:t>
      </w:r>
      <w:r>
        <w:rPr>
          <w:rFonts w:ascii="Times New Roman" w:cs="Times New Roman" w:eastAsia="Times New Roman" w:hAnsi="Times New Roman"/>
          <w:sz w:val="17"/>
          <w:szCs w:val="17"/>
          <w:color w:val="auto"/>
        </w:rPr>
        <w:t>”), and GRAIL, LLC, a wholly owned subsidiary of Illumina and a Delaware limited liability company (“</w:t>
      </w:r>
      <w:r>
        <w:rPr>
          <w:rFonts w:ascii="Times New Roman" w:cs="Times New Roman" w:eastAsia="Times New Roman" w:hAnsi="Times New Roman"/>
          <w:sz w:val="17"/>
          <w:szCs w:val="17"/>
          <w:u w:val="single" w:color="auto"/>
          <w:color w:val="auto"/>
        </w:rPr>
        <w:t>GRAIL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LLC</w:t>
      </w:r>
      <w:r>
        <w:rPr>
          <w:rFonts w:ascii="Times New Roman" w:cs="Times New Roman" w:eastAsia="Times New Roman" w:hAnsi="Times New Roman"/>
          <w:sz w:val="17"/>
          <w:szCs w:val="17"/>
          <w:color w:val="auto"/>
        </w:rPr>
        <w:t>”), to be converted to a corporation and renamed GRAIL, Inc. prior to the Distribution Date (“</w:t>
      </w:r>
      <w:r>
        <w:rPr>
          <w:rFonts w:ascii="Times New Roman" w:cs="Times New Roman" w:eastAsia="Times New Roman" w:hAnsi="Times New Roman"/>
          <w:sz w:val="17"/>
          <w:szCs w:val="17"/>
          <w:u w:val="single" w:color="auto"/>
          <w:color w:val="auto"/>
        </w:rPr>
        <w:t>GRAIL</w:t>
      </w:r>
      <w:r>
        <w:rPr>
          <w:rFonts w:ascii="Times New Roman" w:cs="Times New Roman" w:eastAsia="Times New Roman" w:hAnsi="Times New Roman"/>
          <w:sz w:val="17"/>
          <w:szCs w:val="17"/>
          <w:color w:val="auto"/>
        </w:rPr>
        <w:t>”). Illumina and GRAIL are each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are sometimes referred to herein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xml:space="preserve">”. References to GRAIL shall be deemed to include, for all periods prior to the GRAIL Conversion, GRAIL LLC. Capitalized terms used herein and not otherwise defined shall have the respective meanings assigned to them in </w:t>
      </w:r>
      <w:r>
        <w:rPr>
          <w:rFonts w:ascii="Times New Roman" w:cs="Times New Roman" w:eastAsia="Times New Roman" w:hAnsi="Times New Roman"/>
          <w:sz w:val="17"/>
          <w:szCs w:val="17"/>
          <w:u w:val="single" w:color="auto"/>
          <w:color w:val="auto"/>
        </w:rPr>
        <w:t>Article I</w:t>
      </w:r>
      <w:r>
        <w:rPr>
          <w:rFonts w:ascii="Times New Roman" w:cs="Times New Roman" w:eastAsia="Times New Roman" w:hAnsi="Times New Roman"/>
          <w:sz w:val="17"/>
          <w:szCs w:val="17"/>
          <w:color w:val="auto"/>
        </w:rPr>
        <w: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Illumina owns the entire limited liability company interest of GRAIL LLC;</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Illumina and GRAIL entered into an Agreement and Plan of Merger, dated as of September 20, 2020, by and among Illumina, SDG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Ops, Inc., SDG Ops, LLC and GRAIL, pursuant to which GRAIL became a wholly owned subsidiary of Illumina (the “</w:t>
      </w:r>
      <w:r>
        <w:rPr>
          <w:rFonts w:ascii="Times New Roman" w:cs="Times New Roman" w:eastAsia="Times New Roman" w:hAnsi="Times New Roman"/>
          <w:sz w:val="18"/>
          <w:szCs w:val="18"/>
          <w:u w:val="single" w:color="auto"/>
          <w:color w:val="auto"/>
        </w:rPr>
        <w:t>Original Transaction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since the closing of the Original Transaction on August 18, 2021, GRAIL has been held and operated separately and independently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Illumina pursuant to the transitional measures ordered by the European Commission in the Divestment Decision (defined below);</w:t>
      </w:r>
    </w:p>
    <w:p>
      <w:pPr>
        <w:spacing w:after="0" w:line="15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October 12, 2023, the European Commission adopted a decision in connection with Case M.10939 requiring Illumina to divest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ownership interest it acquired in GRAIL pursuant to the Original Transaction (the “</w:t>
      </w:r>
      <w:r>
        <w:rPr>
          <w:rFonts w:ascii="Times New Roman" w:cs="Times New Roman" w:eastAsia="Times New Roman" w:hAnsi="Times New Roman"/>
          <w:sz w:val="18"/>
          <w:szCs w:val="18"/>
          <w:u w:val="single" w:color="auto"/>
          <w:color w:val="auto"/>
        </w:rPr>
        <w:t>Divestment Decision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the intention of the Parties that following the Separation and prior to the Distribution, GRAIL will be converted from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liability company into a Delaware corporation in accordance with Section 18-216 of the Delaware Limited Liability Company Act and Section 265 of the Delaware General Corporation Law (the “</w:t>
      </w:r>
      <w:r>
        <w:rPr>
          <w:rFonts w:ascii="Times New Roman" w:cs="Times New Roman" w:eastAsia="Times New Roman" w:hAnsi="Times New Roman"/>
          <w:sz w:val="18"/>
          <w:szCs w:val="18"/>
          <w:u w:val="single" w:color="auto"/>
          <w:color w:val="auto"/>
        </w:rPr>
        <w:t>GRAIL Conversion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Illumina (the “</w:t>
      </w:r>
      <w:r>
        <w:rPr>
          <w:rFonts w:ascii="Times New Roman" w:cs="Times New Roman" w:eastAsia="Times New Roman" w:hAnsi="Times New Roman"/>
          <w:sz w:val="18"/>
          <w:szCs w:val="18"/>
          <w:u w:val="single" w:color="auto"/>
          <w:color w:val="auto"/>
        </w:rPr>
        <w:t>Illumina Board</w:t>
      </w:r>
      <w:r>
        <w:rPr>
          <w:rFonts w:ascii="Times New Roman" w:cs="Times New Roman" w:eastAsia="Times New Roman" w:hAnsi="Times New Roman"/>
          <w:sz w:val="18"/>
          <w:szCs w:val="18"/>
          <w:color w:val="auto"/>
        </w:rPr>
        <w:t>”) determined on careful review and consideration that the separation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GRAIL from Illumina and the establishment of GRAIL as a separate, publicly traded company to operate the GRAIL Business is in the best interests of Illumina;</w:t>
      </w:r>
    </w:p>
    <w:p>
      <w:pPr>
        <w:spacing w:after="0" w:line="171" w:lineRule="exact"/>
        <w:rPr>
          <w:sz w:val="20"/>
          <w:szCs w:val="20"/>
          <w:color w:val="auto"/>
        </w:rPr>
      </w:pPr>
    </w:p>
    <w:p>
      <w:pPr>
        <w:ind w:right="2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furtherance of the foregoing, the Illumina Board has determined that it is appropriate and desirable to separate the GRAIL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from the Illumina Business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and, following the Separation, to make a distribution of the GRAIL Business to the holders of common stock, par value $0.01 per share, of Illumina (the “</w:t>
      </w:r>
      <w:r>
        <w:rPr>
          <w:rFonts w:ascii="Times New Roman" w:cs="Times New Roman" w:eastAsia="Times New Roman" w:hAnsi="Times New Roman"/>
          <w:sz w:val="18"/>
          <w:szCs w:val="18"/>
          <w:u w:val="single" w:color="auto"/>
          <w:color w:val="auto"/>
        </w:rPr>
        <w:t>Illumina Stock</w:t>
      </w:r>
      <w:r>
        <w:rPr>
          <w:rFonts w:ascii="Times New Roman" w:cs="Times New Roman" w:eastAsia="Times New Roman" w:hAnsi="Times New Roman"/>
          <w:sz w:val="18"/>
          <w:szCs w:val="18"/>
          <w:color w:val="auto"/>
        </w:rPr>
        <w:t>”) on the Record Date through the distribution of 85.5% of the outstanding shares of GRAIL Stock to holders of Illumina Stock on the Record Date on a pro rata basis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in each case, on the terms and conditions set forth in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immediately following the Distribution, Illumina will hold 14.5% of the outstanding shares of GRAIL Stock (the “</w:t>
      </w:r>
      <w:r>
        <w:rPr>
          <w:rFonts w:ascii="Times New Roman" w:cs="Times New Roman" w:eastAsia="Times New Roman" w:hAnsi="Times New Roman"/>
          <w:sz w:val="18"/>
          <w:szCs w:val="18"/>
          <w:u w:val="single" w:color="auto"/>
          <w:color w:val="auto"/>
        </w:rPr>
        <w:t>Retained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Illumina and GRAIL have prepared, and GRAIL has filed with the SEC, the Form 10, which includes the Information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which sets forth certain disclosure concerning GRAIL, the Separation and the Distribution;</w:t>
      </w:r>
    </w:p>
    <w:p>
      <w:pPr>
        <w:spacing w:after="0" w:line="15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Illumina and GRAIL has determined that it is appropriate and desirable to set forth in this Agreement certain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will govern certain matters relating to the Separation and the Distribution and the relationship of Illumina, GRAIL and the members of their respective Groups following the Distribution; and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intend that the Distribution, together with certain related transactions, will qualify for the Intended Tax Treatment.</w:t>
      </w:r>
    </w:p>
    <w:p>
      <w:pPr>
        <w:sectPr>
          <w:pgSz w:w="11900" w:h="16838" w:orient="portrait"/>
          <w:cols w:equalWidth="0" w:num="1">
            <w:col w:w="11000"/>
          </w:cols>
          <w:pgMar w:left="440" w:top="266" w:right="45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w:t>
      </w:r>
      <w:r>
        <w:rPr>
          <w:rFonts w:ascii="Times New Roman" w:cs="Times New Roman" w:eastAsia="Times New Roman" w:hAnsi="Times New Roman"/>
          <w:sz w:val="18"/>
          <w:szCs w:val="18"/>
          <w:color w:val="auto"/>
        </w:rPr>
        <w:t>, in consideration of the foregoing and the mutual agreements, provisions and covenants contained in this Agreement,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hereby agree as follows: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the purpose of this Agreement, the following terms shall have the following meanings: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AAA Rules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complaint, petition, hearing, charge, demand, action, claim, dispute, suit, countersuit, arbitration, inquiry, subpoena, proceeding or investigation of any nature (whether criminal, civil, legislative, administrative, regulatory, prosecutorial or otherwise) by or before any Governmental Authority or in any arbitration or mediation tribunal.</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when used with respect to a specified Person, a Person that, directly or indirectly, through one or more intermediaries, controls, is controlled by or is under common control with such specified Person. For the purpose of this Agreement (excluding, for the avoidance of doubt, the definition of “GRAIL Change of Control”),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for purposes of this Agreement and the Ancillary Agreements (i) from and after the Effective Time, no member of the GRAIL Group shall be deemed to be an Affiliate of any member of the Illumina Group, (ii) from and after the Effective Time, no member of the Illumina Group shall be deemed to be an Affiliate of any member of the GRAIL Group and (iii) no member of the GRAIL Group or Illumina Group shall be deemed to be an Affiliate of the Monitoring Trustee or the European Commission.</w:t>
      </w:r>
    </w:p>
    <w:p>
      <w:pPr>
        <w:spacing w:after="0" w:line="19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Computershare Trust Company, N.A., as the distribution agent appointed by Illumina to distribute 85.5% of the outstanding shares of GRAIL Stock to the stockholders of Illumina pursuant to the Distribution.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Financial Report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all Contracts entered into by the Parties or the members of their respective Groups in connection with the Separation, the Distribution and the other transactions contemplated by this Agreement, including the Employee Matters Agreement, the Tax Matters Agreement, the Registration Rights Agreement and the Supply Agreement Amendment.</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Approvals or Notifications</w:t>
      </w:r>
      <w:r>
        <w:rPr>
          <w:rFonts w:ascii="Times New Roman" w:cs="Times New Roman" w:eastAsia="Times New Roman" w:hAnsi="Times New Roman"/>
          <w:sz w:val="18"/>
          <w:szCs w:val="18"/>
          <w:color w:val="auto"/>
        </w:rPr>
        <w:t>” means any consents, waivers, approvals, permits or authorizations to be obtained from, notices, registrations or reports to be submitted to, or other filings to be made with, any third Person, including any Governmental Authority.</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means assets, properties, claims and rights (including goodwill),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 statements of the applicable Person, including rights and benefits pursuant to any contract, license, permit, indenture, note, bond, mortgage, agreement, concession, franchise, instrument, undertaking, commitment, understanding or other arrangement, other than Tax assets (including any Tax items, attributes or rights to receive any Tax refund, credits or other items that cause a reduction in any otherwise required liability for Taxes).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3" w:name="page14"/>
    <w:bookmarkEnd w:id="13"/>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any other day on which banking institutions located in New York, New York are required or authorized by Law to be closed.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oral, implied or other contract, agreement, covenant, lease, license, guaranty, indemnity, representation, warranty, assignment, sales order, purchase order, power of attorney, instrument or other commitment, assurance, undertaking or arrangement that is binding on any Person or entity or any part of its property under applicable Law.</w:t>
      </w:r>
    </w:p>
    <w:p>
      <w:pPr>
        <w:spacing w:after="0" w:line="176"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means that certain Contingent Value Rights Agreement, dated as of August 18, 2021, by and among Illumina, Inc., Computershare Trust Company, N.A., as Trustee, and Shareholder Representative Services LLC, as Holder Representative.</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Liabilities</w:t>
      </w:r>
      <w:r>
        <w:rPr>
          <w:rFonts w:ascii="Times New Roman" w:cs="Times New Roman" w:eastAsia="Times New Roman" w:hAnsi="Times New Roman"/>
          <w:sz w:val="18"/>
          <w:szCs w:val="18"/>
          <w:color w:val="auto"/>
        </w:rPr>
        <w:t>” shall mean any and all obligations of Illumina under the CVR Agreement, including the obligation to make Covered Revenues Payments (as defined in, and pursuant to, the CVR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Claim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shall mean any registration statement (including the Form 10) filed with the SEC by or on behalf of any Party or any member of its Group, and also includes any information statement (including the Information Statement), prospectus, offering memorandum, offering circular, periodic report or similar disclosure document, whether or not filed with the SEC or any other Governmental Authority, in each case which describes the Separation or the Distribution or the GRAIL Group or primarily relates to the transactions contemplated hereby, including the Separation and the Distribution.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Disposal Funding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Disposal Funding Period</w:t>
      </w:r>
      <w:r>
        <w:rPr>
          <w:rFonts w:ascii="Times New Roman" w:cs="Times New Roman" w:eastAsia="Times New Roman" w:hAnsi="Times New Roman"/>
          <w:sz w:val="18"/>
          <w:szCs w:val="18"/>
          <w:color w:val="auto"/>
        </w:rPr>
        <w:t>” shall mean the period beginning at the Effective Time and ending at 12:01 a.m., New York time, on the date which is 30 months after the Distribution Date.</w:t>
      </w:r>
    </w:p>
    <w:p>
      <w:pPr>
        <w:spacing w:after="0" w:line="162" w:lineRule="exact"/>
        <w:rPr>
          <w:sz w:val="20"/>
          <w:szCs w:val="20"/>
          <w:color w:val="auto"/>
        </w:rPr>
      </w:pPr>
    </w:p>
    <w:p>
      <w:pPr>
        <w:jc w:val="both"/>
        <w:ind w:right="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shall mean any dispute, controversy or claim arising out of or relating to this Agreement or the Ancillary Agreements, including with respect to (i) the validity, interpretation, performance, breach or termination thereof or (ii) whether any Asset or Liability not specifically characterized in this Agreement or its Schedules, whose proper characterization is disputed, is a GRAIL Asset, Illumina Asset, GRAIL Liability or Illumina Liability.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 Committee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means the date on which Illumina, through the Agent, distributes 85.5% of the issued and outstanding shares of GRAIL Stock to holders of Illumina Stock in the Distribution.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Divestment Decision</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12:01 a.m. New York time, or such other time as Illumina may determine, on the Distribution Date.</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Matters Agreement</w:t>
      </w:r>
      <w:r>
        <w:rPr>
          <w:rFonts w:ascii="Times New Roman" w:cs="Times New Roman" w:eastAsia="Times New Roman" w:hAnsi="Times New Roman"/>
          <w:sz w:val="18"/>
          <w:szCs w:val="18"/>
          <w:color w:val="auto"/>
        </w:rPr>
        <w:t xml:space="preserve">” means that certain Employee Matters Agreement substantially in the form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A, to be entered into between Illumina and GRAIL or any members of their respective Groups in connection with the Separation, the Distribution or the other transactions contemplated by this Agreement, as such agreement may be modified or amended from time to time in accordance with its terms.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14" w:name="page15"/>
    <w:bookmarkEnd w:id="14"/>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together with the rules and regulations promulgated thereunder, as the same shall be in effect at the time reference is made thereto.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Post-Distribution Report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Period</w:t>
      </w:r>
      <w:r>
        <w:rPr>
          <w:rFonts w:ascii="Times New Roman" w:cs="Times New Roman" w:eastAsia="Times New Roman" w:hAnsi="Times New Roman"/>
          <w:sz w:val="18"/>
          <w:szCs w:val="18"/>
          <w:color w:val="auto"/>
        </w:rPr>
        <w:t>” means each quarterly fiscal period of Illumina (as of the Effective Time, the thirteen (13) or fourteen (14) weeks ending the Sunday closest to March 31, June 30, September 30 or December 31 of any calendar year).</w:t>
      </w:r>
    </w:p>
    <w:p>
      <w:pPr>
        <w:spacing w:after="0" w:line="16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means, with respect to a Party, an event beyond the control of such Party (or any Person acting on its behalf), which by its nature could not have been reasonably foreseen by such Party (or such Person) or, if it could have been reasonably foreseen, was unavoidable, and includes acts of God, storms, floods, riots, labor unrest, pandemics, nuclear incidents, fires, sabotage, civil commotion or civil unrest, interference by civil or military authorities, acts of war (declared or undeclared) or armed hostilities, or other national or international calamity or one or more acts of terrorism or failure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w:t>
      </w:r>
    </w:p>
    <w:p>
      <w:pPr>
        <w:spacing w:after="0" w:line="187" w:lineRule="exact"/>
        <w:rPr>
          <w:sz w:val="20"/>
          <w:szCs w:val="20"/>
          <w:color w:val="auto"/>
        </w:rPr>
      </w:pPr>
    </w:p>
    <w:p>
      <w:pPr>
        <w:ind w:left="4" w:right="1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Form 10</w:t>
      </w:r>
      <w:r>
        <w:rPr>
          <w:rFonts w:ascii="Times New Roman" w:cs="Times New Roman" w:eastAsia="Times New Roman" w:hAnsi="Times New Roman"/>
          <w:sz w:val="17"/>
          <w:szCs w:val="17"/>
          <w:color w:val="auto"/>
        </w:rPr>
        <w:t>” means the registration statement on Form 10-12B (File No. 377-06991) filed by GRAIL with the SEC to effect the registration of the GRAIL Stock pursuant to Section 12(b) of the Exchange Act in connection with the Distribution, including any amendments or supplements thereto.</w:t>
      </w:r>
    </w:p>
    <w:p>
      <w:pPr>
        <w:spacing w:after="0" w:line="140"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means any notices or reports to be submitted to, or other filings to be made with, or any consents, registrations, approvals, permits or authorizations to be obtained from, any Governmental Authority.</w:t>
      </w:r>
    </w:p>
    <w:p>
      <w:pPr>
        <w:spacing w:after="0" w:line="162"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state, province, municipality or other political subdivision thereof, and any entity, body, agency, commission, department, board, bureau, court, tribunal or other instrumentality, whether federal, state, provincial, regional, local, domestic, foreign or multinational, exercising executive, legislative, judicial, regulatory, administrative or other similar functions of, or pertaining to, government and any official thereof.</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Assets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Business</w:t>
      </w:r>
      <w:r>
        <w:rPr>
          <w:rFonts w:ascii="Times New Roman" w:cs="Times New Roman" w:eastAsia="Times New Roman" w:hAnsi="Times New Roman"/>
          <w:sz w:val="18"/>
          <w:szCs w:val="18"/>
          <w:color w:val="auto"/>
        </w:rPr>
        <w:t>” means all businesses and operations (whether or not such businesses or operations are or have been terminated, divested or discontinued) conducted by GRAIL and its Subsidiaries prior to the Effective Time, but not including the business and operations conducted by Illumina and its Subsidiaries (other than GRAIL and its Subsidiaries).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Bylaws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Certificate of Incorporation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GRAIL Change of Control</w:t>
      </w:r>
      <w:r>
        <w:rPr>
          <w:rFonts w:ascii="Times New Roman" w:cs="Times New Roman" w:eastAsia="Times New Roman" w:hAnsi="Times New Roman"/>
          <w:sz w:val="17"/>
          <w:szCs w:val="17"/>
          <w:color w:val="auto"/>
        </w:rPr>
        <w:t>” shall mean (a) the taking of any action by any Person or “group” (within the meaning of the Exchange Act) that results in such Person or “group” becoming the owner, directly or indirectly, beneficially or of record, of outstanding shares of capital stock or other equity or voting interests representing 50% or more of the aggregate voting power of GRAIL (measured by voting power rather than number of shares),</w:t>
      </w:r>
    </w:p>
    <w:p>
      <w:pPr>
        <w:spacing w:after="0" w:line="2" w:lineRule="exact"/>
        <w:rPr>
          <w:sz w:val="20"/>
          <w:szCs w:val="20"/>
          <w:color w:val="auto"/>
        </w:rPr>
      </w:pPr>
    </w:p>
    <w:p>
      <w:pPr>
        <w:ind w:left="4" w:right="260" w:hanging="4"/>
        <w:spacing w:after="0" w:line="255"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lease, transfer, conveyance or other disposition, in one or a series of related transactions, of all or substantially all of the assets of GRAIL and its subsidiaries, taken as a whole, other than sales, leases, transfers, conveyances or other dispositions to a wholly-owned subsidiary of GRAIL, (c) a merger, consolidation,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5" w:name="page16"/>
    <w:bookmarkEnd w:id="15"/>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amalgamation, share exchange, business combination, recapitalization or similar transaction involving GRAIL pursuant to which any of the outstanding aggregate voting power of GRAIL is converted into or exchanged for cash, securities or other property, other than any such transaction where the aggregate voting power of GRAIL outstanding immediately prior to such transaction constitute, or is converted into or exchanged for, a majority of the outstanding aggregate voting power of the surviving person or any direct or indirect parent company of the surviving person immediately after giving effect to such transaction (measured by voting power rather than number of shares) or (d) the adoption of a plan relating to the liquidation or dissolution of GRAIL;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for the avoidance of doubt, no GRAIL Change of Control shall result from any transfer of Retained Stock by Illumina to a Person or “group” (within the meaning of the Exchange Act) which would result in such Person or “group” beneficially owning 50% or more of the aggregate voting power of GRAIL (measured by voting power rather than number of shares), other than any transfer resulting from a merger of GRAIL.</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Change of Control Repayment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Conversion</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Group</w:t>
      </w:r>
      <w:r>
        <w:rPr>
          <w:rFonts w:ascii="Times New Roman" w:cs="Times New Roman" w:eastAsia="Times New Roman" w:hAnsi="Times New Roman"/>
          <w:sz w:val="18"/>
          <w:szCs w:val="18"/>
          <w:color w:val="auto"/>
        </w:rPr>
        <w:t>” means (a) GRAIL and (b) each Subsidiary of GRAIL.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Indemnitees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Liabilities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LLC</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Stock</w:t>
      </w:r>
      <w:r>
        <w:rPr>
          <w:rFonts w:ascii="Times New Roman" w:cs="Times New Roman" w:eastAsia="Times New Roman" w:hAnsi="Times New Roman"/>
          <w:sz w:val="18"/>
          <w:szCs w:val="18"/>
          <w:color w:val="auto"/>
        </w:rPr>
        <w:t>” means the common stock, par value $0.001 per share, of GRAIL following the GRAIL Conversion.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either the Illumina Group or the GRAIL Group, as the context requires.</w:t>
      </w:r>
    </w:p>
    <w:p>
      <w:pPr>
        <w:spacing w:after="0" w:line="225"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Huber Agreement</w:t>
      </w:r>
      <w:r>
        <w:rPr>
          <w:rFonts w:ascii="Times New Roman" w:cs="Times New Roman" w:eastAsia="Times New Roman" w:hAnsi="Times New Roman"/>
          <w:sz w:val="18"/>
          <w:szCs w:val="18"/>
          <w:color w:val="auto"/>
        </w:rPr>
        <w:t>” means that certain Transition Agreement, dated as of October 12, 2017, by and between GRAIL and Jeffrey T. Huber, as amended by the Amendment to Transition Agreement, effective as of August 27, 2020 (and, for the avoidance of doubt, not as otherwise amended, supplemented, restated or otherwise modified).</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Huber Liability</w:t>
      </w:r>
      <w:r>
        <w:rPr>
          <w:rFonts w:ascii="Times New Roman" w:cs="Times New Roman" w:eastAsia="Times New Roman" w:hAnsi="Times New Roman"/>
          <w:sz w:val="18"/>
          <w:szCs w:val="18"/>
          <w:color w:val="auto"/>
        </w:rPr>
        <w:t>” shall mean the obligation to pay the Incentive Award upon the occurrence of the Qualifying Event (each as defined in, and pursuant to, the Huber Agreement) described in Section 6(a)(i) of the Huber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Assets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Business</w:t>
      </w:r>
      <w:r>
        <w:rPr>
          <w:rFonts w:ascii="Times New Roman" w:cs="Times New Roman" w:eastAsia="Times New Roman" w:hAnsi="Times New Roman"/>
          <w:sz w:val="18"/>
          <w:szCs w:val="18"/>
          <w:color w:val="auto"/>
        </w:rPr>
        <w:t>” means all businesses and operations (whether or not such businesses or operations are or have been terminated, divested or discontinued) conducted by Illumina and its Subsidiaries (other than GRAIL and its Subsidiaries) prior to the Effective Time, but not including the business and operations conducted by GRAIL and its Subsidiaries.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Contribution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Group</w:t>
      </w:r>
      <w:r>
        <w:rPr>
          <w:rFonts w:ascii="Times New Roman" w:cs="Times New Roman" w:eastAsia="Times New Roman" w:hAnsi="Times New Roman"/>
          <w:sz w:val="18"/>
          <w:szCs w:val="18"/>
          <w:color w:val="auto"/>
        </w:rPr>
        <w:t>” means (a) Illumina and (b) each Subsidiary of Illumina other than GRAIL and its Subsidiaries.</w:t>
      </w:r>
    </w:p>
    <w:p>
      <w:pPr>
        <w:spacing w:after="0" w:line="225"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Indemnitees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Illumina Liabilities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Stock</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Indemnity 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information, whether or not patentable or copyrightable, in written, oral, electronic or other tangible or intangible forms, stored in any medium and regardless of location (including held by any Person), including technology, formulae, algorithms, procedures, methods, research and development, tools, materials, processes, inventions (whether patentable or unpatentable and whether or not reduced to practice), apparatus, creations, improvements, works of authorship in any media, confidential, proprietary or nonpublic information, all customized applications, completely developed applications and modifications to commercial applications, all recordings, graphs, technical, financial, employee or business information or data, studies, reports, analyses and other writings, records, books, contracts, instruments, surveys, discoveries, ideas, concepts, know-how, techniques, designs, specifications, drawings, blueprints, diagrams, models, prototypes, samples, flow charts, data, computer data, disks, tapes, computer programs or other software, marketing plans, customer names and records, supplier names and records, customer and supplier lists, customer and vendor data or correspondence, communications by or to attorneys (including any Privileged communications), memos and other materials prepared by attorneys or under their direction (including attorney work product), and other financial employee or business information or data, files, papers, tapes, keys, correspondence, plans, invoices, forms, product data and literature, promotional and advertising materials, operating manuals, instructional documents, quality records and regulatory and compliance records.</w:t>
      </w:r>
    </w:p>
    <w:p>
      <w:pPr>
        <w:spacing w:after="0" w:line="19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means the Information Statement attached as an exhibit to the Form 10 and any related documents to be provided to the holders of Illumina Stock in connection with the Distribution, including any amendment or supplement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Insurance Proceeds</w:t>
      </w:r>
      <w:r>
        <w:rPr>
          <w:rFonts w:ascii="Times New Roman" w:cs="Times New Roman" w:eastAsia="Times New Roman" w:hAnsi="Times New Roman"/>
          <w:sz w:val="17"/>
          <w:szCs w:val="17"/>
          <w:color w:val="auto"/>
        </w:rPr>
        <w:t xml:space="preserve">” means those monies: (a) received by an insured Person from any insurer, insurance underwriter, mutual protection and indemnity club or other risk collective; or (b) paid on behalf of an insured Person by any insurer, insurance underwriter, mutual protection and indemnity club or other risk collective, on behalf of the insured, in either such case net of any costs or expenses incurred in the collection thereof and net of any increase in insurance premiums (including retro-premium adjustments);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a captive insurance arrangement, Insurance Proceeds shall only include net amounts received by the captive insurer from a Third Party in respect of any captive reinsurance arrangement.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shall have the meaning set forth in the Tax Matters Agreement.</w:t>
      </w:r>
    </w:p>
    <w:p>
      <w:pPr>
        <w:spacing w:after="0" w:line="225"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Defense and Confidentiality Agreements</w:t>
      </w:r>
      <w:r>
        <w:rPr>
          <w:rFonts w:ascii="Times New Roman" w:cs="Times New Roman" w:eastAsia="Times New Roman" w:hAnsi="Times New Roman"/>
          <w:sz w:val="18"/>
          <w:szCs w:val="18"/>
          <w:color w:val="auto"/>
        </w:rPr>
        <w:t>” means (a) that certain Joint Defense and Confidentiality Agreement, by and among Cravath, Swaine &amp; Moore LLP, Latham &amp; Watkins, LLP and Cleary Gottlieb Steen &amp; Hamilton, LLP, effective as of September 29, 2020, and (b) that certain Joint Defense and Confidentiality Agreement, by and between Illumina and GRAIL effective as of August 15, 2023.</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national, supranational, federal, state, provincial, regional, local or similar law (including common law), statute, code, order, ordinance, rule, regulation, treaty (including any income tax treaty), license, permit, authorization, approval, consent, decree, injunction, binding judicial or administrative interpretation or other legally enforceable requirement, in each case, enacted, promulgated, issued or entered by a Governmental Authority.</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and all indebtedness for borrowed money, guarantees, assurances, commitments, liabilities, responsibilities, Losses, remediation, deficiencies, reimbursement obligations in respect of letters of credit, damages, payments, fines, penalties, claims, settlements, judgments, sanctions, costs, expenses, interest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of any nature or kind, whether accrued or fixed, absolute or contingent, matured or unmatured, accrued or not accrued, asserted or unasserted, liquidated or unliquidated, foreseen or unforeseen, known or unknown, reserved or unreserved, reflected on a balance sheet or otherwise, or determined or determinable, including those arising under any Law, Action (including any Third-Party Claim),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terms of employment, whether imposed or sought to be imposed by a Governmental Authority, another third Person, or a Party, whether based in contract, tort, implied or express warranty, strict liability, criminal or civil statute, or otherwise, in each case, including all costs, expenses, interest, attorneys’ fees, disbursements and expenses of counsel, expert and consulting fees and costs related thereto or to the investigation or defense thereof, in each case (a) including any fines, damages or equitable relief that is imposed in connection therewith and (b) other than Taxes.</w:t>
      </w:r>
    </w:p>
    <w:p>
      <w:pPr>
        <w:spacing w:after="0" w:line="188"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damages, losses (including diminution in value), deficiencies, liabilities, obligations, penalties, judgments, settlements, claims, payments, interest costs, fines and expenses (including the costs and expenses of any and all Actions and assessments, judgments, settlements and compromises relating thereto and attorneys’, accountants’, consultants’ and other professionals’ fees and expenses incurred in the investigation or defense thereof or the enforcement rights hereunder), whether or not involving a Third-Party Claim, other than Taxes.</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Monitoring Trustee</w:t>
      </w:r>
      <w:r>
        <w:rPr>
          <w:rFonts w:ascii="Times New Roman" w:cs="Times New Roman" w:eastAsia="Times New Roman" w:hAnsi="Times New Roman"/>
          <w:sz w:val="18"/>
          <w:szCs w:val="18"/>
          <w:color w:val="auto"/>
        </w:rPr>
        <w:t>” means one or more natural or legal person(s) who is approved by the European Commission and appointed by Illumina, and who has or have the duty to monitor Illumina’s compliance with the Divestment Decision. The initial Monitoring Trustee shall be Mazars LLP.</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NDA Side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Schedule 5.1(c)(i)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Transaction</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or limited partnership, corporation, business trust, joint venture, association, company, limited liability company, unincorporated organization, a limited liability entity, any other entity and any Governmental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shall mean the rate that Bloomberg displays as “Prime Rate by Country United States” on a Bloomberg terminal at PRIMBB Index.</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Information</w:t>
      </w:r>
      <w:r>
        <w:rPr>
          <w:rFonts w:ascii="Times New Roman" w:cs="Times New Roman" w:eastAsia="Times New Roman" w:hAnsi="Times New Roman"/>
          <w:sz w:val="18"/>
          <w:szCs w:val="18"/>
          <w:color w:val="auto"/>
        </w:rPr>
        <w:t>” means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any member of the GRAIL Group or the Illumina Group, respectively, would be entitled to assert or have attorney-client or attorney work product privileges (each a “</w:t>
      </w:r>
      <w:r>
        <w:rPr>
          <w:rFonts w:ascii="Times New Roman" w:cs="Times New Roman" w:eastAsia="Times New Roman" w:hAnsi="Times New Roman"/>
          <w:sz w:val="18"/>
          <w:szCs w:val="18"/>
          <w:u w:val="single" w:color="auto"/>
          <w:color w:val="auto"/>
        </w:rPr>
        <w:t>Privilege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5:00 p.m., New York time, on the date to be determined by the Illumina Board as the record date for determining stockholders of Illumina entitled to receive shares of GRAIL Stock in the Distribution.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means the holders of record of Illumina Stock as of the Record Date.</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that certain Stockholder and Registration Rights Agreement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to be entered into between Illumina and GRAIL in connection with the treatment of the Retained Stock and the other transactions contemplated by this Agreement, as such agreement may be modified or amended from time to time in accordance with its terms.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8" w:name="page19"/>
    <w:bookmarkEnd w:id="18"/>
    <w:p>
      <w:pPr>
        <w:ind w:left="4" w:right="8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any of such Person’s directors, officers, employees, agents, consultants, advisors, accountants, attorneys or other representatives.</w:t>
      </w:r>
    </w:p>
    <w:p>
      <w:pPr>
        <w:spacing w:after="0" w:line="162"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period beginning at the Effective Time and ending at 12:01 a.m., New York time, on the 15-month anniversary of the Distribution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Stock</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Illumina Account</w:t>
      </w:r>
      <w:r>
        <w:rPr>
          <w:rFonts w:ascii="Times New Roman" w:cs="Times New Roman" w:eastAsia="Times New Roman" w:hAnsi="Times New Roman"/>
          <w:sz w:val="18"/>
          <w:szCs w:val="18"/>
          <w:color w:val="auto"/>
        </w:rPr>
        <w:t xml:space="preserve">” means the account with details as set forth on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joint venture or partnership of which such Person</w:t>
      </w:r>
    </w:p>
    <w:p>
      <w:pPr>
        <w:spacing w:after="0" w:line="27" w:lineRule="exact"/>
        <w:rPr>
          <w:sz w:val="20"/>
          <w:szCs w:val="20"/>
          <w:color w:val="auto"/>
        </w:rPr>
      </w:pPr>
    </w:p>
    <w:p>
      <w:pPr>
        <w:ind w:left="4" w:right="200" w:hanging="4"/>
        <w:spacing w:after="0" w:line="253"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or controls, either directly or indirectly, more than fifty percent (50%) of (i) the total combined voting power of all classes of voting securities of such Person, (ii) the total combined equity interests of such Person or (iii) the capital or profit interests, in the case of a partnership of such Person, or (b) otherwise has the power to vote, either directly or indirectly, sufficient securities to elect a majority of the board of directors or similar governing body of such Person. For the avoidance of doubt, references to the Subsidiaries of Illumina shall not include GRAIL and its Subsidiaries from and after the Effective Time.</w:t>
      </w:r>
    </w:p>
    <w:p>
      <w:pPr>
        <w:spacing w:after="0" w:line="187"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Supply Agreement</w:t>
      </w:r>
      <w:r>
        <w:rPr>
          <w:rFonts w:ascii="Times New Roman" w:cs="Times New Roman" w:eastAsia="Times New Roman" w:hAnsi="Times New Roman"/>
          <w:sz w:val="18"/>
          <w:szCs w:val="18"/>
          <w:color w:val="auto"/>
        </w:rPr>
        <w:t>” means that certain Amended and Restated Supply and Commercialization Agreement, effective as of February 28, 2017, by and between Illumina and GRAIL, as amended by the First Amendment to Amended and Restated Supply and Commercialization Agreement, effective as of September 27, 2017, the Second Amendment to Amended and Restated Supply and Commercialization Agreement, effective as of August 18, 2021, and the Third Amendment to Amended and Restated Supply and Commercialization Agreement, effective as of May 18, 2023.</w:t>
      </w:r>
    </w:p>
    <w:p>
      <w:pPr>
        <w:spacing w:after="0" w:line="180"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Supply Agreement Amendment</w:t>
      </w:r>
      <w:r>
        <w:rPr>
          <w:rFonts w:ascii="Times New Roman" w:cs="Times New Roman" w:eastAsia="Times New Roman" w:hAnsi="Times New Roman"/>
          <w:sz w:val="18"/>
          <w:szCs w:val="18"/>
          <w:color w:val="auto"/>
        </w:rPr>
        <w:t xml:space="preserve">” means that certain Fourth Amendment to the Supply Agreement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to be entered into between Illumina and GRAIL in connection with the transactions contemplated by this Agreement, providing for the irrevocable waiver of certain payment obligations of GRAIL to Illumina in certain circumstances specified therein, as such agreement may be modified or amended from time to time in accordance with its terms.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shall have the meaning set forth in the Tax Matters Agreement.</w:t>
      </w:r>
    </w:p>
    <w:p>
      <w:pPr>
        <w:spacing w:after="0" w:line="225" w:lineRule="exact"/>
        <w:rPr>
          <w:sz w:val="20"/>
          <w:szCs w:val="20"/>
          <w:color w:val="auto"/>
        </w:rPr>
      </w:pPr>
    </w:p>
    <w:p>
      <w:pPr>
        <w:jc w:val="both"/>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Matters Agreement</w:t>
      </w:r>
      <w:r>
        <w:rPr>
          <w:rFonts w:ascii="Times New Roman" w:cs="Times New Roman" w:eastAsia="Times New Roman" w:hAnsi="Times New Roman"/>
          <w:sz w:val="18"/>
          <w:szCs w:val="18"/>
          <w:color w:val="auto"/>
        </w:rPr>
        <w:t xml:space="preserve">” means that certain Tax Matters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to be entered into between Illumina and GRAIL in connection with the Separation, the Distribution or the other transactions contemplated by this Agreement, as such agreement may be modified or amended from time to time in accordance with its terms.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In this Agreement and any Ancillary Agreement, (a) words in the singular shall be deemed to include the plural and vice versa and words of one gender shall be deemed to include the other genders as the context requires; (b) the terms “hereof,” “herein,” “herewith” and words of similar import, and the terms “Agreement” and “Ancillary Agreement” shall, unless otherwise stated, be construed to refer to this Agreement or the applicable Ancillary Agreement as a whole (including all of the Schedules, Exhibits, Annexes and</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19" w:name="page20"/>
    <w:bookmarkEnd w:id="1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Appendices hereto and thereto) and not to any particular provision of this Agreement or such Ancillary Agreement; (c) Article, Section, Exhibit, Schedule and Appendix references are to the Articles, Sections, Exhibits, Schedules and Appendices to this Agreement (or the applicable Ancillary Agreement) unless otherwise specified; (d) the word “including” and words of similar import when used in this Agreement (or the applicable Ancillary Agreement) shall mean “including, without limitation”; (e) the word “or” shall not be exclusive; (f) unless expressly stated to the contrary in this Agreement, all references to “the date hereof,” “the date of this Agreement,” and words of similar import shall all be references to the date first stated in the preamble to this Agreement, regardless of any amendment or restatement hereof; (g) unless otherwise provided, all references to “$” or “dollars” are to United States dollars; (h) references to the performance, discharge or fulfillment of any Liability in accordance with its terms shall have meaning only to the extent such Liability has terms, and if the Liability does not have terms, the reference shall mean performance, discharge or fulfillment of such Liability; (i)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(j) references to a Person are also to its permitted successors and assigns; (k) the table of contents and headings for this Agreement are for reference purposes only and do not affect in any way the meaning or interpretation of this Agreement or the applicable Ancillary Agreement; (l) all terms defined in this Agreement have the defined meanings when used in any certificate or other document delivered or made available pursuant hereto, unless otherwise defined therein; (m) references to “day” or “days” are to calendar days unless otherwise specified; and (n) when calculating the period of time before which, within which or following which any act is to be done or step taken pursuant to this Agreement, the date that is the reference date in calculating such period shall be excluded.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SEPARATION</w:t>
      </w:r>
    </w:p>
    <w:p>
      <w:pPr>
        <w:spacing w:after="0" w:line="225"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u w:val="single" w:color="auto"/>
          <w:color w:val="auto"/>
        </w:rPr>
        <w:t>Allocation of GRAIL Assets, Illumina Assets, GRAIL Liabilities and Illumina Liabilities</w:t>
      </w:r>
      <w:r>
        <w:rPr>
          <w:rFonts w:ascii="Times New Roman" w:cs="Times New Roman" w:eastAsia="Times New Roman" w:hAnsi="Times New Roman"/>
          <w:sz w:val="18"/>
          <w:szCs w:val="18"/>
          <w:color w:val="auto"/>
        </w:rPr>
        <w:t>. (a) Following the Separation, GRAIL shall retain all Assets held by the members of its Group as of the Separation, which, for the avoidance of doubt, shall not include any Assets retained by Illumina (collectively, the “</w:t>
      </w:r>
      <w:r>
        <w:rPr>
          <w:rFonts w:ascii="Times New Roman" w:cs="Times New Roman" w:eastAsia="Times New Roman" w:hAnsi="Times New Roman"/>
          <w:sz w:val="18"/>
          <w:szCs w:val="18"/>
          <w:u w:val="single" w:color="auto"/>
          <w:color w:val="auto"/>
        </w:rPr>
        <w:t>GRAIL Assets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60" w:firstLine="987"/>
        <w:spacing w:after="0" w:line="282"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Illumina shall retain all Assets held by the members of its Group as of the Separation (collectively, the “</w:t>
      </w:r>
      <w:r>
        <w:rPr>
          <w:rFonts w:ascii="Times New Roman" w:cs="Times New Roman" w:eastAsia="Times New Roman" w:hAnsi="Times New Roman"/>
          <w:sz w:val="18"/>
          <w:szCs w:val="18"/>
          <w:u w:val="single" w:color="auto"/>
          <w:color w:val="auto"/>
        </w:rPr>
        <w:t>Illumina Assets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Separation, GRAIL shall retain any and all Liabilities (including any Liabilities based upon, relating to or arising out of the Huber Agreement but subject to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held by the members of its Group as of the Separation, which, for the avoidance of doubt, shall not include any Liabilities retained by Illumina, and any and all Liabilities that are expressly provided by this Agreement or any Ancillary Agreement as Liabilities to be assumed by GRAIL or any other member of the GRAIL Group, and all agreements, obligations, and Liabilities of any member of the GRAIL Group under this Agreement or any of the Ancillary Agreements (collectively, the “</w:t>
      </w:r>
      <w:r>
        <w:rPr>
          <w:rFonts w:ascii="Times New Roman" w:cs="Times New Roman" w:eastAsia="Times New Roman" w:hAnsi="Times New Roman"/>
          <w:sz w:val="18"/>
          <w:szCs w:val="18"/>
          <w:u w:val="single" w:color="auto"/>
          <w:color w:val="auto"/>
        </w:rPr>
        <w:t>GRAIL Liabilities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Illumina shall retain any and all Liabilities (including the CVR Liabilities) held by the members of its Group as of the Separation other than the GRAIL Liabilities and any and all Liabilities that are expressly provided by this Agreement or any Ancillary Agreement as Liabilities to be assumed by Illumina or any other member of the Illumina Group, and all agreements, obligations, and Liabilities of any member of the Illumina Group under this Agreement or any of the Ancillary Agreements (collectively, the “</w:t>
      </w:r>
      <w:r>
        <w:rPr>
          <w:rFonts w:ascii="Times New Roman" w:cs="Times New Roman" w:eastAsia="Times New Roman" w:hAnsi="Times New Roman"/>
          <w:sz w:val="18"/>
          <w:szCs w:val="18"/>
          <w:u w:val="single" w:color="auto"/>
          <w:color w:val="auto"/>
        </w:rPr>
        <w:t>Illumina Liabilities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0" w:firstLine="987"/>
        <w:spacing w:after="0" w:line="266"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Separation, Illumina shall not transfer any Liabilities to the GRAIL Group or transfer any Assets from the GRAIL Group without the written consent of GRAIL unless expressly required or expressly contemplated by an Ancillary Agreement or the Divestment Decision.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Times New Roman" w:cs="Times New Roman" w:eastAsia="Times New Roman" w:hAnsi="Times New Roman"/>
          <w:sz w:val="18"/>
          <w:szCs w:val="18"/>
          <w:b w:val="1"/>
          <w:bCs w:val="1"/>
          <w:u w:val="single" w:color="auto"/>
          <w:color w:val="auto"/>
        </w:rPr>
        <w:t>Misdirected Payments</w:t>
      </w:r>
      <w:r>
        <w:rPr>
          <w:rFonts w:ascii="Times New Roman" w:cs="Times New Roman" w:eastAsia="Times New Roman" w:hAnsi="Times New Roman"/>
          <w:sz w:val="18"/>
          <w:szCs w:val="18"/>
          <w:color w:val="auto"/>
        </w:rPr>
        <w:t xml:space="preserve">. Following the Separation, as between GRAIL and Illumina (for purposes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each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Party</w:t>
      </w:r>
      <w:r>
        <w:rPr>
          <w:rFonts w:ascii="Times New Roman" w:cs="Times New Roman" w:eastAsia="Times New Roman" w:hAnsi="Times New Roman"/>
          <w:sz w:val="18"/>
          <w:szCs w:val="18"/>
          <w:color w:val="auto"/>
        </w:rPr>
        <w:t>”) (and the members of their respective Groups), all payments made to and reimbursements received by either Specified Party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its Group), in each case after the Effective Time, that arise out of an obligation in respect of a business, Asset or Liability of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Party (or any member of such other Specified Party’s Group) and that were intended to be sent to a member of the other Group,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(and in any event within five (5) Business Days) delivered to the other Specified Party, and until such delivery held in trust by the recipient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Party for the use and benefit of the other Specified Party (or member of such other Specified Party’s Group entitled thereto) (at the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party entitled thereto). Notwithstanding the foregoing, neither Specified Party (nor any of the members of its Group) shall act as collection agent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Specified Party (or any of the members of its Group), nor shall either Specified Party (or any members of its Group) act as surety or endorser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non-sufficient funds checks, or funds to be returned in a bankruptcy or fraudulent conveyance action.</w:t>
      </w:r>
    </w:p>
    <w:p>
      <w:pPr>
        <w:spacing w:after="0" w:line="20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u w:val="single" w:color="auto"/>
          <w:color w:val="auto"/>
        </w:rPr>
        <w:t>Disclaimer of Representations and Warranties</w:t>
      </w:r>
      <w:r>
        <w:rPr>
          <w:rFonts w:ascii="Times New Roman" w:cs="Times New Roman" w:eastAsia="Times New Roman" w:hAnsi="Times New Roman"/>
          <w:sz w:val="18"/>
          <w:szCs w:val="18"/>
          <w:color w:val="auto"/>
        </w:rPr>
        <w:t xml:space="preserve">. EACH OF ILLUMINA (ON BEHALF OF ITSELF AND EACH MEMBER OF THE ILLUMINA GROUP) AND GRAIL (ON BEHALF OF ITSELF AND EACH MEMBER OF THE GRAIL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THE ASSETS, BUSINESSES OR LIABILITIES TRANSFERRED, ASSUMED OR LICENSED AS CONTEMPLATED HEREBY OR THEREBY (INCLUDING ANY ASSETS, BUSINESSES OR LIABILITIES TRANSFERRED, ASSUMED OR LICENSED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AS TO WARRANTIES OF MERCHANTABILITY OR FITNESS FOR A PARTICULAR PURPOSE, AS TO ANY CONSENTS OR APPROVALS REQUIRED IN CONNECTION THEREWITH, AS TO THE VALUE OR FREEDOM FROM ANY SECURITY INTERESTS OF, OR ANY OTHER MATTER CONCERNING, ANY ASSETS OF SUCH PARTY, AS TO, IN THE CASE OF INTELLECTUAL PROPERTY, NON-INFRINGEMENT OR ANY WARRANTY THAT ANY SUCH INTELLECTUAL PROPERTY IS “ERROR FREE,” OR AS TO THE ABSENCE OF ANY DEFENSES OR RIGHT OF SET-OFF OR FREEDOM FROM COUNTERCLAIM WITH RESPECT TO ANY CLAIM OR OTHER ASSET, INCLUDING ANY ACCOUNTS RECEIVABLE, OF ANY PARTY, OR AS TO THE LEGAL SUFFICIENCY OF ANY ASSIGNMENT, DOCUMENT OR INSTRUMENT DELIVERED HEREUNDER TO CONVEY TITLE TO ANY ASSET OR THING OF VALUE UPON THE EXECUTION, DELIVERY AND FILING HEREOF OR THEREOF. EXCEPT AS MAY EXPRESSLY BE SET FORTH HEREIN OR IN ANY ANCILLARY AGREEMENT, ALL SUCH ASSETS ARE BEING TRANSFERRED OR LICENSED, AS APPLICABLE, ON AN “AS IS,” “WHERE IS” BASIS (AND, IN THE CASE OF ANY REAL PROPERTY, EXCEPT AS OTHERWISE AGREED, BY MEANS OF A QUITCLAIM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DISPOSAL FUNDING</w:t>
      </w:r>
    </w:p>
    <w:p>
      <w:pPr>
        <w:spacing w:after="0" w:line="225" w:lineRule="exact"/>
        <w:rPr>
          <w:sz w:val="20"/>
          <w:szCs w:val="20"/>
          <w:color w:val="auto"/>
        </w:rPr>
      </w:pPr>
    </w:p>
    <w:p>
      <w:pPr>
        <w:ind w:right="5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u w:val="single" w:color="auto"/>
          <w:color w:val="auto"/>
        </w:rPr>
        <w:t>Contribution of Disposal Funding</w:t>
      </w:r>
      <w:r>
        <w:rPr>
          <w:rFonts w:ascii="Times New Roman" w:cs="Times New Roman" w:eastAsia="Times New Roman" w:hAnsi="Times New Roman"/>
          <w:sz w:val="18"/>
          <w:szCs w:val="18"/>
          <w:color w:val="auto"/>
        </w:rPr>
        <w:t>. At or prior to the Effective Time, Illumina shall, by wire transfer of same-day funds to an account designated in writing by GRAIL, contribute to GRAIL an amount (the “</w:t>
      </w:r>
      <w:r>
        <w:rPr>
          <w:rFonts w:ascii="Times New Roman" w:cs="Times New Roman" w:eastAsia="Times New Roman" w:hAnsi="Times New Roman"/>
          <w:sz w:val="18"/>
          <w:szCs w:val="18"/>
          <w:u w:val="single" w:color="auto"/>
          <w:color w:val="auto"/>
        </w:rPr>
        <w:t>Illumina Contribution Amount</w:t>
      </w:r>
      <w:r>
        <w:rPr>
          <w:rFonts w:ascii="Times New Roman" w:cs="Times New Roman" w:eastAsia="Times New Roman" w:hAnsi="Times New Roman"/>
          <w:sz w:val="18"/>
          <w:szCs w:val="18"/>
          <w:color w:val="auto"/>
        </w:rPr>
        <w:t xml:space="preserve">”), in cash, (a)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xml:space="preserve"> (such amount, the “</w:t>
      </w:r>
      <w:r>
        <w:rPr>
          <w:rFonts w:ascii="Times New Roman" w:cs="Times New Roman" w:eastAsia="Times New Roman" w:hAnsi="Times New Roman"/>
          <w:sz w:val="18"/>
          <w:szCs w:val="18"/>
          <w:u w:val="single" w:color="auto"/>
          <w:color w:val="auto"/>
        </w:rPr>
        <w:t>Disposal Funding</w:t>
      </w:r>
      <w:r>
        <w:rPr>
          <w:rFonts w:ascii="Times New Roman" w:cs="Times New Roman" w:eastAsia="Times New Roman" w:hAnsi="Times New Roman"/>
          <w:sz w:val="18"/>
          <w:szCs w:val="18"/>
          <w:color w:val="auto"/>
        </w:rPr>
        <w:t>”), less (b) any cash held by GRAIL at the Effective Time.</w:t>
      </w:r>
    </w:p>
    <w:p>
      <w:pPr>
        <w:spacing w:after="0" w:line="171"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xml:space="preserve">. (a) In the event that, during the Restricted Period and not in connection with a GRAIL Change of Control (in relation to which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exclusively applies), GRAIL (i) pays any dividend on, or makes any other distribution in respect of, any shares of its capital stock or other equity or voting interests (other than a stock dividend or a stock split), or otherwise consummates a return of capital from GRAIL to any of its equityholders or (ii) redeems, purchases or otherwise acquires any of its outstanding shares of capital stock or other equity or voting interests (in each case for this clause (ii), other than the acquisition of any shares in order to effectuate a “net settlement” transaction for the purposes of satisfying Tax withholding obligations arising in connection with the grant, vesting, exercise and/or settlement of any outstanding incentive equity awards of GRAIL held by its current or former employees) (clauses (i) and (ii), together, “</w:t>
      </w:r>
      <w:r>
        <w:rPr>
          <w:rFonts w:ascii="Times New Roman" w:cs="Times New Roman" w:eastAsia="Times New Roman" w:hAnsi="Times New Roman"/>
          <w:sz w:val="18"/>
          <w:szCs w:val="18"/>
          <w:u w:val="single" w:color="auto"/>
          <w:color w:val="auto"/>
        </w:rPr>
        <w:t>Specified Transactions</w:t>
      </w:r>
      <w:r>
        <w:rPr>
          <w:rFonts w:ascii="Times New Roman" w:cs="Times New Roman" w:eastAsia="Times New Roman" w:hAnsi="Times New Roman"/>
          <w:sz w:val="18"/>
          <w:szCs w:val="18"/>
          <w:color w:val="auto"/>
        </w:rPr>
        <w:t xml:space="preserve">”), then GRAIL shall, subject to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by wire transfer of same-day funds to the Specified Illumina Account or such other account designated in writing by Illumina prior to such date, simultaneously with taking such action, pay to Illumina or cause to be paid to Illumina a cash amount equal to, without duplication, the aggregate amount of payments to equityholders as a result of or in connection with such Specified Transactions.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21" w:name="page22"/>
    <w:bookmarkEnd w:id="21"/>
    <w:p>
      <w:pPr>
        <w:ind w:right="80" w:firstLine="987"/>
        <w:spacing w:after="0" w:line="254"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Concurrently with the consummation of a GRAIL Change of Control during the Restricted Period (or within five (5) Business Days of GRAIL becoming aware of the consummation of such GRAIL Change of Control if the GRAIL Group had not previously entered into a Contract with respect to such GRAIL Change of Control transaction), GRAIL shall, subject to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by wire transfer of same-day funds to the Specified Illumina Account or such other account designated in writing by Illumina prior to such date, pay to Illumina or cause to be paid to Illumina a cash amount equal to (i) 0.5 multiplied by (ii) (A) the product of (x) the aggregate amount of Disposal Funding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xml:space="preserve"> and (y) the difference of 15 minus the number of months (prorated for any partial month) which have elapsed since the Distribution Date at the time of the public announcement of the event giving rise to the GRAIL Change of Control (e.g., the public announcement accompanying the execution of an acquisition agreement by GRAIL), divided by (B) 15 (any such payment, a “</w:t>
      </w:r>
      <w:r>
        <w:rPr>
          <w:rFonts w:ascii="Times New Roman" w:cs="Times New Roman" w:eastAsia="Times New Roman" w:hAnsi="Times New Roman"/>
          <w:sz w:val="18"/>
          <w:szCs w:val="18"/>
          <w:u w:val="single" w:color="auto"/>
          <w:color w:val="auto"/>
        </w:rPr>
        <w:t>GRAIL Change of Control Repayment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GRAIL shall immediately notify Illumina of the consummation of a GRAIL Change of Control (or promptly, but in any event within forty-eighty (48) hours after becoming aware of such fact).</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GRAIL be required to pay or cause to be paid to Illumina aggregate amounts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that exceed the Illumina Contribution Amount. Upon the payment in full of a GRAIL Change of Control Repayment, GRAIL or any successor entity thereto shall have no further payment obligations to Illumina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60" w:firstLine="987"/>
        <w:spacing w:after="0" w:line="254"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that (i) the agreements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are an integral part of this Agreement, (ii) the agreements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are neither a penalty nor liquidated damages, but rather are meant to compensate Illumina if GRAIL uses the Disposal Funding for a purpose inconsistent with the aims of the Divestment Decision, (iii) the agreements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have been expressly approved by the European Commission as satisfying the goals of the Divestment Decision and (iv) without these agreements, the other Party would not enter into this Agreement. Accordingly, each Party agrees that it will not, directly or indirectly, contest the validity or enforceability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on any grounds, including as being against public policy, as having been improperly induced or otherwise, whether by the initiation of any Action for such purpose or the intervention, participation or attempted intervention or participation in any manner in any other Action initiated by another Person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COMPLETION OF THE DISTRIBUTION</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u w:val="single" w:color="auto"/>
          <w:color w:val="auto"/>
        </w:rPr>
        <w:t>Actions Prior to the Distribution</w:t>
      </w:r>
      <w:r>
        <w:rPr>
          <w:rFonts w:ascii="Times New Roman" w:cs="Times New Roman" w:eastAsia="Times New Roman" w:hAnsi="Times New Roman"/>
          <w:sz w:val="18"/>
          <w:szCs w:val="18"/>
          <w:color w:val="auto"/>
        </w:rPr>
        <w:t>. Prior to the Effective Time, subject to the terms and conditions set forth herein, the Parties shall take, or cause to be taken, the following actions in connection with the Distribution:</w:t>
      </w:r>
    </w:p>
    <w:p>
      <w:pPr>
        <w:spacing w:after="0" w:line="49" w:lineRule="exact"/>
        <w:rPr>
          <w:sz w:val="20"/>
          <w:szCs w:val="20"/>
          <w:color w:val="auto"/>
        </w:rPr>
      </w:pPr>
    </w:p>
    <w:p>
      <w:pPr>
        <w:ind w:right="140" w:firstLine="987"/>
        <w:spacing w:after="0" w:line="284"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to Nasdaq</w:t>
      </w:r>
      <w:r>
        <w:rPr>
          <w:rFonts w:ascii="Times New Roman" w:cs="Times New Roman" w:eastAsia="Times New Roman" w:hAnsi="Times New Roman"/>
          <w:sz w:val="18"/>
          <w:szCs w:val="18"/>
          <w:color w:val="auto"/>
        </w:rPr>
        <w:t>. Illumina shall, to the extent possible, give Nasdaq not less than ten (10) days’ advance notice of the Record Date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Rule 10b-17 under the Exchange Act.</w:t>
      </w:r>
    </w:p>
    <w:p>
      <w:pPr>
        <w:spacing w:after="0" w:line="158"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Law Matters</w:t>
      </w:r>
      <w:r>
        <w:rPr>
          <w:rFonts w:ascii="Times New Roman" w:cs="Times New Roman" w:eastAsia="Times New Roman" w:hAnsi="Times New Roman"/>
          <w:sz w:val="18"/>
          <w:szCs w:val="18"/>
          <w:color w:val="auto"/>
        </w:rPr>
        <w:t>. GRAIL shall file with the SEC any amendments or supplements to the Form 10 as may be necessary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advisable in order to cause the Form 10 to become and remain effective as required by the SEC or federal, state or other applicable securities Laws. Illumina and GRAIL shall cooperate in preparing, filing with the SEC and causing to become effective registration statements or amendments thereof which are required to reflect the establishment of, or amendments to, any employee benefit and other plans necessary or advisable in connection with the transactions contemplated by this Agreement and the Ancillary Agreements. Illumina and GRAIL shall take all such action as may be necessary or advisable under the securities or “blue sky” Laws of the United States (and any comparable Laws under any non-U.S. jurisdiction) in connection with the transactions contemplated by this Agreement and the Ancillary Agreements.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2" w:name="page23"/>
    <w:bookmarkEnd w:id="22"/>
    <w:p>
      <w:pPr>
        <w:ind w:left="-40" w:right="80" w:firstLine="987"/>
        <w:spacing w:after="0" w:line="267" w:lineRule="auto"/>
        <w:tabs>
          <w:tab w:leader="none" w:pos="11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Availability of Information Statement</w:t>
      </w:r>
      <w:r>
        <w:rPr>
          <w:rFonts w:ascii="Times New Roman" w:cs="Times New Roman" w:eastAsia="Times New Roman" w:hAnsi="Times New Roman"/>
          <w:sz w:val="18"/>
          <w:szCs w:val="18"/>
          <w:color w:val="auto"/>
        </w:rPr>
        <w:t>. Illumina shall, as soon as is reasonably practicable after the Form 10 is declared effective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Act and the Illumina Board has approved the Distribution, cause the Information Statement to be mailed to the Record Holders or, in connection with the delivery of a notice of Internet availability of the Information Statement to such holders, posted on the Internet.</w:t>
      </w:r>
    </w:p>
    <w:p>
      <w:pPr>
        <w:spacing w:after="0" w:line="173" w:lineRule="exact"/>
        <w:rPr>
          <w:rFonts w:ascii="Times New Roman" w:cs="Times New Roman" w:eastAsia="Times New Roman" w:hAnsi="Times New Roman"/>
          <w:sz w:val="18"/>
          <w:szCs w:val="18"/>
          <w:color w:val="auto"/>
        </w:rPr>
      </w:pPr>
    </w:p>
    <w:p>
      <w:pPr>
        <w:ind w:left="-40" w:right="40" w:firstLine="987"/>
        <w:spacing w:after="0" w:line="284" w:lineRule="auto"/>
        <w:tabs>
          <w:tab w:leader="none" w:pos="12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Distribution Agent</w:t>
      </w:r>
      <w:r>
        <w:rPr>
          <w:rFonts w:ascii="Times New Roman" w:cs="Times New Roman" w:eastAsia="Times New Roman" w:hAnsi="Times New Roman"/>
          <w:sz w:val="18"/>
          <w:szCs w:val="18"/>
          <w:color w:val="auto"/>
        </w:rPr>
        <w:t>. Illumina shall enter into a distribution agent agreement with the Agent or otherwise provide instructions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regarding the Distribution.</w:t>
      </w:r>
    </w:p>
    <w:p>
      <w:pPr>
        <w:spacing w:after="0" w:line="158" w:lineRule="exact"/>
        <w:rPr>
          <w:rFonts w:ascii="Times New Roman" w:cs="Times New Roman" w:eastAsia="Times New Roman" w:hAnsi="Times New Roman"/>
          <w:sz w:val="18"/>
          <w:szCs w:val="18"/>
          <w:color w:val="auto"/>
        </w:rPr>
      </w:pPr>
    </w:p>
    <w:p>
      <w:pPr>
        <w:ind w:left="-40" w:firstLine="987"/>
        <w:spacing w:after="0" w:line="267" w:lineRule="auto"/>
        <w:tabs>
          <w:tab w:leader="none" w:pos="11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Illumina and GRAIL shall take all actions as may be necessary to approve the treatment of any stock-based compensation, or compensation convertible into stock-based compensation, held by directors and executive officers of GRAIL in connection with the Distribution in order to satisfy the requirements of Rule 16b-3 under the Exchange Act.</w:t>
      </w:r>
    </w:p>
    <w:p>
      <w:pPr>
        <w:spacing w:after="0" w:line="173" w:lineRule="exact"/>
        <w:rPr>
          <w:rFonts w:ascii="Times New Roman" w:cs="Times New Roman" w:eastAsia="Times New Roman" w:hAnsi="Times New Roman"/>
          <w:sz w:val="18"/>
          <w:szCs w:val="18"/>
          <w:color w:val="auto"/>
        </w:rPr>
      </w:pPr>
    </w:p>
    <w:p>
      <w:pPr>
        <w:jc w:val="both"/>
        <w:ind w:left="-40" w:right="400" w:firstLine="987"/>
        <w:spacing w:after="0" w:line="267" w:lineRule="auto"/>
        <w:tabs>
          <w:tab w:leader="none" w:pos="1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 Illumina and GRAIL shall complete the GRAIL Conversion and take all necessary action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required to provide for the adoption by GRAIL of its Certificate of Incorporation and Bylaws, substantially in the form attached as </w:t>
      </w:r>
      <w:r>
        <w:rPr>
          <w:rFonts w:ascii="Times New Roman" w:cs="Times New Roman" w:eastAsia="Times New Roman" w:hAnsi="Times New Roman"/>
          <w:sz w:val="18"/>
          <w:szCs w:val="18"/>
          <w:u w:val="single" w:color="auto"/>
          <w:color w:val="auto"/>
        </w:rPr>
        <w:t>Exhibits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GRAIL Certificate of Incorporation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GRAIL Bylaws</w:t>
      </w:r>
      <w:r>
        <w:rPr>
          <w:rFonts w:ascii="Times New Roman" w:cs="Times New Roman" w:eastAsia="Times New Roman" w:hAnsi="Times New Roman"/>
          <w:sz w:val="18"/>
          <w:szCs w:val="18"/>
          <w:color w:val="auto"/>
        </w:rPr>
        <w:t>”), respectively, of the Form 10.</w:t>
      </w:r>
    </w:p>
    <w:p>
      <w:pPr>
        <w:spacing w:after="0" w:line="173" w:lineRule="exact"/>
        <w:rPr>
          <w:rFonts w:ascii="Times New Roman" w:cs="Times New Roman" w:eastAsia="Times New Roman" w:hAnsi="Times New Roman"/>
          <w:sz w:val="18"/>
          <w:szCs w:val="18"/>
          <w:color w:val="auto"/>
        </w:rPr>
      </w:pPr>
    </w:p>
    <w:p>
      <w:pPr>
        <w:ind w:left="-40" w:right="60" w:firstLine="987"/>
        <w:spacing w:after="0" w:line="284" w:lineRule="auto"/>
        <w:tabs>
          <w:tab w:leader="none" w:pos="12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and Directors</w:t>
      </w:r>
      <w:r>
        <w:rPr>
          <w:rFonts w:ascii="Times New Roman" w:cs="Times New Roman" w:eastAsia="Times New Roman" w:hAnsi="Times New Roman"/>
          <w:sz w:val="18"/>
          <w:szCs w:val="18"/>
          <w:color w:val="auto"/>
        </w:rPr>
        <w:t>. The Parties shall take all necessary action so that, effective as of the Effective Time, the executive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GRAIL will be as set forth in the Information Statement.</w:t>
      </w:r>
    </w:p>
    <w:p>
      <w:pPr>
        <w:spacing w:after="0" w:line="158" w:lineRule="exact"/>
        <w:rPr>
          <w:rFonts w:ascii="Times New Roman" w:cs="Times New Roman" w:eastAsia="Times New Roman" w:hAnsi="Times New Roman"/>
          <w:sz w:val="18"/>
          <w:szCs w:val="18"/>
          <w:color w:val="auto"/>
        </w:rPr>
      </w:pPr>
    </w:p>
    <w:p>
      <w:pPr>
        <w:ind w:left="-40" w:right="200" w:firstLine="987"/>
        <w:spacing w:after="0" w:line="284" w:lineRule="auto"/>
        <w:tabs>
          <w:tab w:leader="none" w:pos="12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Satisfying Conditions to the Distribution</w:t>
      </w:r>
      <w:r>
        <w:rPr>
          <w:rFonts w:ascii="Times New Roman" w:cs="Times New Roman" w:eastAsia="Times New Roman" w:hAnsi="Times New Roman"/>
          <w:sz w:val="18"/>
          <w:szCs w:val="18"/>
          <w:color w:val="auto"/>
        </w:rPr>
        <w:t>. Illumina and GRAIL shall cooperate to cause the conditions to the Distribution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to be satisfied and to effect the Distribution at the Effective Time.</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b w:val="1"/>
          <w:bCs w:val="1"/>
          <w:u w:val="single" w:color="auto"/>
          <w:color w:val="auto"/>
        </w:rPr>
        <w:t>Effecting the Distribution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0" w:right="580" w:firstLine="987"/>
        <w:spacing w:after="0" w:line="315" w:lineRule="auto"/>
        <w:tabs>
          <w:tab w:leader="none" w:pos="1206"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Delivery of GRAIL Stock</w:t>
      </w:r>
      <w:r>
        <w:rPr>
          <w:rFonts w:ascii="Times New Roman" w:cs="Times New Roman" w:eastAsia="Times New Roman" w:hAnsi="Times New Roman"/>
          <w:sz w:val="17"/>
          <w:szCs w:val="17"/>
          <w:color w:val="auto"/>
        </w:rPr>
        <w:t>. On or prior to the Distribution Date, Illumina shall deliver to the Agent, for the benefit of the Record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Holders, duly executed transfer forms for such number of the outstanding shares of GRAIL Stock as is necessary to effect the Distribution.</w:t>
      </w:r>
    </w:p>
    <w:p>
      <w:pPr>
        <w:spacing w:after="0" w:line="134" w:lineRule="exact"/>
        <w:rPr>
          <w:rFonts w:ascii="Times New Roman" w:cs="Times New Roman" w:eastAsia="Times New Roman" w:hAnsi="Times New Roman"/>
          <w:sz w:val="17"/>
          <w:szCs w:val="17"/>
          <w:b w:val="1"/>
          <w:bCs w:val="1"/>
          <w:color w:val="auto"/>
        </w:rPr>
      </w:pPr>
    </w:p>
    <w:p>
      <w:pPr>
        <w:ind w:left="-40" w:right="40" w:firstLine="987"/>
        <w:spacing w:after="0" w:line="261" w:lineRule="auto"/>
        <w:tabs>
          <w:tab w:leader="none" w:pos="12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of Shares and Cash</w:t>
      </w:r>
      <w:r>
        <w:rPr>
          <w:rFonts w:ascii="Times New Roman" w:cs="Times New Roman" w:eastAsia="Times New Roman" w:hAnsi="Times New Roman"/>
          <w:sz w:val="18"/>
          <w:szCs w:val="18"/>
          <w:color w:val="auto"/>
        </w:rPr>
        <w:t>. Illumina shall instruct the Agent to distribute, as soon as practicable following the Effective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Record Holder the following: (i) one (1) share of GRAIL Stock for every six (6) shares of Illumina Stock held by such Record Holder as of the Record Date and (ii) cash, if applicable, in lieu of fractional shares obtained in the manner provided in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All of the shares of GRAIL Stock distributed will be validly issued, fully paid and non-assessable.</w:t>
      </w:r>
    </w:p>
    <w:p>
      <w:pPr>
        <w:spacing w:after="0" w:line="179" w:lineRule="exact"/>
        <w:rPr>
          <w:rFonts w:ascii="Times New Roman" w:cs="Times New Roman" w:eastAsia="Times New Roman" w:hAnsi="Times New Roman"/>
          <w:sz w:val="18"/>
          <w:szCs w:val="18"/>
          <w:color w:val="auto"/>
        </w:rPr>
      </w:pPr>
    </w:p>
    <w:p>
      <w:pPr>
        <w:ind w:left="-40" w:firstLine="987"/>
        <w:spacing w:after="0" w:line="254" w:lineRule="auto"/>
        <w:tabs>
          <w:tab w:leader="none" w:pos="11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No fractional shares shall be distributed or credited to book-entry accounts in connection with the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soon as practicable after the Effective Time, Illumina shall direct the Agent to determine the number of whole shares and fractional shares of GRAIL Stock allocable to each holder of record or beneficial owner of Illumina Stock as of the Record Date, to aggregate all such fractional shares into whole shares and to sell the whole shares obtained thereby in open market transactions (with the Agent, in its sole and absolute discretion, determining when, how, through which broker-deal, and at what price to make such sales) at then prevailing trading prices, and to cause to be distributed to each such holder or for the benefit of each such beneficial owner, in lieu of any fractional share, such holder’s or owner’s ratable share of the proceeds of such sale, after deducting any Taxes required to be withheld and after deducting an amount equal to all brokerage charges, commissions and transfer Taxes attributed to such sale. Neither Illumina nor GRAIL shall be required to guarantee any minimum sale price for the fractional shares of GRAIL Stock. Neither Illumina nor GRAIL shall be required to pay any interest on the proceeds from the sale of fractional shares.</w:t>
      </w:r>
    </w:p>
    <w:p>
      <w:pPr>
        <w:spacing w:after="0" w:line="188" w:lineRule="exact"/>
        <w:rPr>
          <w:rFonts w:ascii="Times New Roman" w:cs="Times New Roman" w:eastAsia="Times New Roman" w:hAnsi="Times New Roman"/>
          <w:sz w:val="18"/>
          <w:szCs w:val="18"/>
          <w:color w:val="auto"/>
        </w:rPr>
      </w:pPr>
    </w:p>
    <w:p>
      <w:pPr>
        <w:jc w:val="both"/>
        <w:ind w:left="-40" w:right="400" w:firstLine="987"/>
        <w:spacing w:after="0" w:line="315" w:lineRule="auto"/>
        <w:tabs>
          <w:tab w:leader="none" w:pos="120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Beneficial Owners</w:t>
      </w:r>
      <w:r>
        <w:rPr>
          <w:rFonts w:ascii="Times New Roman" w:cs="Times New Roman" w:eastAsia="Times New Roman" w:hAnsi="Times New Roman"/>
          <w:sz w:val="17"/>
          <w:szCs w:val="17"/>
          <w:color w:val="auto"/>
        </w:rPr>
        <w:t>. Solely for purposes of computing fractional share interests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4.2(c)</w:t>
      </w:r>
      <w:r>
        <w:rPr>
          <w:rFonts w:ascii="Times New Roman" w:cs="Times New Roman" w:eastAsia="Times New Roman" w:hAnsi="Times New Roman"/>
          <w:sz w:val="17"/>
          <w:szCs w:val="17"/>
          <w:color w:val="auto"/>
        </w:rPr>
        <w:t>, the beneficial owner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Illumina Stock held of record in the name of a nominee in any nominee account shall be treated as the holder of record with respect to such shares.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8" w:right="499" w:bottom="1440" w:gutter="0" w:footer="0" w:header="0"/>
        </w:sectPr>
      </w:pPr>
    </w:p>
    <w:bookmarkStart w:id="23" w:name="page24"/>
    <w:bookmarkEnd w:id="23"/>
    <w:p>
      <w:pPr>
        <w:ind w:right="220" w:firstLine="987"/>
        <w:spacing w:after="0" w:line="284"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Authorizations</w:t>
      </w:r>
      <w:r>
        <w:rPr>
          <w:rFonts w:ascii="Times New Roman" w:cs="Times New Roman" w:eastAsia="Times New Roman" w:hAnsi="Times New Roman"/>
          <w:sz w:val="18"/>
          <w:szCs w:val="18"/>
          <w:color w:val="auto"/>
        </w:rPr>
        <w:t>. GRAIL agrees to update its shareholder register in relation to the transfers of GRAIL Stock that Illumina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Agent shall require in order to effect the Distribution.</w:t>
      </w:r>
    </w:p>
    <w:p>
      <w:pPr>
        <w:spacing w:after="0" w:line="158" w:lineRule="exact"/>
        <w:rPr>
          <w:rFonts w:ascii="Times New Roman" w:cs="Times New Roman" w:eastAsia="Times New Roman" w:hAnsi="Times New Roman"/>
          <w:sz w:val="18"/>
          <w:szCs w:val="18"/>
          <w:color w:val="auto"/>
        </w:rPr>
      </w:pPr>
    </w:p>
    <w:p>
      <w:pPr>
        <w:jc w:val="both"/>
        <w:ind w:firstLine="987"/>
        <w:spacing w:after="0" w:line="258" w:lineRule="auto"/>
        <w:tabs>
          <w:tab w:leader="none" w:pos="12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GRAIL Stock</w:t>
      </w:r>
      <w:r>
        <w:rPr>
          <w:rFonts w:ascii="Times New Roman" w:cs="Times New Roman" w:eastAsia="Times New Roman" w:hAnsi="Times New Roman"/>
          <w:sz w:val="18"/>
          <w:szCs w:val="18"/>
          <w:color w:val="auto"/>
        </w:rPr>
        <w:t>. Until the GRAIL Stock is duly transferred in accordance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applicable Law, from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Effective Time, GRAIL will regard the Persons entitled to receive such GRAIL Stock as record holders of GRAIL Stock in accordance with the terms of the Distribution without requiring any action on the part of such Persons. GRAIL and Illumina agree that from and after the Effective Time each such holder will be entitled to receive all dividends payable on, and exercise voting rights and all other rights and privileges with respect to, the GRAIL Stock then deemed to be held by such holder.</w:t>
      </w:r>
    </w:p>
    <w:p>
      <w:pPr>
        <w:spacing w:after="0" w:line="18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b w:val="1"/>
          <w:bCs w:val="1"/>
          <w:u w:val="single" w:color="auto"/>
          <w:color w:val="auto"/>
        </w:rPr>
        <w:t>Conditions to the Distribution</w:t>
      </w:r>
      <w:r>
        <w:rPr>
          <w:rFonts w:ascii="Times New Roman" w:cs="Times New Roman" w:eastAsia="Times New Roman" w:hAnsi="Times New Roman"/>
          <w:sz w:val="18"/>
          <w:szCs w:val="18"/>
          <w:color w:val="auto"/>
        </w:rPr>
        <w:t>. The consummation of the Distribution shall be subject to the satisfaction or waiver by Illumina in its sole and absolute discretion, of the following conditions:</w:t>
      </w:r>
    </w:p>
    <w:p>
      <w:pPr>
        <w:spacing w:after="0" w:line="49" w:lineRule="exact"/>
        <w:rPr>
          <w:sz w:val="20"/>
          <w:szCs w:val="20"/>
          <w:color w:val="auto"/>
        </w:rPr>
      </w:pPr>
    </w:p>
    <w:p>
      <w:pPr>
        <w:ind w:left="1240" w:hanging="25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Completion of the Separation</w:t>
      </w:r>
      <w:r>
        <w:rPr>
          <w:rFonts w:ascii="Times New Roman" w:cs="Times New Roman" w:eastAsia="Times New Roman" w:hAnsi="Times New Roman"/>
          <w:sz w:val="18"/>
          <w:szCs w:val="18"/>
          <w:color w:val="auto"/>
        </w:rPr>
        <w:t>. The Separation shall have been completed in accordance with this Agreement.</w:t>
      </w:r>
    </w:p>
    <w:p>
      <w:pPr>
        <w:spacing w:after="0" w:line="225" w:lineRule="exact"/>
        <w:rPr>
          <w:rFonts w:ascii="Times New Roman" w:cs="Times New Roman" w:eastAsia="Times New Roman" w:hAnsi="Times New Roman"/>
          <w:sz w:val="18"/>
          <w:szCs w:val="18"/>
          <w:color w:val="auto"/>
        </w:rPr>
      </w:pPr>
    </w:p>
    <w:p>
      <w:pPr>
        <w:ind w:right="680" w:firstLine="987"/>
        <w:spacing w:after="0" w:line="284"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by Illumina Board</w:t>
      </w:r>
      <w:r>
        <w:rPr>
          <w:rFonts w:ascii="Times New Roman" w:cs="Times New Roman" w:eastAsia="Times New Roman" w:hAnsi="Times New Roman"/>
          <w:sz w:val="18"/>
          <w:szCs w:val="18"/>
          <w:color w:val="auto"/>
        </w:rPr>
        <w:t>. The Illumina Board shall have authorized and approved the Distribution and not withdrawn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 and approval, and shall have declared the dividend of GRAIL Stock to Illumina stockholders.</w:t>
      </w:r>
    </w:p>
    <w:p>
      <w:pPr>
        <w:spacing w:after="0" w:line="15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Execution of Ancillary Agreements</w:t>
      </w:r>
      <w:r>
        <w:rPr>
          <w:rFonts w:ascii="Times New Roman" w:cs="Times New Roman" w:eastAsia="Times New Roman" w:hAnsi="Times New Roman"/>
          <w:sz w:val="18"/>
          <w:szCs w:val="18"/>
          <w:color w:val="auto"/>
        </w:rPr>
        <w:t>. Each Ancillary Agreement shall have been executed by each party to such agreement.</w:t>
      </w:r>
    </w:p>
    <w:p>
      <w:pPr>
        <w:spacing w:after="0" w:line="225" w:lineRule="exact"/>
        <w:rPr>
          <w:rFonts w:ascii="Times New Roman" w:cs="Times New Roman" w:eastAsia="Times New Roman" w:hAnsi="Times New Roman"/>
          <w:sz w:val="18"/>
          <w:szCs w:val="18"/>
          <w:color w:val="auto"/>
        </w:rPr>
      </w:pPr>
    </w:p>
    <w:p>
      <w:pPr>
        <w:ind w:right="60" w:firstLine="987"/>
        <w:spacing w:after="0" w:line="284"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 on Nasdaq</w:t>
      </w:r>
      <w:r>
        <w:rPr>
          <w:rFonts w:ascii="Times New Roman" w:cs="Times New Roman" w:eastAsia="Times New Roman" w:hAnsi="Times New Roman"/>
          <w:sz w:val="18"/>
          <w:szCs w:val="18"/>
          <w:color w:val="auto"/>
        </w:rPr>
        <w:t>. The GRAIL Stock shall have been accepted for listing on Nasdaq or another national securities exchange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Illumina, subject to official notice of issuance.</w:t>
      </w:r>
    </w:p>
    <w:p>
      <w:pPr>
        <w:spacing w:after="0" w:line="158" w:lineRule="exact"/>
        <w:rPr>
          <w:rFonts w:ascii="Times New Roman" w:cs="Times New Roman" w:eastAsia="Times New Roman" w:hAnsi="Times New Roman"/>
          <w:sz w:val="18"/>
          <w:szCs w:val="18"/>
          <w:color w:val="auto"/>
        </w:rPr>
      </w:pPr>
    </w:p>
    <w:p>
      <w:pPr>
        <w:ind w:right="340" w:firstLine="987"/>
        <w:spacing w:after="0" w:line="261"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the Form 10; Mailing of Information Statement</w:t>
      </w:r>
      <w:r>
        <w:rPr>
          <w:rFonts w:ascii="Times New Roman" w:cs="Times New Roman" w:eastAsia="Times New Roman" w:hAnsi="Times New Roman"/>
          <w:sz w:val="18"/>
          <w:szCs w:val="18"/>
          <w:color w:val="auto"/>
        </w:rPr>
        <w:t>. The SEC shall have declared effective the Form 10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and no stop order suspending the effectiveness of the Form 10 shall be in effect and no proceedings for that purpose shall be pending before or threatened by the SEC, and the Information Statement included therein shall have been mailed to Illumina’s stockholders as of the Record Date.</w:t>
      </w:r>
    </w:p>
    <w:p>
      <w:pPr>
        <w:spacing w:after="0" w:line="179" w:lineRule="exact"/>
        <w:rPr>
          <w:rFonts w:ascii="Times New Roman" w:cs="Times New Roman" w:eastAsia="Times New Roman" w:hAnsi="Times New Roman"/>
          <w:sz w:val="18"/>
          <w:szCs w:val="18"/>
          <w:color w:val="auto"/>
        </w:rPr>
      </w:pPr>
    </w:p>
    <w:p>
      <w:pPr>
        <w:ind w:right="60" w:firstLine="987"/>
        <w:spacing w:after="0" w:line="261" w:lineRule="auto"/>
        <w:tabs>
          <w:tab w:leader="none" w:pos="12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Treatment of the Distribution</w:t>
      </w:r>
      <w:r>
        <w:rPr>
          <w:rFonts w:ascii="Times New Roman" w:cs="Times New Roman" w:eastAsia="Times New Roman" w:hAnsi="Times New Roman"/>
          <w:sz w:val="18"/>
          <w:szCs w:val="18"/>
          <w:color w:val="auto"/>
        </w:rPr>
        <w:t>. Illumina shall have received a private letter ruling from the Internal Revenue Service and the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of Cravath, Swaine &amp; Moore LLP, each of which shall remain in full force and effect, that, subject to the limitations specified therein and the accuracy of and compliance with certain representations, the Distribution will qualify for non-recognition of gain and loss under Sections 355 and 368 of the Code.</w:t>
      </w:r>
    </w:p>
    <w:p>
      <w:pPr>
        <w:spacing w:after="0" w:line="179" w:lineRule="exact"/>
        <w:rPr>
          <w:rFonts w:ascii="Times New Roman" w:cs="Times New Roman" w:eastAsia="Times New Roman" w:hAnsi="Times New Roman"/>
          <w:sz w:val="18"/>
          <w:szCs w:val="18"/>
          <w:color w:val="auto"/>
        </w:rPr>
      </w:pPr>
    </w:p>
    <w:p>
      <w:pPr>
        <w:ind w:right="440" w:firstLine="987"/>
        <w:spacing w:after="0" w:line="284"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Law</w:t>
      </w:r>
      <w:r>
        <w:rPr>
          <w:rFonts w:ascii="Times New Roman" w:cs="Times New Roman" w:eastAsia="Times New Roman" w:hAnsi="Times New Roman"/>
          <w:sz w:val="18"/>
          <w:szCs w:val="18"/>
          <w:color w:val="auto"/>
        </w:rPr>
        <w:t>. No Law promulgated by any Governmental Authority or other legal restraint or prohibition issued by any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preventing consummation of the Distribution shall be in effect.</w:t>
      </w:r>
    </w:p>
    <w:p>
      <w:pPr>
        <w:spacing w:after="0" w:line="158" w:lineRule="exact"/>
        <w:rPr>
          <w:rFonts w:ascii="Times New Roman" w:cs="Times New Roman" w:eastAsia="Times New Roman" w:hAnsi="Times New Roman"/>
          <w:sz w:val="18"/>
          <w:szCs w:val="18"/>
          <w:color w:val="auto"/>
        </w:rPr>
      </w:pPr>
    </w:p>
    <w:p>
      <w:pPr>
        <w:ind w:right="240" w:firstLine="987"/>
        <w:spacing w:after="0" w:line="267"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Circumstances Making Distribution Inadvisable</w:t>
      </w:r>
      <w:r>
        <w:rPr>
          <w:rFonts w:ascii="Times New Roman" w:cs="Times New Roman" w:eastAsia="Times New Roman" w:hAnsi="Times New Roman"/>
          <w:sz w:val="18"/>
          <w:szCs w:val="18"/>
          <w:color w:val="auto"/>
        </w:rPr>
        <w:t>. No events or developments shall have occurred or exist that, in the judgment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Illumina Board, in its sole and absolute discretion, make it inadvisable to effect the Distribution or the other transactions contemplated hereby, or would result in the Distribution or the other transactions contemplated hereby not being in the best interests of Illumina or its stockholders.</w:t>
      </w:r>
    </w:p>
    <w:p>
      <w:pPr>
        <w:spacing w:after="0" w:line="173" w:lineRule="exact"/>
        <w:rPr>
          <w:rFonts w:ascii="Times New Roman" w:cs="Times New Roman" w:eastAsia="Times New Roman" w:hAnsi="Times New Roman"/>
          <w:sz w:val="18"/>
          <w:szCs w:val="18"/>
          <w:color w:val="auto"/>
        </w:rPr>
      </w:pPr>
    </w:p>
    <w:p>
      <w:pPr>
        <w:ind w:right="420" w:firstLine="987"/>
        <w:spacing w:after="0" w:line="284" w:lineRule="auto"/>
        <w:tabs>
          <w:tab w:leader="none" w:pos="120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 Elections. </w:t>
      </w:r>
      <w:r>
        <w:rPr>
          <w:rFonts w:ascii="Times New Roman" w:cs="Times New Roman" w:eastAsia="Times New Roman" w:hAnsi="Times New Roman"/>
          <w:sz w:val="18"/>
          <w:szCs w:val="18"/>
          <w:color w:val="auto"/>
        </w:rPr>
        <w:t>Illumina shall have duly elected the individuals to be listed as members of GRAIL’s post-Distribution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in the Information Statement.</w:t>
      </w:r>
    </w:p>
    <w:p>
      <w:pPr>
        <w:spacing w:after="0" w:line="158" w:lineRule="exact"/>
        <w:rPr>
          <w:rFonts w:ascii="Times New Roman" w:cs="Times New Roman" w:eastAsia="Times New Roman" w:hAnsi="Times New Roman"/>
          <w:sz w:val="18"/>
          <w:szCs w:val="18"/>
          <w:color w:val="auto"/>
        </w:rPr>
      </w:pPr>
    </w:p>
    <w:p>
      <w:pPr>
        <w:ind w:right="960" w:firstLine="987"/>
        <w:spacing w:after="0" w:line="284" w:lineRule="auto"/>
        <w:tabs>
          <w:tab w:leader="none" w:pos="120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GRAIL Articles of Incorporation and GRAIL Bylaws</w:t>
      </w:r>
      <w:r>
        <w:rPr>
          <w:rFonts w:ascii="Times New Roman" w:cs="Times New Roman" w:eastAsia="Times New Roman" w:hAnsi="Times New Roman"/>
          <w:sz w:val="18"/>
          <w:szCs w:val="18"/>
          <w:color w:val="auto"/>
        </w:rPr>
        <w:t>. Immediately prior to the Distribution Date, the GRAIL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Incorporation and the GRAIL Bylaws shall be in effect.</w:t>
      </w:r>
    </w:p>
    <w:p>
      <w:pPr>
        <w:spacing w:after="0" w:line="156" w:lineRule="exact"/>
        <w:rPr>
          <w:sz w:val="20"/>
          <w:szCs w:val="20"/>
          <w:color w:val="auto"/>
        </w:rPr>
      </w:pPr>
    </w:p>
    <w:p>
      <w:pPr>
        <w:jc w:val="both"/>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b w:val="1"/>
          <w:bCs w:val="1"/>
          <w:u w:val="single" w:color="auto"/>
          <w:color w:val="auto"/>
        </w:rPr>
        <w:t>Sole Discretion</w:t>
      </w:r>
      <w:r>
        <w:rPr>
          <w:rFonts w:ascii="Times New Roman" w:cs="Times New Roman" w:eastAsia="Times New Roman" w:hAnsi="Times New Roman"/>
          <w:sz w:val="18"/>
          <w:szCs w:val="18"/>
          <w:color w:val="auto"/>
        </w:rPr>
        <w:t xml:space="preserve">. The foregoing conditions are for the sole benefit of Illumina and shall not give rise to or create any duty on the part of Illumina or the Illumina Board to waive or not waive such conditions or in any way limit Illumina’s right to terminate this Agreement as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alter the consequences of any such termination from those specified in such Article; provided that Illumina may not waive any condition if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24" w:name="page25"/>
    <w:bookmarkEnd w:id="24"/>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waiver would affect the GRAIL Group adversely in a material respect after the Effective Time, without the prior written consent of GRAIL. Subject to the foregoing proviso, any determination made by the Illumina Board prior to the Distribution concerning the satisfaction or waiver of any or all of the conditions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conclusive.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MUTUAL RELEASES; INDEMNIFICATION; COOPERATION; INSURANCE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u w:val="single" w:color="auto"/>
          <w:color w:val="auto"/>
        </w:rPr>
        <w:t>Release of Claims Prior to Distribution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3" w:lineRule="auto"/>
        <w:tabs>
          <w:tab w:leader="none" w:pos="124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effective as of the Effective Time, Illumina does hereby, for itself and each other member of the Illumina Group, their respective Affiliates, successors and assigns, and, to the extent permitted by Law, all Persons who at any time prior to the Effective Time have been stockholders, directors, officers, agents or employees of any member of the Illumina Group (in each case, in their respective capacities as such), surrender, relinquish, release and forever discharge (i) GRAIL, the respective members of the GRAIL Group, their respective Affiliates, successors and assigns, and (ii) all Persons who at any time prior to the Effective Time have been stockholders, directors, officers, agents or employees of any member of the GRAIL Group (in each case, in their respective capacities as such), and their respective heirs, executors, administrators, successors and assigns, in each case from (A) all Illumina Liabilities whatsoever, (B) all Liabilities arising from, or in connection with, the transactions contemplated by this Agreement and all activities to implement the Separation and Distribution,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and (D) any rights, claims or Liabilities arising from, or in connection with, Section 3.3 of that certain Letter Agreement and Limited Waiver dated as of August 18, 2021 between Illumina and GRAIL.</w:t>
      </w:r>
    </w:p>
    <w:p>
      <w:pPr>
        <w:spacing w:after="0" w:line="189"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effective as of the Effective Time, GRAIL does hereby, for itself and each other member of the GRAIL Group, their respective Affiliates, successors and assigns, and, to the extent permitted by Law, all Persons who at any time prior to the Effective Time have been stockholders, directors, officers, agents or employees of any member of the GRAIL Group (in each case, in their respective capacities as such), surrender, relinquish, release and forever discharge (i) Illumina, the respective members of the Illumina Group, their respective Affiliates (other than any member of the GRAIL Group), successors and assigns, and (ii) all Persons who at any time prior to the Effective Time have been stockholders, directors, officers, agents or employees of any member of the Illumina Group (in each case, in their respective capacities as such), and their respective heirs, executors, administrators, successors and assigns, in each case from (A) all GRAIL Liabilities whatsoever, (B) all Liabilities arising from, or in connection with, the transactions contemplated by this Agreement and all activities to implement the Separation and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w:t>
      </w:r>
    </w:p>
    <w:p>
      <w:pPr>
        <w:spacing w:after="0" w:line="191"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impair any right of any Person to enforce this Agreement or any Ancillary Agreement, in each case in accordance with its terms. Nothing contained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release any Person from:</w:t>
      </w:r>
    </w:p>
    <w:p>
      <w:pPr>
        <w:spacing w:after="0" w:line="53"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60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pursuant to any Contract set forth on </w:t>
      </w:r>
      <w:r>
        <w:rPr>
          <w:rFonts w:ascii="Times New Roman" w:cs="Times New Roman" w:eastAsia="Times New Roman" w:hAnsi="Times New Roman"/>
          <w:sz w:val="18"/>
          <w:szCs w:val="18"/>
          <w:u w:val="single" w:color="auto"/>
          <w:color w:val="auto"/>
        </w:rPr>
        <w:t>Schedule 5.1(c)(i)</w:t>
      </w:r>
      <w:r>
        <w:rPr>
          <w:rFonts w:ascii="Times New Roman" w:cs="Times New Roman" w:eastAsia="Times New Roman" w:hAnsi="Times New Roman"/>
          <w:sz w:val="18"/>
          <w:szCs w:val="18"/>
          <w:color w:val="auto"/>
        </w:rPr>
        <w:t xml:space="preserve"> (or any purchase order, work order, terms and conditions or similar Contract issued pursuant to any Contract set forth on </w:t>
      </w:r>
      <w:r>
        <w:rPr>
          <w:rFonts w:ascii="Times New Roman" w:cs="Times New Roman" w:eastAsia="Times New Roman" w:hAnsi="Times New Roman"/>
          <w:sz w:val="18"/>
          <w:szCs w:val="18"/>
          <w:u w:val="single" w:color="auto"/>
          <w:color w:val="auto"/>
        </w:rPr>
        <w:t>Schedule 5.1(c)(i)</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280" w:firstLine="948"/>
        <w:spacing w:after="0" w:line="282" w:lineRule="auto"/>
        <w:tabs>
          <w:tab w:leader="none" w:pos="1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provided in or resulting from any Contract or understanding that is entered into after the Effective Time between any member of the Illumina Group, on the one hand, and any member of the GRAIL Group, on the other hand;</w:t>
      </w:r>
    </w:p>
    <w:p>
      <w:pPr>
        <w:spacing w:after="0" w:line="53" w:lineRule="exact"/>
        <w:rPr>
          <w:rFonts w:ascii="Times New Roman" w:cs="Times New Roman" w:eastAsia="Times New Roman" w:hAnsi="Times New Roman"/>
          <w:sz w:val="18"/>
          <w:szCs w:val="18"/>
          <w:color w:val="auto"/>
        </w:rPr>
      </w:pPr>
    </w:p>
    <w:p>
      <w:pPr>
        <w:ind w:left="440" w:right="580" w:firstLine="948"/>
        <w:spacing w:after="0" w:line="266" w:lineRule="auto"/>
        <w:tabs>
          <w:tab w:leader="none" w:pos="170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contingent or otherwise, assumed, transferred, assigned or allocated to the Group of which such Person is a member in accordance with this Agreement or any Ancillary Agreement (including any Illumina Liability and any GRAIL Liability, as applicable);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5" w:name="page26"/>
    <w:bookmarkEnd w:id="25"/>
    <w:p>
      <w:pPr>
        <w:ind w:left="440" w:firstLine="948"/>
        <w:spacing w:after="0" w:line="282" w:lineRule="auto"/>
        <w:tabs>
          <w:tab w:leader="none" w:pos="16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Liability that the Parties may have with respect to indemnification, contribution, reimbursement or otherwise pursuant to this Agreement or any Ancillary Agreement or otherwise for claims brought against the Parties by third Persons.</w:t>
      </w:r>
    </w:p>
    <w:p>
      <w:pPr>
        <w:spacing w:after="0" w:line="161"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Illumina shall not make, and shall not permit any member of the Illumina Group to make, any claim or demand, or commence any Action asserting any claim or demand, including any claim of contribution or any indemnification, against GRAIL or any member of the GRAIL Group, or any other Person released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with respect to any Liabilities released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GRAIL shall not make, and shall not permit any member of the GRAIL Group to make, any claim or demand, or commence any Action asserting any claim or demand, including any claim of contribution or any indemnification, against Illumina or any member of the Illumina Group, or any other Person released pursuant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with respect to any Liabilities released pursuant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the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by either Illumina or GRAIL shall entitle the other Party to recover reasonable fees and expenses of counsel in connection with such breach or any Action resulting from such breach.</w:t>
      </w:r>
    </w:p>
    <w:p>
      <w:pPr>
        <w:spacing w:after="0" w:line="158"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b w:val="1"/>
          <w:bCs w:val="1"/>
          <w:u w:val="single" w:color="auto"/>
          <w:color w:val="auto"/>
        </w:rPr>
        <w:t>Indemnification by Illumina</w:t>
      </w:r>
      <w:r>
        <w:rPr>
          <w:rFonts w:ascii="Times New Roman" w:cs="Times New Roman" w:eastAsia="Times New Roman" w:hAnsi="Times New Roman"/>
          <w:sz w:val="18"/>
          <w:szCs w:val="18"/>
          <w:color w:val="auto"/>
        </w:rPr>
        <w:t>. (a) Except as otherwise specifically set forth in this Agreement or any Ancillary Agreement, to the fullest extent permitted by Law, Illumina shall, and shall cause the other members of the Illumina Group to, indemnify, defend and hold harmless GRAIL, each member of the GRAIL Group and each of their respective past, present and future directors, officers, employees and agents, in each case in their respective capacities as such, and each of the heirs, executors, successors and assigns of any of the foregoing (collectively, the “</w:t>
      </w:r>
      <w:r>
        <w:rPr>
          <w:rFonts w:ascii="Times New Roman" w:cs="Times New Roman" w:eastAsia="Times New Roman" w:hAnsi="Times New Roman"/>
          <w:sz w:val="18"/>
          <w:szCs w:val="18"/>
          <w:u w:val="single" w:color="auto"/>
          <w:color w:val="auto"/>
        </w:rPr>
        <w:t>GRAIL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Liabilities of the GRAIL Indemnitees relating to, arising out of or resulting from, directly or indirectly, any of the following items (without duplication):</w:t>
      </w:r>
    </w:p>
    <w:p>
      <w:pPr>
        <w:spacing w:after="0" w:line="78" w:lineRule="exact"/>
        <w:rPr>
          <w:sz w:val="20"/>
          <w:szCs w:val="20"/>
          <w:color w:val="auto"/>
        </w:rPr>
      </w:pPr>
    </w:p>
    <w:p>
      <w:pPr>
        <w:jc w:val="both"/>
        <w:ind w:left="440" w:right="100" w:firstLine="948"/>
        <w:spacing w:after="0" w:line="266" w:lineRule="auto"/>
        <w:tabs>
          <w:tab w:leader="none" w:pos="16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Illumina Liabilities, including any failure of Illumina or any other member of the Illumina Group or any other Person to pay, perform or otherwise promptly discharge any Illumina Liabilities in accordance with their respective terms, whether prior to or after the Effective Time or the date hereof;</w:t>
      </w:r>
    </w:p>
    <w:p>
      <w:pPr>
        <w:spacing w:after="0" w:line="6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Illumina or any member of the Illumina Group of this Agreement or any of the Ancillary Agreements;</w:t>
      </w:r>
    </w:p>
    <w:p>
      <w:pPr>
        <w:spacing w:after="0" w:line="117" w:lineRule="exact"/>
        <w:rPr>
          <w:rFonts w:ascii="Times New Roman" w:cs="Times New Roman" w:eastAsia="Times New Roman" w:hAnsi="Times New Roman"/>
          <w:sz w:val="18"/>
          <w:szCs w:val="18"/>
          <w:color w:val="auto"/>
        </w:rPr>
      </w:pPr>
    </w:p>
    <w:p>
      <w:pPr>
        <w:jc w:val="both"/>
        <w:ind w:left="440" w:right="220" w:firstLine="948"/>
        <w:spacing w:after="0" w:line="312" w:lineRule="auto"/>
        <w:tabs>
          <w:tab w:leader="none" w:pos="170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CVR Agreement or a tender offer in respect of the CVRs conducted by Illumina (in each case, other than to the extent the Liability is based upon, relating to or arising out of GRAIL’s failure to timely or accurately comply with its obligations set forth in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440" w:right="100" w:firstLine="948"/>
        <w:spacing w:after="0" w:line="258" w:lineRule="auto"/>
        <w:tabs>
          <w:tab w:leader="none" w:pos="16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the Form 10, the Information Statement (as amended or supplemented if GRAIL shall have furnished any amendments or supplements thereto) or any other Disclosure Document, in each case, specifically relating to (i) the Illumina Business, Illumina Assets or Illumina Liabilities or (ii) the Illumina Group as of and after the Effective Time;</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noticed to Illumina’s D&amp;O insurers prior to the Effective Time; and</w:t>
      </w:r>
    </w:p>
    <w:p>
      <w:pPr>
        <w:spacing w:after="0" w:line="117" w:lineRule="exact"/>
        <w:rPr>
          <w:rFonts w:ascii="Times New Roman" w:cs="Times New Roman" w:eastAsia="Times New Roman" w:hAnsi="Times New Roman"/>
          <w:sz w:val="18"/>
          <w:szCs w:val="18"/>
          <w:color w:val="auto"/>
        </w:rPr>
      </w:pPr>
    </w:p>
    <w:p>
      <w:pPr>
        <w:jc w:val="both"/>
        <w:ind w:left="440" w:right="80" w:firstLine="948"/>
        <w:spacing w:after="0" w:line="289" w:lineRule="auto"/>
        <w:tabs>
          <w:tab w:leader="none" w:pos="169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matter that would have been covered by the employment practices liability insurance of GRAIL in existence immediately prior to the closing of the Original Transaction (subject to any retention, deductibles, exclusions, limitations, caps, baskets and other limitations thereunder) had such policy coverage been extended to the period of time between the closing of the Original Transaction and the Effective Time.</w:t>
      </w:r>
    </w:p>
    <w:p>
      <w:pPr>
        <w:spacing w:after="0" w:line="158" w:lineRule="exact"/>
        <w:rPr>
          <w:sz w:val="20"/>
          <w:szCs w:val="20"/>
          <w:color w:val="auto"/>
        </w:rPr>
      </w:pPr>
    </w:p>
    <w:p>
      <w:pPr>
        <w:ind w:right="120" w:firstLine="987"/>
        <w:spacing w:after="0" w:line="266"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(i) the Huber Liability becomes due and payable in accordance with the terms of the Huber Agreement during the Disposal Funding Period and (ii) all or any portion of the Huber Liability is actually paid by GRAIL, in cash, during the Disposal Funding Period, Illumina shall indemnify the GRAIL Indemnitees for the Huber Liability to the extent paid by GRAIL.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6" w:name="page27"/>
    <w:bookmarkEnd w:id="26"/>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in no event shall Illumina or any other member of the Illumina Group have any obligations under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with respect to Liabilities subject to indemnification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b w:val="1"/>
          <w:bCs w:val="1"/>
          <w:u w:val="single" w:color="auto"/>
          <w:color w:val="auto"/>
        </w:rPr>
        <w:t>Indemnification by GRAIL</w:t>
      </w:r>
      <w:r>
        <w:rPr>
          <w:rFonts w:ascii="Times New Roman" w:cs="Times New Roman" w:eastAsia="Times New Roman" w:hAnsi="Times New Roman"/>
          <w:sz w:val="18"/>
          <w:szCs w:val="18"/>
          <w:color w:val="auto"/>
        </w:rPr>
        <w:t>. Except as otherwise specifically set forth in this Agreement or any Ancillary Agreement, to the fullest extent permitted by Law, GRAIL shall, and shall cause the other members of the GRAIL Group to, indemnify, defend and hold harmless Illumina, each member of the Illumina Group and each of their respective past, present and future directors, officers, employees and agents, in each case in their respective capacities as such, and each of the heirs, executors, successors and assigns of any of the foregoing (collectively, the “</w:t>
      </w:r>
      <w:r>
        <w:rPr>
          <w:rFonts w:ascii="Times New Roman" w:cs="Times New Roman" w:eastAsia="Times New Roman" w:hAnsi="Times New Roman"/>
          <w:sz w:val="18"/>
          <w:szCs w:val="18"/>
          <w:u w:val="single" w:color="auto"/>
          <w:color w:val="auto"/>
        </w:rPr>
        <w:t>Illumina Indemnitees</w:t>
      </w:r>
      <w:r>
        <w:rPr>
          <w:rFonts w:ascii="Times New Roman" w:cs="Times New Roman" w:eastAsia="Times New Roman" w:hAnsi="Times New Roman"/>
          <w:sz w:val="18"/>
          <w:szCs w:val="18"/>
          <w:color w:val="auto"/>
        </w:rPr>
        <w:t>”), from and against any and all Liabilities of the Illumina Indemnitees relating to, arising out of or resulting from, directly or indirectly, any of the following items (without duplication):</w:t>
      </w:r>
    </w:p>
    <w:p>
      <w:pPr>
        <w:spacing w:after="0" w:line="78" w:lineRule="exact"/>
        <w:rPr>
          <w:sz w:val="20"/>
          <w:szCs w:val="20"/>
          <w:color w:val="auto"/>
        </w:rPr>
      </w:pPr>
    </w:p>
    <w:p>
      <w:pPr>
        <w:jc w:val="both"/>
        <w:ind w:firstLine="987"/>
        <w:spacing w:after="0" w:line="266"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GRAIL Liabilities, including any failure of GRAIL or any other member of the GRAIL Group or any other Person to pay, perform or otherwise promptly discharge any GRAIL Liabilities in accordance with their respective terms, whether prior to or after the Effective Time or the date hereof;</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GRAIL or any member of the GRAIL Group of this Agreement or any of the Ancillary Agreements;</w:t>
      </w:r>
    </w:p>
    <w:p>
      <w:pPr>
        <w:spacing w:after="0" w:line="225"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Liabilities based upon, relating to or arising from the failure of GRAIL to timely and accurately comply with its obligations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180" w:firstLine="987"/>
        <w:spacing w:after="0" w:line="261"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untrue statement or alleged untrue statement of a material fact or omission or alleged omission to state a material fact required to be stated therein or necessary to make the statements therein not misleading, with respect to all information contained in the Form 10, the Information Statement (as amended or supplemented if GRAIL shall have furnished any amendments or supplements thereto) or any other Disclosure Document, other than the matters described in </w:t>
      </w:r>
      <w:r>
        <w:rPr>
          <w:rFonts w:ascii="Times New Roman" w:cs="Times New Roman" w:eastAsia="Times New Roman" w:hAnsi="Times New Roman"/>
          <w:sz w:val="18"/>
          <w:szCs w:val="18"/>
          <w:u w:val="single" w:color="auto"/>
          <w:color w:val="auto"/>
        </w:rPr>
        <w:t>Section 5.2(a)(iv)</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Illumina’s indemnification or contribution obligations pursuant to the letter agreement among Illumina, GRAIL and J.P. Morgan Securities LLC dated March 21, 2024, relating to, arising out of or resulting from acts or omissions by GRAIL (other than, for the avoidance of doubt, any compensation or expense reimbursement owed to J.P. Morgan Securities LLC pursuant to Section 1 thereunder).</w:t>
      </w:r>
    </w:p>
    <w:p>
      <w:pPr>
        <w:spacing w:after="0" w:line="17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in no event shall GRAIL or any other member of the GRAIL Group have any obligation to indemnify, defend or hold harmless any Illumina Indemnitee for (a) any Liability of any Illumina Indemnitee in respect of any Covered Revenues Payment (or any CVR Shortfall) (“Covered Revenues Payment” and “CVR Shortfall” having the meanings ascribed thereto in the CVR Agreement) or (b) any Liability relating to, arising out of or resulting from, the Illumina Group’s use of any information provided to the Illumina Group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to determine or estimate any future or contingent liability of the Illumina Group arising from the CVR Agreement that is not reasonably foreseeable.</w:t>
      </w:r>
    </w:p>
    <w:p>
      <w:pPr>
        <w:spacing w:after="0" w:line="17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b w:val="1"/>
          <w:bCs w:val="1"/>
          <w:u w:val="single" w:color="auto"/>
          <w:color w:val="auto"/>
        </w:rPr>
        <w:t>Indemnification Obligations Net of Insurance Proceeds</w:t>
      </w:r>
      <w:r>
        <w:rPr>
          <w:rFonts w:ascii="Times New Roman" w:cs="Times New Roman" w:eastAsia="Times New Roman" w:hAnsi="Times New Roman"/>
          <w:sz w:val="18"/>
          <w:szCs w:val="18"/>
          <w:color w:val="auto"/>
        </w:rPr>
        <w:t xml:space="preserve">. (a) The Parties intend that any Liability subject to indemnification or contribution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net of Insurance Proceeds that actually reduce the amount of the Liability. Accordingly, the amount that any Party (an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is required to pay to any Person entitled to indemnification or contribution hereunder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shall be reduced by any Insurance Proceeds theretofore actually recovered by or on behalf of the Indemnitee in respect of the related Liability. If an Indemnitee receives a payment (an “</w:t>
      </w:r>
      <w:r>
        <w:rPr>
          <w:rFonts w:ascii="Times New Roman" w:cs="Times New Roman" w:eastAsia="Times New Roman" w:hAnsi="Times New Roman"/>
          <w:sz w:val="18"/>
          <w:szCs w:val="18"/>
          <w:u w:val="single" w:color="auto"/>
          <w:color w:val="auto"/>
        </w:rPr>
        <w:t>Indemnity Payment</w:t>
      </w:r>
      <w:r>
        <w:rPr>
          <w:rFonts w:ascii="Times New Roman" w:cs="Times New Roman" w:eastAsia="Times New Roman" w:hAnsi="Times New Roman"/>
          <w:sz w:val="18"/>
          <w:szCs w:val="18"/>
          <w:color w:val="auto"/>
        </w:rPr>
        <w:t>”) required by this Agreement from an Indemnifying Party in respect of any Liability and subsequently receives Insurance Proceeds, then the Indemnitee shall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7" w:name="page28"/>
    <w:bookmarkEnd w:id="27"/>
    <w:p>
      <w:pPr>
        <w:ind w:left="4" w:firstLine="987"/>
        <w:spacing w:after="0" w:line="252" w:lineRule="auto"/>
        <w:tabs>
          <w:tab w:leader="none" w:pos="125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 is expressly agreed and understood that all rights to indemnification, contribution and reimbursement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in excess of all available insurance. Without limiting the foregoing, the Parties agree that an insurer who would otherwise be obligated to pay any claim shall not be relieved of the responsibility with respect thereto or, solely by virtue of any provision contained in this Agreement or any Ancillary Agreement, have any subrogation rights with respect thereto, it being expressly understood and agreed that no insurer or any other Third Party shall be entitled to a “windfall”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xml:space="preserve">, a benefit they would not be entitled to receive in the absence of the indemnification provisions hereof) by virtue of the Liability allocation, indemnification and contribution provisions hereof. Accordingly, any provision herein that could have the result of giving any insurer or other Third Party such a “windfall” shall be suspended or amended to the extent necessary to not provide such “windfall.” Each Party shall, and shall cause the members of its Group to, use commercially reasonable efforts (taking into account the probability of success on the merits and the cost of expending such efforts, including attorney’s fees and expenses) to collect or recover, or allow the Indemnifying Party to collect or recover, any Insurance Proceeds that may be collectible or recoverable respecting the Liabilities for which indemnification or contribution may be available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The Indemnitee shall make available to the Indemnifying Party and its counsel all employees, books and records, communications, documents, items or matters within its knowledge, possession or control that are necessary, appropriate or reasonably deemed relevant by the Indemnifying Party with respect to the recovery of such Insurance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sentence shall be deemed to require a Party to make available books and records, communications, documents or items that (i) in such Party’s good faith judgment could result in a waiver of any privilege even if the Parties cooperated to protect such privilege as contemplated by this Agreement or (ii) such Party is not permitted to make available because of any Law or any confidentiality obligation to a Third Party, in which case such Party shall use commercially reasonable efforts to seek a waiver of or other relief from such confidentiality restriction.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Ancillary Agreement.</w:t>
      </w:r>
    </w:p>
    <w:p>
      <w:pPr>
        <w:spacing w:after="0" w:line="189" w:lineRule="exact"/>
        <w:rPr>
          <w:rFonts w:ascii="Times New Roman" w:cs="Times New Roman" w:eastAsia="Times New Roman" w:hAnsi="Times New Roman"/>
          <w:sz w:val="18"/>
          <w:szCs w:val="18"/>
          <w:color w:val="auto"/>
        </w:rPr>
      </w:pPr>
    </w:p>
    <w:p>
      <w:pPr>
        <w:ind w:left="4" w:right="320" w:firstLine="987"/>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GRAIL and Illumina hereby waives, for itself and each member of its Group, its rights to recover against the other Party in subrogation or as subrogee for a third Person.</w:t>
      </w:r>
    </w:p>
    <w:p>
      <w:pPr>
        <w:spacing w:after="0" w:line="161" w:lineRule="exact"/>
        <w:rPr>
          <w:rFonts w:ascii="Times New Roman" w:cs="Times New Roman" w:eastAsia="Times New Roman" w:hAnsi="Times New Roman"/>
          <w:sz w:val="18"/>
          <w:szCs w:val="18"/>
          <w:color w:val="auto"/>
        </w:rPr>
      </w:pPr>
    </w:p>
    <w:p>
      <w:pPr>
        <w:ind w:left="4" w:right="400" w:firstLine="987"/>
        <w:spacing w:after="0" w:line="266" w:lineRule="auto"/>
        <w:tabs>
          <w:tab w:leader="none" w:pos="125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all claims as to which indemnification is provided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the reasonable fees and expenses of counsel to the Indemnitee for the enforcement of the indemnity obligations shall be borne by the Indemnifying Party, except as otherwise expressly set forth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b w:val="1"/>
          <w:bCs w:val="1"/>
          <w:u w:val="single" w:color="auto"/>
          <w:color w:val="auto"/>
        </w:rPr>
        <w:t>Procedures for Indemnification of Third-Party Claims</w:t>
      </w:r>
      <w:r>
        <w:rPr>
          <w:rFonts w:ascii="Times New Roman" w:cs="Times New Roman" w:eastAsia="Times New Roman" w:hAnsi="Times New Roman"/>
          <w:sz w:val="18"/>
          <w:szCs w:val="18"/>
          <w:color w:val="auto"/>
        </w:rPr>
        <w:t>. (a) If, at or after the date of this Agreement, an Indemnitee shall receive written notice from, or otherwise learn of the assertion by, a Person (including any Governmental Authority) who is not a member of the Illumina Group or the GRAIL Group (a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of any claim or of the commencement by any such Person of any Action (collectively, a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with respect to which an Indemnifying Party may be obligated to provide indemnification to such Indemnitee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or any other Section of this Agreement or any Ancillary Agreement, such Indemnitee shall give such Indemnifying Party written notice thereof within fourteen</w:t>
      </w:r>
    </w:p>
    <w:p>
      <w:pPr>
        <w:spacing w:after="0" w:line="3" w:lineRule="exact"/>
        <w:rPr>
          <w:sz w:val="20"/>
          <w:szCs w:val="20"/>
          <w:color w:val="auto"/>
        </w:rPr>
      </w:pPr>
    </w:p>
    <w:p>
      <w:pPr>
        <w:ind w:left="4" w:hanging="4"/>
        <w:spacing w:after="0" w:line="270" w:lineRule="auto"/>
        <w:tabs>
          <w:tab w:leader="none" w:pos="34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days of receipt of such written notice. Any such notice shall describe the Third-Party Claim in reasonable detail and include copies of all notices and documents (including court papers) received by the Indemnitee relating to the Third-Party Claim. Notwithstanding the foregoing, the failure of an Indemnitee to provide notice in accordance with this </w:t>
      </w:r>
      <w:r>
        <w:rPr>
          <w:rFonts w:ascii="Times New Roman" w:cs="Times New Roman" w:eastAsia="Times New Roman" w:hAnsi="Times New Roman"/>
          <w:sz w:val="17"/>
          <w:szCs w:val="17"/>
          <w:u w:val="single" w:color="auto"/>
          <w:color w:val="auto"/>
        </w:rPr>
        <w:t>Section 5.5(a)</w:t>
      </w:r>
      <w:r>
        <w:rPr>
          <w:rFonts w:ascii="Times New Roman" w:cs="Times New Roman" w:eastAsia="Times New Roman" w:hAnsi="Times New Roman"/>
          <w:sz w:val="17"/>
          <w:szCs w:val="17"/>
          <w:color w:val="auto"/>
        </w:rPr>
        <w:t xml:space="preserve"> shall not relieve an Indemnifying Party of its indemnification obligations under this Agreement, except to the extent to which the Indemnifying Party was prejudiced by the Indemnitee’s failure to provide notice in accordance with this </w:t>
      </w:r>
      <w:r>
        <w:rPr>
          <w:rFonts w:ascii="Times New Roman" w:cs="Times New Roman" w:eastAsia="Times New Roman" w:hAnsi="Times New Roman"/>
          <w:sz w:val="17"/>
          <w:szCs w:val="17"/>
          <w:u w:val="single" w:color="auto"/>
          <w:color w:val="auto"/>
        </w:rPr>
        <w:t>Section 5.5(a)</w:t>
      </w:r>
      <w:r>
        <w:rPr>
          <w:rFonts w:ascii="Times New Roman" w:cs="Times New Roman" w:eastAsia="Times New Roman" w:hAnsi="Times New Roman"/>
          <w:sz w:val="17"/>
          <w:szCs w:val="17"/>
          <w:color w:val="auto"/>
        </w:rPr>
        <w:t>. Thereafter, the Indemnitee shall deliver to the Indemnifying Party, promptly after the receipt thereof by the Indemnitee, copies of any and all additional written notices and documents (including court papers) received by the Indemnitee from the Third Party relating to the Third-Party Claim.</w:t>
      </w:r>
    </w:p>
    <w:p>
      <w:pPr>
        <w:spacing w:after="0" w:line="174" w:lineRule="exact"/>
        <w:rPr>
          <w:rFonts w:ascii="Times New Roman" w:cs="Times New Roman" w:eastAsia="Times New Roman" w:hAnsi="Times New Roman"/>
          <w:sz w:val="17"/>
          <w:szCs w:val="17"/>
          <w:color w:val="auto"/>
        </w:rPr>
      </w:pPr>
    </w:p>
    <w:p>
      <w:pPr>
        <w:ind w:left="4" w:right="20" w:firstLine="987"/>
        <w:spacing w:after="0" w:line="256" w:lineRule="auto"/>
        <w:tabs>
          <w:tab w:leader="none" w:pos="12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any applicable insurance policy in place after the Effective Time, an Indemnifying Party may elect to defend (and to seek to settle or compromise) any such Third-Party Claim, at such Indemnifying Party’s own expense and by such Indemnifying Party’s own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Indemnifying Party will not select counsel without the Indemnitee’s prior written consent (such consent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an Indemnifying Party may not elect to defend such Third-Party Claim in the event that defense of such Third-Party Claim would void or otherwise adversely impact the Indemnitee’s insurance policy. Within thirty (30) days after the receipt of notice from an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8" w:name="page29"/>
    <w:bookmarkEnd w:id="2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Indemnitee in accordance with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(or sooner, if the nature of such Third-Party Claim so requires), the Indemnifying Party shall notify the Indemnitee in writing of its election whether the Indemnifying Party shall assume responsibility for defending such Third-Party Claim, and if the Indemnifying Party elects to assume such responsibility then the notice must include an express and irrevocable acknowledgment from the Indemnifying Party of its obligation to indemnify such Third-Party Claim fully. After notice from an Indemnifying Party to an Indemnitee of its election to assume the defense of a Third-Party Claim, such Indemnitee shall have the right to employ separate counsel and to participate in (but not control) the defense, compromise, or settlement thereof, but the fees and expenses of such counsel shall be the expense of such Indemnitee except as otherwise expressly set forth herein.</w:t>
      </w:r>
    </w:p>
    <w:p>
      <w:pPr>
        <w:spacing w:after="0" w:line="189" w:lineRule="exact"/>
        <w:rPr>
          <w:sz w:val="20"/>
          <w:szCs w:val="20"/>
          <w:color w:val="auto"/>
        </w:rPr>
      </w:pPr>
    </w:p>
    <w:p>
      <w:pPr>
        <w:ind w:right="40" w:firstLine="987"/>
        <w:spacing w:after="0" w:line="254"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Indemnifying Party has elected to assume the defense of a Third-Party Claim, then such Indemnifying Party shall be solely liable for all fees and expenses incurred by it in connection with the defense of such Third-Party Claim and shall not be entitled to seek any indemnification or reimbursement from the Indemnitee for any such fees or expenses incurred during the course of its defense of such Third-Party Claim, regardless of any subsequent decision by the Indemnifying Party to reject or otherwise abandon its assumption of such defense. If an Indemnifying Party elects not to assume responsibility for defending any Third-Party Claim, is not permitted to elect to defend a Third-Party Claim pursuant to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or fails to notify an Indemnitee of its election within thirty (30) days after receipt of a notice from an Indemnitee, such Indemnitee shall have the right to control the defense of (and to seek to settle or compromise) such Third-Party Claim, in which case the Indemnifying Party shall be liable for all reasonable fees and expenses incurred by the Indemnitee in connection with the defense of such Third-Party Claim.</w:t>
      </w:r>
    </w:p>
    <w:p>
      <w:pPr>
        <w:spacing w:after="0" w:line="191" w:lineRule="exact"/>
        <w:rPr>
          <w:rFonts w:ascii="Times New Roman" w:cs="Times New Roman" w:eastAsia="Times New Roman" w:hAnsi="Times New Roman"/>
          <w:sz w:val="18"/>
          <w:szCs w:val="18"/>
          <w:color w:val="auto"/>
        </w:rPr>
      </w:pPr>
    </w:p>
    <w:p>
      <w:pPr>
        <w:ind w:right="60" w:firstLine="987"/>
        <w:spacing w:after="0" w:line="253"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 election by an Indemnifying Party to defend a Third-Party Claim in circumstances where an Indemnifying Party is permitted to make such an election pursuant to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an Indemnitee may, upon notice to the Indemnifying Party, elect to take over the defense of such Third-Party Claim if (i) in its exercise of reasonable business judgment, the Indemnitee determines that the Indemnifying Party is not defending such Third-Party Claim competently or in good faith, (ii) the Indemnitee determines in its exercise of reasonable business judgment that there exists a compelling business reason for such Indemnitee to defend such Third-Party Claim (other than as contemplated by the foregoing clause (i)), (iii) the Indemnifying Party makes a general assignment for the benefit of creditors, has filed against it or files a petition in bankruptcy or insolvency or is declared bankrupt or insolvent or declares that it is bankrupt or insolvent, (iv) the Third-Party Claim relates to or arises in connection with any criminal Action or (v) the Third-Party Claim seeks an injunction, non-monetary relief or business restriction imposed against the Indemnitee. In addition to the foregoing and the last sentence of </w:t>
      </w:r>
      <w:r>
        <w:rPr>
          <w:rFonts w:ascii="Times New Roman" w:cs="Times New Roman" w:eastAsia="Times New Roman" w:hAnsi="Times New Roman"/>
          <w:sz w:val="18"/>
          <w:szCs w:val="18"/>
          <w:u w:val="single" w:color="auto"/>
          <w:color w:val="auto"/>
        </w:rPr>
        <w:t>Section 5.2(a)(ii)</w:t>
      </w:r>
      <w:r>
        <w:rPr>
          <w:rFonts w:ascii="Times New Roman" w:cs="Times New Roman" w:eastAsia="Times New Roman" w:hAnsi="Times New Roman"/>
          <w:sz w:val="18"/>
          <w:szCs w:val="18"/>
          <w:color w:val="auto"/>
        </w:rPr>
        <w:t xml:space="preserve"> and the last sentence of </w:t>
      </w:r>
      <w:r>
        <w:rPr>
          <w:rFonts w:ascii="Times New Roman" w:cs="Times New Roman" w:eastAsia="Times New Roman" w:hAnsi="Times New Roman"/>
          <w:sz w:val="18"/>
          <w:szCs w:val="18"/>
          <w:u w:val="single" w:color="auto"/>
          <w:color w:val="auto"/>
        </w:rPr>
        <w:t>Section 5.5(e)</w:t>
      </w:r>
      <w:r>
        <w:rPr>
          <w:rFonts w:ascii="Times New Roman" w:cs="Times New Roman" w:eastAsia="Times New Roman" w:hAnsi="Times New Roman"/>
          <w:sz w:val="18"/>
          <w:szCs w:val="18"/>
          <w:color w:val="auto"/>
        </w:rPr>
        <w:t>, if any Indemnitee determines in good faith that such Indemnitee and the Indemnifying Party have actual or potential differing defenses or conflicts of interest between them that make joint representation inappropriate, then the Indemnitee shall have the right to employ separate counsel (including local counsel as appropriate) and to participate in (but not control) the defense, compromise, or settlement of the applicable Third-Party Claim, and the Indemnifying Party shall bear the reasonable fees and expenses of one such counsel and local counsel (as appropriate) for all Indemnitees.</w:t>
      </w:r>
    </w:p>
    <w:p>
      <w:pPr>
        <w:spacing w:after="0" w:line="187"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last sentence of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xml:space="preserve">, an Indemnitee that does not conduct and control the defense of any Third-Party Claim, or an Indemnifying Party that has failed to elect to defend or that is not permitted to elect or defend pursuant to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any Third-Party Claim as contemplated hereby, nevertheless shall have the right to employ separate counsel (including local counsel as appropriate) of its own choosing to monitor and participate in (but not control) the defense of any Third-Party Claim for which it is a potential Indemnitee or Indemnifying Party, but the fees and expenses of such counsel shall be at the expense of such Indemnitee or Indemnifying Party, as the case may be, and the provisions of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shall not apply to such fees and expenses. Other than where there is (or there is reasonably likely to be, in the determination of the Party controlling the defense of the Third-Party Claim) a direct claim by the Party controlling the defense of the Third-Party Claim on substantially the same subject matter as the Third-Party Claim, the Party not controlling the defense of the Third-Party Claim shall cooperate with the Party that is controlling the defense of such Third-Party Claim in such defense and make reasonably available to the controlling Party, at the Indemnifying Party’s expense if such Third-Party Claim is subject to indemnification, all witnesses, information and materials in such Party’s possession or under such Party’s control relating thereto as are reasonably required by the controlling Party, subject to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claims of Privilege.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9" w:name="page30"/>
    <w:bookmarkEnd w:id="29"/>
    <w:p>
      <w:pPr>
        <w:ind w:left="4" w:right="20" w:firstLine="987"/>
        <w:spacing w:after="0" w:line="252" w:lineRule="auto"/>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Indemnifying Party may not settle or compromise any Third-Party Claim for which the Indemnifying Party is controlling the defense without the prior written consent of the Indemnitee, which consent may not be unreasonably withheld, conditioned or delayed, provided that consent is not required if such settlement or compromise is solely for monetary damages that will be fully indemnified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does not involve any finding or determination of Liability (other than monetary damages), wrongdoing or violation of Law by the Indemnitee and provides for a full, unconditional and irrevocable release of the Indemnitee, the members of the Indemnitee’s Group and each of their respective past, present and future directors, officers, employees and agents, in each case in their respective capacities as such, and each of the heirs, executors, successors and assigns of any of the foregoing from all Liability in connection with the Third-Party Claim. An Indemnitee may not settle or compromise any Third-Party Claim for which it is seeking or will seek indemnification hereunder, without the prior written consent of the Indemnifying Party, which consent may not be unreasonably withheld, conditioned or delayed. The Parties hereby agree that if a Party presents the other Party with a written notice containing a proposal to settle or compromise a Third-Party Claim for which either Party is seeking to be indemnified hereunder and the Party receiving such proposal does not respond in any manner to the Party presenting such proposal within forty-five (45) days (or, to the extent the Party receiving such proposal is informed of the applicable deadline within a reasonable time to respond, within any such shorter time period that may be required by applicable Law or court order) of receipt of such proposal, then the Party receiving such proposal shall be deemed to have consented to the terms of such proposal.</w:t>
      </w:r>
    </w:p>
    <w:p>
      <w:pPr>
        <w:spacing w:after="0" w:line="197"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(other than this </w:t>
      </w:r>
      <w:r>
        <w:rPr>
          <w:rFonts w:ascii="Times New Roman" w:cs="Times New Roman" w:eastAsia="Times New Roman" w:hAnsi="Times New Roman"/>
          <w:sz w:val="18"/>
          <w:szCs w:val="18"/>
          <w:u w:val="single" w:color="auto"/>
          <w:color w:val="auto"/>
        </w:rPr>
        <w:t>Section 5.5(g)</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not apply to Taxes (Taxes being governed by the Tax Matters Agreement).</w:t>
      </w:r>
    </w:p>
    <w:p>
      <w:pPr>
        <w:spacing w:after="0" w:line="161"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establish a procedure reasonably acceptable to the Indemnitee to keep the Indemnitee reasonably informed of the progress of the Third-Party Claim and to notify the Indemnitee when any such Third-Party Claim is closed, regardless of whether such Third-Party Claim was resolved by settlement, verdict, dismissal or otherwise.</w:t>
      </w:r>
    </w:p>
    <w:p>
      <w:pPr>
        <w:spacing w:after="0" w:line="17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b w:val="1"/>
          <w:bCs w:val="1"/>
          <w:u w:val="single" w:color="auto"/>
          <w:color w:val="auto"/>
        </w:rPr>
        <w:t>Additional Matters</w:t>
      </w:r>
      <w:r>
        <w:rPr>
          <w:rFonts w:ascii="Times New Roman" w:cs="Times New Roman" w:eastAsia="Times New Roman" w:hAnsi="Times New Roman"/>
          <w:sz w:val="18"/>
          <w:szCs w:val="18"/>
          <w:color w:val="auto"/>
        </w:rPr>
        <w:t xml:space="preserve">. (a) Indemnification payments in respect of any Liabilities for which an Indemnitee is entitled to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paid by the Indemnifying Party to the Indemnitee as such Liabilities are incurred upon demand by the Indemnitee, including reasonably satisfactory documentation setting forth the basis for the amount of such indemnification payment, including documentation with respect to calculations made and consideration of any Insurance Proceeds that actually reduce the amount of such Liabilities. THE COVENANTS AND OBLIGATIONS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REMAIN OPERATIVE AND IN FULL FORCE AND EFFECT, REGARDLESS OF</w:t>
      </w:r>
    </w:p>
    <w:p>
      <w:pPr>
        <w:spacing w:after="0" w:line="3" w:lineRule="exact"/>
        <w:rPr>
          <w:sz w:val="20"/>
          <w:szCs w:val="20"/>
          <w:color w:val="auto"/>
        </w:rPr>
      </w:pPr>
    </w:p>
    <w:p>
      <w:pPr>
        <w:ind w:left="4" w:right="500" w:hanging="4"/>
        <w:spacing w:after="0" w:line="260" w:lineRule="auto"/>
        <w:tabs>
          <w:tab w:leader="none" w:pos="2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INDEMNITEE AND (II) THE KNOWLEDGE BY THE INDEMNITEE OF LIABILITIES FOR WHICH IT MIGHT BE ENTITLED TO INDEMNIFICATION HEREUNDER.</w:t>
      </w:r>
    </w:p>
    <w:p>
      <w:pPr>
        <w:spacing w:after="0" w:line="181"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on account of a Liability that does not result from a Third-Party Claim (a “</w:t>
      </w:r>
      <w:r>
        <w:rPr>
          <w:rFonts w:ascii="Times New Roman" w:cs="Times New Roman" w:eastAsia="Times New Roman" w:hAnsi="Times New Roman"/>
          <w:sz w:val="18"/>
          <w:szCs w:val="18"/>
          <w:u w:val="single" w:color="auto"/>
          <w:color w:val="auto"/>
        </w:rPr>
        <w:t>Direct Claim</w:t>
      </w:r>
      <w:r>
        <w:rPr>
          <w:rFonts w:ascii="Times New Roman" w:cs="Times New Roman" w:eastAsia="Times New Roman" w:hAnsi="Times New Roman"/>
          <w:sz w:val="18"/>
          <w:szCs w:val="18"/>
          <w:color w:val="auto"/>
        </w:rPr>
        <w:t xml:space="preserve">”) shall be asserted by written notice given by the Indemnitee to the related Indemnifying Party as soon as reasonably practicable after the Indemnitee becomes aware of such Direct Claim. Such notice shall describe (i) the Direct Claim in reasonable detail, (ii) the basis for the claim for indemnification, (iii) to the extent known, the estimated amount of indemnifiable Liabilities for which indemnification is sought and (iv) to the extent practicable, the method of computation thereof. Such Indemnifying Party shall have a period of forty-five (45) days after the receipt of such notice within which to respond thereto. If after such forty-five (45)-day period, such claim is not resolved, Indemnitee shall be free to pursue such remedies as may be available to such party as contemplated by this Agreement and the Ancillary Agreements. Notwithstanding the foregoing, the failure of an Indemnitee to provide notice in accordance with the first sentence of this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xml:space="preserve"> shall not relieve an Indemnifying Party of its indemnification obligations under this Agreement, except to the extent to which the Indemnifying Party shall demonstrate that it was prejudiced by the Indemnitee’s failure to provide notice in accordance with the first sentence of this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payment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70" w:right="439" w:bottom="1440" w:gutter="0" w:footer="0" w:header="0"/>
        </w:sectPr>
      </w:pPr>
    </w:p>
    <w:bookmarkStart w:id="30" w:name="page31"/>
    <w:bookmarkEnd w:id="30"/>
    <w:p>
      <w:pPr>
        <w:jc w:val="both"/>
        <w:ind w:left="4" w:right="20" w:firstLine="987"/>
        <w:spacing w:after="0" w:line="266" w:lineRule="auto"/>
        <w:tabs>
          <w:tab w:leader="none" w:pos="12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of an Action for which indemnification is sought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and in which the Indemnifying Party is not a named defendant, if either the Indemnitee or Indemnifying Party shall so request, the Parties shall use commercially reasonable efforts to substitute the Indemnifying Party for the named defendant for the portion of the Action related to such indemnification claim.</w:t>
      </w:r>
    </w:p>
    <w:p>
      <w:pPr>
        <w:spacing w:after="0" w:line="175" w:lineRule="exact"/>
        <w:rPr>
          <w:rFonts w:ascii="Times New Roman" w:cs="Times New Roman" w:eastAsia="Times New Roman" w:hAnsi="Times New Roman"/>
          <w:sz w:val="18"/>
          <w:szCs w:val="18"/>
          <w:color w:val="auto"/>
        </w:rPr>
      </w:pPr>
    </w:p>
    <w:p>
      <w:pPr>
        <w:jc w:val="both"/>
        <w:ind w:left="4" w:right="340" w:firstLine="987"/>
        <w:spacing w:after="0" w:line="261"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either Party establishes a risk accrual in an amount of at least $500,000 with respect to any Third-Party Claim for which the other Party has sought indemnification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such Party shall notify the other Party of the existence and amount of such risk accrual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when the accrual is recorded in the financial statements as an accrual for a potential liability), subject to the Parties entering into an appropriate agreement with respect to the confidentiality and/or privilege thereof.</w:t>
      </w:r>
    </w:p>
    <w:p>
      <w:pPr>
        <w:spacing w:after="0" w:line="179" w:lineRule="exact"/>
        <w:rPr>
          <w:rFonts w:ascii="Times New Roman" w:cs="Times New Roman" w:eastAsia="Times New Roman" w:hAnsi="Times New Roman"/>
          <w:sz w:val="18"/>
          <w:szCs w:val="18"/>
          <w:color w:val="auto"/>
        </w:rPr>
      </w:pPr>
    </w:p>
    <w:p>
      <w:pPr>
        <w:ind w:left="4" w:firstLine="987"/>
        <w:spacing w:after="0" w:line="256" w:lineRule="auto"/>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Action involving a matter contemplated by </w:t>
      </w:r>
      <w:r>
        <w:rPr>
          <w:rFonts w:ascii="Times New Roman" w:cs="Times New Roman" w:eastAsia="Times New Roman" w:hAnsi="Times New Roman"/>
          <w:sz w:val="18"/>
          <w:szCs w:val="18"/>
          <w:u w:val="single" w:color="auto"/>
          <w:color w:val="auto"/>
        </w:rPr>
        <w:t>Section 5.14(c)</w:t>
      </w:r>
      <w:r>
        <w:rPr>
          <w:rFonts w:ascii="Times New Roman" w:cs="Times New Roman" w:eastAsia="Times New Roman" w:hAnsi="Times New Roman"/>
          <w:sz w:val="18"/>
          <w:szCs w:val="18"/>
          <w:color w:val="auto"/>
        </w:rPr>
        <w:t>, (i) if there is a conflict of interest that under applicable rules of professional conduct would preclude legal counsel for one Party or one of its Subsidiaries representing another Party or one of its Subsidiaries or (ii) if any Third-Party Claim seeks equitable relief that would restrict or limit the future conduct of the non-responsible Party or one of its Subsidiaries or the business or operations of such non-responsible Party or one of its Subsidiaries, then the non-responsible Party shall be entitled to retain, at its sole expense, separate legal counsel to represent its interest and to participate in the defense, compromise, or settlement of that portion of the Third-Party Claim against that Party or one of its Subsidiaries.</w:t>
      </w:r>
    </w:p>
    <w:p>
      <w:pPr>
        <w:spacing w:after="0" w:line="187"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RELEASES AND INDEMNIFICATION OBLIGATIONS OF THE PARTIES IN THIS AGREEMENT ARE EXPRESSLY INTENDED, AND SHALL OPERATE AND BE CONSTRUED, TO APPLY EVEN WHERE THE LIABILITIES FOR WHICH THE RELEASE AND/OR INDEMNITY ARE GIVEN ARE CAUSED, IN WHOLE OR IN PART, BY THE SOLE, JOINT, JOINT AND SEVERAL, CONCURRENT, CONTRIBUTORY, ACTIVE OR PASSIVE NEGLIGENCE OR THE STRICT LIABILITY OR FAULT OF THE PARTY BEING RELEASED OR INDEMNIFIED.</w:t>
      </w:r>
    </w:p>
    <w:p>
      <w:pPr>
        <w:spacing w:after="0" w:line="179" w:lineRule="exact"/>
        <w:rPr>
          <w:sz w:val="20"/>
          <w:szCs w:val="20"/>
          <w:color w:val="auto"/>
        </w:rPr>
      </w:pPr>
    </w:p>
    <w:p>
      <w:pPr>
        <w:ind w:left="4" w:right="4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b w:val="1"/>
          <w:bCs w:val="1"/>
          <w:u w:val="single" w:color="auto"/>
          <w:color w:val="auto"/>
        </w:rPr>
        <w:t>Survival of Indemnities</w:t>
      </w:r>
      <w:r>
        <w:rPr>
          <w:rFonts w:ascii="Times New Roman" w:cs="Times New Roman" w:eastAsia="Times New Roman" w:hAnsi="Times New Roman"/>
          <w:sz w:val="18"/>
          <w:szCs w:val="18"/>
          <w:color w:val="auto"/>
        </w:rPr>
        <w:t xml:space="preserve">. The rights and obligations of each of GRAIL and Illumina and their respective Indemnitees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survive (a) the sale or other transfer by any Party of any Assets or businesses or the assignment by it of any Liabilities, and (b) any merger, consolidation, business combination, sale of all or substantially all of the Assets, restructuring, recapitalization, reorganization or similar transaction involving either Party or any of its respective Subsidiaries.</w:t>
      </w:r>
    </w:p>
    <w:p>
      <w:pPr>
        <w:spacing w:after="0" w:line="176"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b w:val="1"/>
          <w:bCs w:val="1"/>
          <w:u w:val="single" w:color="auto"/>
          <w:color w:val="auto"/>
        </w:rPr>
        <w:t>Right of Contribution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xml:space="preserve">. If any right of indemnification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(including any costs, expenses, attorneys’ fees, disbursements and expenses of counsel, expert and consulting fees and costs related thereto or to the investigation or defense thereof)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w:t>
      </w:r>
    </w:p>
    <w:p>
      <w:pPr>
        <w:spacing w:after="0" w:line="185" w:lineRule="exact"/>
        <w:rPr>
          <w:sz w:val="20"/>
          <w:szCs w:val="20"/>
          <w:color w:val="auto"/>
        </w:rPr>
      </w:pPr>
    </w:p>
    <w:p>
      <w:pPr>
        <w:ind w:left="4" w:firstLine="987"/>
        <w:spacing w:after="0" w:line="277" w:lineRule="auto"/>
        <w:tabs>
          <w:tab w:leader="none" w:pos="125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Allocation of Relative Fault</w:t>
      </w:r>
      <w:r>
        <w:rPr>
          <w:rFonts w:ascii="Times New Roman" w:cs="Times New Roman" w:eastAsia="Times New Roman" w:hAnsi="Times New Roman"/>
          <w:sz w:val="17"/>
          <w:szCs w:val="17"/>
          <w:color w:val="auto"/>
        </w:rPr>
        <w:t>. Solely for purposes of determining relative fault pursuant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5.8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circumstances in which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indemnification is unavailable because of a fault associated with the business conducted by GRAIL, Illumina or a member of their respective Groups,</w:t>
      </w:r>
    </w:p>
    <w:p>
      <w:pPr>
        <w:spacing w:after="0" w:line="1" w:lineRule="exact"/>
        <w:rPr>
          <w:rFonts w:ascii="Times New Roman" w:cs="Times New Roman" w:eastAsia="Times New Roman" w:hAnsi="Times New Roman"/>
          <w:sz w:val="17"/>
          <w:szCs w:val="17"/>
          <w:color w:val="auto"/>
        </w:rPr>
      </w:pPr>
    </w:p>
    <w:p>
      <w:pPr>
        <w:ind w:left="4" w:right="40" w:hanging="4"/>
        <w:spacing w:after="0" w:line="252"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fault associated with the business conducted with the Illumina Assets or Illumina Liabilities (except for the gross negligence or intentional misconduct of GRAIL or a member of the GRAIL Group) or with the ownership, operation or activities of the Illumina Business shall be deemed to be the fault of Illumina and the members of the Illumina Group, and no such fault shall be deemed to be the fault of GRAIL or any member of the GRAIL Group; and (ii) any fault associated with the business conducted with the GRAIL Assets or the GRAIL Liabilities (except for the gross negligence or intentional misconduct of Illumina or the members of the Illumina Group) or with the ownership, operation or activities of the GRAIL Business shall be deemed to be the fault of GRAIL and the members of the GRAIL Group, and no such fault shall be deemed to be the fault of Illumina or any member of the Illumina Group.</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31" w:name="page32"/>
    <w:bookmarkEnd w:id="3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8"/>
          <w:szCs w:val="18"/>
          <w:i w:val="1"/>
          <w:iCs w:val="1"/>
          <w:color w:val="auto"/>
        </w:rPr>
        <w:t>Contribution Procedures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5.5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shall govern any contribution claims.</w:t>
      </w:r>
    </w:p>
    <w:p>
      <w:pPr>
        <w:spacing w:after="0" w:line="22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b w:val="1"/>
          <w:bCs w:val="1"/>
          <w:u w:val="single" w:color="auto"/>
          <w:color w:val="auto"/>
        </w:rPr>
        <w:t>Covenant Not to Sue (Liabilities and Indemnity)</w:t>
      </w:r>
      <w:r>
        <w:rPr>
          <w:rFonts w:ascii="Times New Roman" w:cs="Times New Roman" w:eastAsia="Times New Roman" w:hAnsi="Times New Roman"/>
          <w:sz w:val="18"/>
          <w:szCs w:val="18"/>
          <w:color w:val="auto"/>
        </w:rPr>
        <w:t xml:space="preserve">.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administrative agency or other Governmental Authority anywhere in the world, alleging that: (a) the assumption of any GRAIL Liabilities by GRAIL or a member of the GRAIL Group on the terms and conditions set forth in this Agreement and the Ancillary Agreements is void or unenforceable for any reason; (b) the provisions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void or unenforceable for any reason; or (c)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void or unenforceable for any reason.</w:t>
      </w:r>
    </w:p>
    <w:p>
      <w:pPr>
        <w:spacing w:after="0" w:line="182"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b w:val="1"/>
          <w:bCs w:val="1"/>
          <w:u w:val="single" w:color="auto"/>
          <w:color w:val="auto"/>
        </w:rPr>
        <w:t>No Impact on Third Parties</w:t>
      </w:r>
      <w:r>
        <w:rPr>
          <w:rFonts w:ascii="Times New Roman" w:cs="Times New Roman" w:eastAsia="Times New Roman" w:hAnsi="Times New Roman"/>
          <w:sz w:val="18"/>
          <w:szCs w:val="18"/>
          <w:color w:val="auto"/>
        </w:rPr>
        <w:t xml:space="preserve">. For the avoidance of doubt, except as expressly set forth in this Agreement, the indemnifications provided for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made only for purposes of allocating responsibility for Liabilities between the GRAIL Group, on the one hand, and the Illumina Group, on the other hand, and are not intended to, and shall not, affect any obligations to, or give rise to any rights of, any third parties.</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b w:val="1"/>
          <w:bCs w:val="1"/>
          <w:u w:val="single" w:color="auto"/>
          <w:color w:val="auto"/>
        </w:rPr>
        <w:t>No Cross-Claims or Third-Party Claims</w:t>
      </w:r>
      <w:r>
        <w:rPr>
          <w:rFonts w:ascii="Times New Roman" w:cs="Times New Roman" w:eastAsia="Times New Roman" w:hAnsi="Times New Roman"/>
          <w:sz w:val="18"/>
          <w:szCs w:val="18"/>
          <w:color w:val="auto"/>
        </w:rPr>
        <w:t xml:space="preserve">. Each of Illumina and GRAIL agrees that it shall not, and shall not permit the members of its respective Group to, in connection with any Third-Party Claim, assert as a counterclaim or third-party claim against any member of the GRAIL Group or Illumina Group, respectively, any claim (whether sounding in contract, tort or otherwise) that arises out of or relates to this Agreement, any breach or alleged breach hereof, the transactions contemplated hereby (including all actions taken in furtherance of the transactions contemplated hereby on or prior to the date hereof), or the construction, interpretation, enforceability or validity hereof, which in each such case shall be asserted only as contemplated by </w:t>
      </w:r>
      <w:r>
        <w:rPr>
          <w:rFonts w:ascii="Times New Roman" w:cs="Times New Roman" w:eastAsia="Times New Roman" w:hAnsi="Times New Roman"/>
          <w:sz w:val="18"/>
          <w:szCs w:val="18"/>
          <w:u w:val="single" w:color="auto"/>
          <w:color w:val="auto"/>
        </w:rPr>
        <w:t>Sections 9.2, 9.4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xml:space="preserve">. If any indemnification provided for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determined by the sole arbitrator or arbitral tribunal (as the case may be) to be invalid, void or unenforceable, the liability shall be apportioned between the Indemnitee and the Indemnifying Party as determined in a separate proceeding in accordance with </w:t>
      </w:r>
      <w:r>
        <w:rPr>
          <w:rFonts w:ascii="Times New Roman" w:cs="Times New Roman" w:eastAsia="Times New Roman" w:hAnsi="Times New Roman"/>
          <w:sz w:val="18"/>
          <w:szCs w:val="18"/>
          <w:u w:val="single" w:color="auto"/>
          <w:color w:val="auto"/>
        </w:rPr>
        <w:t>Sections 9.2, 9.4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b w:val="1"/>
          <w:bCs w:val="1"/>
          <w:u w:val="single" w:color="auto"/>
          <w:color w:val="auto"/>
        </w:rPr>
        <w:t>Exclusivity</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the sole and exclusive remedy for any and all claims, Liabilities or other matters based upon, relating to or arising from this Agreement or any Ancillary Agreement or the transactions contemplated hereby or thereby shall be the rights of indemnification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no Person shall have any other entitlement, remedy or recourse, whether in contract, tort, strict liability, equitable remedy or otherwise, it being agreed that all of such other remedies, entitlements and recourse are expressly waived and released by the Parties to the fullest extent permitted by Law.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not operate to interfere with or impede the operation of the covenants contained in this Agreement or any Ancillary Agreement, with respect to a Party’s right to seek equitable remedies (including specific performance or injunctive relief). For the avoidance of doubt,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not preclude any claim made pursuant to the Supply Agreement in connection with any indemnity or other remedy set forth therein.</w:t>
      </w:r>
    </w:p>
    <w:p>
      <w:pPr>
        <w:spacing w:after="0" w:line="18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b w:val="1"/>
          <w:bCs w:val="1"/>
          <w:u w:val="single" w:color="auto"/>
          <w:color w:val="auto"/>
        </w:rPr>
        <w:t>Cooperation in Defense and Settlement</w:t>
      </w:r>
      <w:r>
        <w:rPr>
          <w:rFonts w:ascii="Times New Roman" w:cs="Times New Roman" w:eastAsia="Times New Roman" w:hAnsi="Times New Roman"/>
          <w:sz w:val="18"/>
          <w:szCs w:val="18"/>
          <w:color w:val="auto"/>
        </w:rPr>
        <w:t>. (a) With respect to any Third-Party Claim that implicates both Parties in a material fashion due to the allocation of Liabilities, responsibilities for management of defense and related indemnities pursuant to this Agreement or any of the Ancillary Agreements, the Parties agree to use commercially reasonable efforts to cooperate fully and maintain a joint defense (in a manner that will preserve for the Parties any Privileges, joint defense or other privilege with respect thereto).</w:t>
      </w:r>
    </w:p>
    <w:p>
      <w:pPr>
        <w:spacing w:after="0" w:line="180" w:lineRule="exact"/>
        <w:rPr>
          <w:sz w:val="20"/>
          <w:szCs w:val="20"/>
          <w:color w:val="auto"/>
        </w:rPr>
      </w:pPr>
    </w:p>
    <w:p>
      <w:pPr>
        <w:jc w:val="both"/>
        <w:ind w:right="140" w:firstLine="987"/>
        <w:spacing w:after="0" w:line="289" w:lineRule="auto"/>
        <w:tabs>
          <w:tab w:leader="none" w:pos="124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there are documents, other materials, access to employees or witnesses related to or from a Party that is not responsible for the defense or Liability of a particular Action, such Party shall provide to the other Party (at such other Party’s cost and expense) reasonable access to documents, other materials, employees, and shall permit employees, officers and directors to cooperate as witnesses in the defense of such Action.</w:t>
      </w:r>
    </w:p>
    <w:p>
      <w:pPr>
        <w:spacing w:after="0" w:line="157" w:lineRule="exact"/>
        <w:rPr>
          <w:rFonts w:ascii="Times New Roman" w:cs="Times New Roman" w:eastAsia="Times New Roman" w:hAnsi="Times New Roman"/>
          <w:sz w:val="17"/>
          <w:szCs w:val="17"/>
          <w:color w:val="auto"/>
        </w:rPr>
      </w:pPr>
    </w:p>
    <w:p>
      <w:pPr>
        <w:jc w:val="both"/>
        <w:ind w:right="160" w:firstLine="987"/>
        <w:spacing w:after="0" w:line="266"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GRAIL and Illumina agrees that at all times from and after the Effective Time, if an Action currently exists or is commenced by a Third Party with respect to which a Party (or the members of its Group) is a named defendant, but the defense of such Action and any recovery in such Action is otherwise not 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68" w:right="479" w:bottom="1440" w:gutter="0" w:footer="0" w:header="0"/>
        </w:sectPr>
      </w:pPr>
    </w:p>
    <w:bookmarkStart w:id="32" w:name="page33"/>
    <w:bookmarkEnd w:id="32"/>
    <w:p>
      <w:pPr>
        <w:ind w:left="4"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Liability allocated under this Agreement or any Ancillary Agreement to that Party, then the other Party shall use commercially reasonable efforts to cause the named but not liable defendant to be removed from such Action and such defendants shall not be required to make any payments or contributions therewith.</w:t>
      </w:r>
    </w:p>
    <w:p>
      <w:pPr>
        <w:spacing w:after="0" w:line="172"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b w:val="1"/>
          <w:bCs w:val="1"/>
          <w:u w:val="single" w:color="auto"/>
          <w:color w:val="auto"/>
        </w:rPr>
        <w:t>Insurance Matters</w:t>
      </w:r>
      <w:r>
        <w:rPr>
          <w:rFonts w:ascii="Times New Roman" w:cs="Times New Roman" w:eastAsia="Times New Roman" w:hAnsi="Times New Roman"/>
          <w:sz w:val="18"/>
          <w:szCs w:val="18"/>
          <w:color w:val="auto"/>
        </w:rPr>
        <w:t>. Each of GRAIL and Illumina acknowledges and agrees that GRAIL is and will be treated as the successor-in-interest to coverage under that certain D&amp;O tail policy purchased by GRAIL in connection with the Original Transaction with all rights to seek coverage thereunder after the Effective Time.</w:t>
      </w:r>
    </w:p>
    <w:p>
      <w:pPr>
        <w:spacing w:after="0" w:line="38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EXCHANGE OF INFORMATION; CONFIDENTIALITY</w:t>
      </w:r>
    </w:p>
    <w:p>
      <w:pPr>
        <w:spacing w:after="0" w:line="225" w:lineRule="exact"/>
        <w:rPr>
          <w:sz w:val="20"/>
          <w:szCs w:val="20"/>
          <w:color w:val="auto"/>
        </w:rPr>
      </w:pPr>
    </w:p>
    <w:p>
      <w:pPr>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b w:val="1"/>
          <w:bCs w:val="1"/>
          <w:u w:val="single" w:color="auto"/>
          <w:color w:val="auto"/>
        </w:rPr>
        <w:t>Agreement for Exchange of Information</w:t>
      </w:r>
      <w:r>
        <w:rPr>
          <w:rFonts w:ascii="Times New Roman" w:cs="Times New Roman" w:eastAsia="Times New Roman" w:hAnsi="Times New Roman"/>
          <w:sz w:val="17"/>
          <w:szCs w:val="17"/>
          <w:color w:val="auto"/>
        </w:rPr>
        <w:t>. Except as otherwise provided in any Ancillary Agreement, each of Illumina and GRAIL, on behalf of itself and the members of its respective Group, shall use commercially reasonable efforts to provide or make available, or cause to be provided or made available, to the other Party, at any time before or after the Effective Time, as soon as reasonably practicable after written request therefor, any Information (or a copy thereof) in the possession or under the control of either Party or any of the members of its Group to the extent that:</w:t>
      </w:r>
    </w:p>
    <w:p>
      <w:pPr>
        <w:ind w:left="4" w:right="20" w:hanging="4"/>
        <w:spacing w:after="0" w:line="251"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Information relates to the GRAIL Business or any GRAIL Asset or GRAIL Liability, if GRAIL is the requesting party, or to the Illumina Business or any Illumina Asset or Illumina Liability, if Illumina is the requesting party; (ii) such Information is required by the requesting party to comply with its obligations under this Agreement or any Ancillary Agreement; (iii) such Information is required to comply with reporting, disclosure, filing or other requirements imposed on Illumina or GRAIL, or any other member of its respective Group, as applicable (including under applicable securities Laws), by any national securities exchange or any Governmental Authority having jurisdiction over Illumina or GRAIL, or any other member of its respective Group, as applicable; and (iv) such Information is required for use in any other judicial, regulatory, administrative or other Action or in order to satisfy audit, accounting, regulatory, litigation or other similar requirements (other than in the case of any Actions between any member of the GRAIL Group, on the one hand, and any member of the Illumina Group on the other hand);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the Party to whom the request has been made reasonably determines that any such provision of Information could be commercially detrimental, violate any Law or agreement or waive any Privilege, then the Parties shall use commercially reasonable efforts to permit compliance with such obligations to the extent and in a manner that avoids any such harm or consequence. The Party providing Information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expand the obligations of the Parties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be deemed to obligate GRAIL to provide any Information in connection with Illumina’s obligations under the CVR Agreement, which is specifically and exclusively governed by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b w:val="1"/>
          <w:bCs w:val="1"/>
          <w:u w:val="single" w:color="auto"/>
          <w:color w:val="auto"/>
        </w:rPr>
        <w:t>CVR Information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Notwithstanding anything in this Agreement to the contrary but subject to </w:t>
      </w:r>
      <w:r>
        <w:rPr>
          <w:rFonts w:ascii="Times New Roman" w:cs="Times New Roman" w:eastAsia="Times New Roman" w:hAnsi="Times New Roman"/>
          <w:sz w:val="17"/>
          <w:szCs w:val="17"/>
          <w:u w:val="single" w:color="auto"/>
          <w:color w:val="auto"/>
        </w:rPr>
        <w:t>Section 6.2(h)</w:t>
      </w:r>
      <w:r>
        <w:rPr>
          <w:rFonts w:ascii="Times New Roman" w:cs="Times New Roman" w:eastAsia="Times New Roman" w:hAnsi="Times New Roman"/>
          <w:sz w:val="17"/>
          <w:szCs w:val="17"/>
          <w:color w:val="auto"/>
        </w:rPr>
        <w:t>, GRAIL, on behalf of itself and the members of its Group, shall promptly (and in any event in a manner consistent with the timelines set forth in the CVR Agreement and past practice) provide or make available, or cause to be provided or made available, to Illumina and its Representatives, each pursuant to the CVR Agreement, beginning at the Effective Time and for so long as Illumina has any obligations pursuant to the CVR Agreement, any Information reasonably necessary to comply with Illumina’s obligations under the CVR Agreement and applicable Law (which Information may be disclosed and used by Illumina to comply with its obligations under the CVR Agreement and applicable Law) including: (i) the Covered Revenues and any other Information as is required by the CVR Agreement to be included in the Covered Revenues Statement; (ii) any Information as is required to comply with reporting, disclosure, filing or other requirements by any national securities exchange or any Governmental Authority having jurisdiction over Illumina;</w:t>
      </w:r>
    </w:p>
    <w:p>
      <w:pPr>
        <w:spacing w:after="0" w:line="4" w:lineRule="exact"/>
        <w:rPr>
          <w:sz w:val="20"/>
          <w:szCs w:val="20"/>
          <w:color w:val="auto"/>
        </w:rPr>
      </w:pPr>
    </w:p>
    <w:p>
      <w:pPr>
        <w:ind w:left="4" w:hanging="4"/>
        <w:spacing w:after="0" w:line="253" w:lineRule="auto"/>
        <w:tabs>
          <w:tab w:leader="none" w:pos="3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as is required by Illumina to comply with any audit procedures pursuant to the CVR Agreement (including by providing access to third parties to comply with such procedures) or any bona fide audit initiated by an auditor of Illumina or any regulator or other Governmental Authority having jurisdiction over Illumina; (iv) any Information as is required by Illumina to defend any Action arising from or relating to the CVR Agreement; and (v) such other Information that Illumina determines is reasonably necessary or advisable for it to discharge its rights, responsibilities, privileges, protections, immunities and benefits under the CVR Agreement.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33" w:name="page34"/>
    <w:bookmarkEnd w:id="33"/>
    <w:p>
      <w:pPr>
        <w:ind w:left="4" w:right="20" w:firstLine="987"/>
        <w:spacing w:after="0" w:line="261" w:lineRule="auto"/>
        <w:tabs>
          <w:tab w:leader="none" w:pos="12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limiting the generality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GRAIL, on behalf of itself and the members of its Group, shall provide as soon as reasonably practicable but in any event no later than fifteen (15) business days following the end of any Covered Revenues Measuring Period, with respect to such completed Covered Revenues Measuring Period, a written certification to Illumina from the Chief Financial Officer of GRAIL certifying the accuracy of the information provided pursuant to </w:t>
      </w:r>
      <w:r>
        <w:rPr>
          <w:rFonts w:ascii="Times New Roman" w:cs="Times New Roman" w:eastAsia="Times New Roman" w:hAnsi="Times New Roman"/>
          <w:sz w:val="18"/>
          <w:szCs w:val="18"/>
          <w:u w:val="single" w:color="auto"/>
          <w:color w:val="auto"/>
        </w:rPr>
        <w:t>Sections 6.2(a)(i) and 6.2(c)</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180" w:firstLine="987"/>
        <w:spacing w:after="0" w:line="255" w:lineRule="auto"/>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6.2(h)</w:t>
      </w:r>
      <w:r>
        <w:rPr>
          <w:rFonts w:ascii="Times New Roman" w:cs="Times New Roman" w:eastAsia="Times New Roman" w:hAnsi="Times New Roman"/>
          <w:sz w:val="18"/>
          <w:szCs w:val="18"/>
          <w:color w:val="auto"/>
        </w:rPr>
        <w:t>, GRAIL, on behalf of itself and the members of its Group, shall provide or make available, or cause to be provided or made available, to each of Illumina and an independent certified public accounting firm of nationally recognized standing designated by Illumina (in its sole discretion), beginning at the Effective Time and for so long as any CVR Liabilities are outstanding, in respect of any Fiscal Period, as soon as reasonably practicable but in any event no later than fifteen (15) business days following the completion of such Fiscal Period, the Covered Revenues attributable to the GRAIL Business realized in such Fiscal Period, including an allocation of amounts attributable to sales to Illumina, together with any supporting books and records, journal entries, other financial records and Information.</w:t>
      </w:r>
    </w:p>
    <w:p>
      <w:pPr>
        <w:spacing w:after="0" w:line="188"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6.2(h)</w:t>
      </w:r>
      <w:r>
        <w:rPr>
          <w:rFonts w:ascii="Times New Roman" w:cs="Times New Roman" w:eastAsia="Times New Roman" w:hAnsi="Times New Roman"/>
          <w:sz w:val="18"/>
          <w:szCs w:val="18"/>
          <w:color w:val="auto"/>
        </w:rPr>
        <w:t>, if Illumina proposes or reasonably intends to conduct a tender offer, exchange offer or consent solicitation or otherwise purchase all or any portion of the outstanding CVRs, upon request to GRAIL, GRAIL, on behalf of itself and the members of its Group, shall promptly provide or make available, or cause to be provided or made available, to Illumina, as soon as reasonably practicable, any Information Illumina determines is reasonably necessary or advisable to conduct such tender offer, exchange offer, consent solicitation or other purchase, including any Information necessary to comply with the applicable requirements of the Exchange Act and the rules and regulations of the SEC thereunder and/or any Information that would need to be provided in an information statement to ensure that such information statement shall not contain any untrue statement of a material fact or omit to state a material fact required to be stated therein or necessary to make the statements therein not misleading.</w:t>
      </w:r>
    </w:p>
    <w:p>
      <w:pPr>
        <w:spacing w:after="0" w:line="191"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the requirements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6.2(h)</w:t>
      </w:r>
      <w:r>
        <w:rPr>
          <w:rFonts w:ascii="Times New Roman" w:cs="Times New Roman" w:eastAsia="Times New Roman" w:hAnsi="Times New Roman"/>
          <w:sz w:val="18"/>
          <w:szCs w:val="18"/>
          <w:color w:val="auto"/>
        </w:rPr>
        <w:t>, GRAIL, on behalf of itself and the members of its Group, shall provide or make available, or cause to be provided or made available, beginning at the Effective Time and for so long as any CVR Liabilities are outstanding, in respect of any Covered Revenues Measuring Period, as soon as reasonably practicable but in any event no later than fifteen (15) business days following the end of such Covered Revenues Measuring Period, the Information necessary to be provided by Illumina in each Covered Revenues Statement in respect of the GRAIL Business in form and substance reasonably satisfactory to Illumina and reasonably consistent with practice prior to the Effective Time (including reasonably detailed descriptions of the applicable Covered Products and Services and itemized calculations in detail (including gross revenues, adjustments for the applicable period, reserves for uncollected debts, rebates and net revenue by general ledger account and category)).</w:t>
      </w:r>
    </w:p>
    <w:p>
      <w:pPr>
        <w:spacing w:after="0" w:line="191" w:lineRule="exact"/>
        <w:rPr>
          <w:rFonts w:ascii="Times New Roman" w:cs="Times New Roman" w:eastAsia="Times New Roman" w:hAnsi="Times New Roman"/>
          <w:sz w:val="18"/>
          <w:szCs w:val="18"/>
          <w:color w:val="auto"/>
        </w:rPr>
      </w:pPr>
    </w:p>
    <w:p>
      <w:pPr>
        <w:jc w:val="both"/>
        <w:ind w:left="4" w:right="180" w:firstLine="987"/>
        <w:spacing w:after="0" w:line="266" w:lineRule="auto"/>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(other than Illumina) seeking to receive information from GRAIL in connection with a review pursuant to Section 6.5 of the CVR Agreement shall enter into, and shall cause its accounting firm to enter into, a reasonable and mutually satisfactory confidentiality agreement with GRAIL in accordance with the requirements of Section 6.5 of the CVR Agreement.</w:t>
      </w:r>
    </w:p>
    <w:p>
      <w:pPr>
        <w:spacing w:after="0" w:line="175" w:lineRule="exact"/>
        <w:rPr>
          <w:rFonts w:ascii="Times New Roman" w:cs="Times New Roman" w:eastAsia="Times New Roman" w:hAnsi="Times New Roman"/>
          <w:sz w:val="18"/>
          <w:szCs w:val="18"/>
          <w:color w:val="auto"/>
        </w:rPr>
      </w:pPr>
    </w:p>
    <w:p>
      <w:pPr>
        <w:ind w:left="4" w:right="140" w:firstLine="987"/>
        <w:spacing w:after="0" w:line="276" w:lineRule="auto"/>
        <w:tabs>
          <w:tab w:leader="none" w:pos="125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GRAIL Group shall keep true, complete and accurate records in sufficient detail to enable (i) the Holders and their consultants or professional advisors to determine the amounts payable thereunder and allow Illumina to comply with its obligations under the CVR Agreement and</w:t>
      </w:r>
    </w:p>
    <w:p>
      <w:pPr>
        <w:ind w:left="264" w:hanging="264"/>
        <w:spacing w:after="0"/>
        <w:tabs>
          <w:tab w:leader="none" w:pos="2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GRAIL to comply with its obligations hereunder.</w:t>
      </w:r>
    </w:p>
    <w:p>
      <w:pPr>
        <w:spacing w:after="0" w:line="206"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2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require any member of the GRAIL Group to provide to Illumina or any other Person any forecasts, projections, long-range plans or other Information that relate to a future Fiscal Period.</w:t>
      </w:r>
    </w:p>
    <w:p>
      <w:pPr>
        <w:spacing w:after="0" w:line="161" w:lineRule="exact"/>
        <w:rPr>
          <w:rFonts w:ascii="Times New Roman" w:cs="Times New Roman" w:eastAsia="Times New Roman" w:hAnsi="Times New Roman"/>
          <w:sz w:val="18"/>
          <w:szCs w:val="18"/>
          <w:color w:val="auto"/>
        </w:rPr>
      </w:pPr>
    </w:p>
    <w:p>
      <w:pPr>
        <w:ind w:left="4" w:right="340" w:firstLine="987"/>
        <w:spacing w:after="0" w:line="266" w:lineRule="auto"/>
        <w:tabs>
          <w:tab w:leader="none" w:pos="12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each of the following terms shall have the meanings ascribed thereto in the CVR Agreement: “Covered Products and Services”, “Covered Revenues”, “Covered Revenues Measuring Period”, “Covered Revenues Statement”, “CVRs”, “Holder Representative”, “Holders” and “Trustee”.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34" w:name="page35"/>
    <w:bookmarkEnd w:id="34"/>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6.3. </w:t>
      </w:r>
      <w:r>
        <w:rPr>
          <w:rFonts w:ascii="Times New Roman" w:cs="Times New Roman" w:eastAsia="Times New Roman" w:hAnsi="Times New Roman"/>
          <w:sz w:val="18"/>
          <w:szCs w:val="18"/>
          <w:b w:val="1"/>
          <w:bCs w:val="1"/>
          <w:u w:val="single" w:color="auto"/>
          <w:color w:val="auto"/>
        </w:rPr>
        <w:t>Ownership of Information</w:t>
      </w:r>
      <w:r>
        <w:rPr>
          <w:rFonts w:ascii="Times New Roman" w:cs="Times New Roman" w:eastAsia="Times New Roman" w:hAnsi="Times New Roman"/>
          <w:sz w:val="18"/>
          <w:szCs w:val="18"/>
          <w:color w:val="auto"/>
        </w:rPr>
        <w:t xml:space="preserve">. Any Information owned by one Group that is provided to a requesting Party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6.8</w:t>
      </w:r>
      <w:r>
        <w:rPr>
          <w:rFonts w:ascii="Times New Roman" w:cs="Times New Roman" w:eastAsia="Times New Roman" w:hAnsi="Times New Roman"/>
          <w:sz w:val="18"/>
          <w:szCs w:val="18"/>
          <w:color w:val="auto"/>
        </w:rPr>
        <w:t xml:space="preserve"> shall remain the property of the providing Party. Unless specifically set forth herein, nothing contained in this Agreement shall be construed as granting or conferring rights of license or otherwise in any such Information.</w:t>
      </w:r>
    </w:p>
    <w:p>
      <w:pPr>
        <w:spacing w:after="0" w:line="17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b w:val="1"/>
          <w:bCs w:val="1"/>
          <w:u w:val="single" w:color="auto"/>
          <w:color w:val="auto"/>
        </w:rPr>
        <w:t>Compensation for Providing Information</w:t>
      </w:r>
      <w:r>
        <w:rPr>
          <w:rFonts w:ascii="Times New Roman" w:cs="Times New Roman" w:eastAsia="Times New Roman" w:hAnsi="Times New Roman"/>
          <w:sz w:val="18"/>
          <w:szCs w:val="18"/>
          <w:color w:val="auto"/>
        </w:rPr>
        <w:t xml:space="preserve">. The Party requesting Information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agrees to reimburse the other Party for the reasonable out-of-pocket costs, if any, of gathering, copying, transporting and otherwise complying with the request with respect to such Information (including any costs and expenses incurred in any review of Information for purposes of protecting the Privileged Information of the providing Party or its Group or in connection with the restoration of backup media for purposes of providing the requested Information). Except as may be otherwise specifically provided elsewhere in this Agreement, any Ancillary Agreement or any other agreement between the Parties, such costs shall reflect the providing Party’s actual costs and expenses. In connection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GRAIL shall be responsible for the costs and fees described under Section 6.5(a) and (b) of the CVR Agreement if and to the extent Illumina would be obligated to make any payments thereunder.</w:t>
      </w:r>
    </w:p>
    <w:p>
      <w:pPr>
        <w:spacing w:after="0" w:line="183"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b w:val="1"/>
          <w:bCs w:val="1"/>
          <w:u w:val="single" w:color="auto"/>
          <w:color w:val="auto"/>
        </w:rPr>
        <w:t>Record Retention</w:t>
      </w:r>
      <w:r>
        <w:rPr>
          <w:rFonts w:ascii="Times New Roman" w:cs="Times New Roman" w:eastAsia="Times New Roman" w:hAnsi="Times New Roman"/>
          <w:sz w:val="18"/>
          <w:szCs w:val="18"/>
          <w:color w:val="auto"/>
        </w:rPr>
        <w:t xml:space="preserve">. To facilitate the possible exchange of Information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other provisions of this Agreement, each Party shall use its reasonable best efforts to retain all Information in such Party’s possession relating to the other Party or its businesses, Assets or Liabilities, this Agreement or the Ancillary Agreements in accordance with its respective record retention policies as in effect on the date hereof or such longer period as required by Law, this Agreement or the Ancillary Agreements.</w:t>
      </w:r>
    </w:p>
    <w:p>
      <w:pPr>
        <w:spacing w:after="0" w:line="176" w:lineRule="exact"/>
        <w:rPr>
          <w:sz w:val="20"/>
          <w:szCs w:val="20"/>
          <w:color w:val="auto"/>
        </w:rPr>
      </w:pPr>
    </w:p>
    <w:p>
      <w:pPr>
        <w:jc w:val="both"/>
        <w:ind w:right="80" w:firstLine="440"/>
        <w:spacing w:after="0" w:line="317" w:lineRule="auto"/>
        <w:rPr>
          <w:sz w:val="20"/>
          <w:szCs w:val="20"/>
          <w:color w:val="auto"/>
        </w:rPr>
      </w:pPr>
      <w:r>
        <w:rPr>
          <w:rFonts w:ascii="Times New Roman" w:cs="Times New Roman" w:eastAsia="Times New Roman" w:hAnsi="Times New Roman"/>
          <w:sz w:val="17"/>
          <w:szCs w:val="17"/>
          <w:color w:val="auto"/>
        </w:rPr>
        <w:t xml:space="preserve">Section 6.6. </w:t>
      </w:r>
      <w:r>
        <w:rPr>
          <w:rFonts w:ascii="Times New Roman" w:cs="Times New Roman" w:eastAsia="Times New Roman" w:hAnsi="Times New Roman"/>
          <w:sz w:val="17"/>
          <w:szCs w:val="17"/>
          <w:b w:val="1"/>
          <w:bCs w:val="1"/>
          <w:u w:val="single" w:color="auto"/>
          <w:color w:val="auto"/>
        </w:rPr>
        <w:t>Other Agreements Providing for Exchange of Information</w:t>
      </w:r>
      <w:r>
        <w:rPr>
          <w:rFonts w:ascii="Times New Roman" w:cs="Times New Roman" w:eastAsia="Times New Roman" w:hAnsi="Times New Roman"/>
          <w:sz w:val="17"/>
          <w:szCs w:val="17"/>
          <w:color w:val="auto"/>
        </w:rPr>
        <w:t xml:space="preserve">. The rights and obligations granted under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are subject to any specific limitations, qualifications or additional provisions in any Ancillary Agreement regarding the sharing, exchange or retention of Information.</w:t>
      </w:r>
    </w:p>
    <w:p>
      <w:pPr>
        <w:spacing w:after="0" w:line="132"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b w:val="1"/>
          <w:bCs w:val="1"/>
          <w:u w:val="single" w:color="auto"/>
          <w:color w:val="auto"/>
        </w:rPr>
        <w:t>Limitations of Liability</w:t>
      </w:r>
      <w:r>
        <w:rPr>
          <w:rFonts w:ascii="Times New Roman" w:cs="Times New Roman" w:eastAsia="Times New Roman" w:hAnsi="Times New Roman"/>
          <w:sz w:val="18"/>
          <w:szCs w:val="18"/>
          <w:color w:val="auto"/>
        </w:rPr>
        <w:t xml:space="preserve">. Unless otherwise expressly provided in this Agreement, no Party shall have any liability to any other Party relating to or arising out of (a) any Information exchanged or provided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that is found to be inaccurate in the absence of willful misconduct by the Party providing such Information or (b) the destruction of any Information after commercially reasonable efforts by such Party to comply with the provisions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b w:val="1"/>
          <w:bCs w:val="1"/>
          <w:u w:val="single" w:color="auto"/>
          <w:color w:val="auto"/>
        </w:rPr>
        <w:t>Auditors and Audits</w:t>
      </w:r>
      <w:r>
        <w:rPr>
          <w:rFonts w:ascii="Times New Roman" w:cs="Times New Roman" w:eastAsia="Times New Roman" w:hAnsi="Times New Roman"/>
          <w:sz w:val="18"/>
          <w:szCs w:val="18"/>
          <w:color w:val="auto"/>
        </w:rPr>
        <w:t>. (a) Until the first GRAIL fiscal year end occurring after the Effective Time and for a reasonable period of time afterwards as required for each Party to prepare consolidated financial statements or complete a financial statement audit for the fiscal year during which the Distribution Date occurs, each Party shall provide or provide access to the other Party on a timely basis, all Information reasonably required to meet its schedule for the preparation, printing, filing, and public dissemination of its annual financial statements and for management’s assessment of the effectiveness of its disclosure controls and procedures and its internal control over financial reporting in accordance with Items 307 and 308, respectively, of Regulation S-K promulgated by the SEC and, to the extent applicable to such Party, its auditor’s audit of its internal control over financial reporting and management’s assessment thereof in accordance with Section 404 of the Sarbanes-Oxley Act of 2002 and the SEC’s and Public Company Accounting Oversight Board’s rules and auditing standards thereunder.</w:t>
      </w:r>
    </w:p>
    <w:p>
      <w:pPr>
        <w:spacing w:after="0" w:line="189" w:lineRule="exact"/>
        <w:rPr>
          <w:sz w:val="20"/>
          <w:szCs w:val="20"/>
          <w:color w:val="auto"/>
        </w:rPr>
      </w:pPr>
    </w:p>
    <w:p>
      <w:pPr>
        <w:ind w:right="120" w:firstLine="987"/>
        <w:spacing w:after="0" w:line="253" w:lineRule="auto"/>
        <w:tabs>
          <w:tab w:leader="none" w:pos="1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Party restates any of its financial statements that include such Party’s audited or unaudited financial statements with respect to any balance sheet date or period of operation as of the end of and for the 2024 fiscal year and the three (3)-year period ending December 31, 2024, in the case of GRAIL, or December 29, 2024, in the case of Illumina, such Party will deliver to the other Party a substantially final draft, as soon as the same is prepared, of any report to be filed by such first Party with the SEC that includes such restated audited or unaudited financial statements (the “</w:t>
      </w:r>
      <w:r>
        <w:rPr>
          <w:rFonts w:ascii="Times New Roman" w:cs="Times New Roman" w:eastAsia="Times New Roman" w:hAnsi="Times New Roman"/>
          <w:sz w:val="18"/>
          <w:szCs w:val="18"/>
          <w:u w:val="single" w:color="auto"/>
          <w:color w:val="auto"/>
        </w:rPr>
        <w:t>Amended Financial Report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first Party may continue to revise its Amended Financial Report prior to its filing thereof with the SEC, which changes will be delivered to the other Party as soon as reasonably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however, that such first Party’s financial personnel will actively consult with the other Party’s financial personnel regarding any changes which such first Party may consider making to its Amended Financial Report and related disclosures prior to the anticipated filing of such report with the SEC, with particular focus on any changes which would have an effect upon the other Party’s financial statements or related disclosures. Each Party will reasonably cooperate with, and permit and make any necessary employees reasonably available to, the other Party, in connection with the other Party’s preparation of any Amended Financial Reports.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35" w:name="page36"/>
    <w:bookmarkEnd w:id="35"/>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6.9. </w:t>
      </w:r>
      <w:r>
        <w:rPr>
          <w:rFonts w:ascii="Times New Roman" w:cs="Times New Roman" w:eastAsia="Times New Roman" w:hAnsi="Times New Roman"/>
          <w:sz w:val="18"/>
          <w:szCs w:val="18"/>
          <w:b w:val="1"/>
          <w:bCs w:val="1"/>
          <w:u w:val="single" w:color="auto"/>
          <w:color w:val="auto"/>
        </w:rPr>
        <w:t>Privileged Matters</w:t>
      </w:r>
      <w:r>
        <w:rPr>
          <w:rFonts w:ascii="Times New Roman" w:cs="Times New Roman" w:eastAsia="Times New Roman" w:hAnsi="Times New Roman"/>
          <w:sz w:val="18"/>
          <w:szCs w:val="18"/>
          <w:color w:val="auto"/>
        </w:rPr>
        <w:t>. (a) The Parties recognize that legal and other professional services that have been and shall be provided prior to the Effective Time solely for the benefit of the Illumina Group and the GRAIL Group, as the case may be.</w:t>
      </w:r>
    </w:p>
    <w:p>
      <w:pPr>
        <w:spacing w:after="0" w:line="159" w:lineRule="exact"/>
        <w:rPr>
          <w:sz w:val="20"/>
          <w:szCs w:val="20"/>
          <w:color w:val="auto"/>
        </w:rPr>
      </w:pPr>
    </w:p>
    <w:p>
      <w:pPr>
        <w:ind w:left="1240" w:hanging="253"/>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as follows:</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60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Illumina shall be entitled, in perpetuity, to control the assertion or waiver of all privileges and immunities in connection with any Privileged Information currently under its control or the control of a member of its Group; and</w:t>
      </w:r>
    </w:p>
    <w:p>
      <w:pPr>
        <w:spacing w:after="0" w:line="53"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6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GRAIL shall be entitled, in perpetuity, to control the assertion or waiver of all privileges and immunities in connection with any Privileged Information currently under its control or the control of a member of its Group.</w:t>
      </w:r>
    </w:p>
    <w:p>
      <w:pPr>
        <w:spacing w:after="0" w:line="161"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dispute arises between the Parties, or any member of their respective Groups, regarding whether a privilege or immunity should be waived to protect or advance the interests of either Party and/or any member of their respective Groups, each Party agrees that it shall: (i) negotiate with the other Party in good faith, (ii) endeavor to minimize any prejudice to the rights of the other Party and (iii) not unreasonably withhold consent to any request for waiver by the other Party. Further, each Party specifically agrees that it shall not withhold its consent to the waiver of a privilege or immunity for any purpose except to protect its own legitimate interests.</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any member of the GRAIL Group of any subpoena, discovery or other request that may reasonably be expected to result in the production or disclosure of Information subject to a shared privilege or immunity or as to which Illumina or any of its Subsidiaries has the sole right hereunder to assert a privilege or immunity, or if GRAIL obtains knowledge that any of its, or any member of the GRAIL Group’s, current or former directors, officers, agents or employees have received any subpoena, discovery or other requests that may reasonably be expected to result in the production or disclosure of such Privileged Information, GRAIL shall promptly provide written notice to Illumina of the existence of the request (which notice shall be delivered to Illumina no later than five (5) Business Days following the receipt of any such subpoena, discovery or other request) and shall provide Illumina a reasonable opportunity to review the Information and to assert any rights it or they may have, including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otherwise, to prevent the production or disclosure of such Privileged Information.</w:t>
      </w:r>
    </w:p>
    <w:p>
      <w:pPr>
        <w:spacing w:after="0" w:line="191" w:lineRule="exact"/>
        <w:rPr>
          <w:rFonts w:ascii="Times New Roman" w:cs="Times New Roman" w:eastAsia="Times New Roman" w:hAnsi="Times New Roman"/>
          <w:sz w:val="18"/>
          <w:szCs w:val="18"/>
          <w:color w:val="auto"/>
        </w:rPr>
      </w:pPr>
    </w:p>
    <w:p>
      <w:pPr>
        <w:ind w:right="220" w:firstLine="987"/>
        <w:spacing w:after="0" w:line="254"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any member of the Illumina Group of any subpoena, discovery or other request that may reasonably be expected to result in the production or disclosure of Information subject to a shared privilege or immunity or as to which GRAIL or any member of the GRAIL Group has the sole right hereunder to assert a privilege or immunity, or if Illumina obtains knowledge that any of its, or any member of the Illumina Group’s, current or former directors, officers, agents or employees have received any subpoena, discovery or other requests that may reasonably be expected to result in the production or disclosure of such Privileged Information, Illumina shall promptly provide written notice to GRAIL of the existence of the request (which notice shall be delivered to GRAIL no later than five (5) Business Days following the receipt of any such subpoena, discovery or other request) and shall provide GRAIL a reasonable opportunity to review the Information and to assert any rights it or they may have, including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otherwise, to prevent the production or disclosure of such Privileged Information.</w:t>
      </w:r>
    </w:p>
    <w:p>
      <w:pPr>
        <w:spacing w:after="0" w:line="191" w:lineRule="exact"/>
        <w:rPr>
          <w:rFonts w:ascii="Times New Roman" w:cs="Times New Roman" w:eastAsia="Times New Roman" w:hAnsi="Times New Roman"/>
          <w:sz w:val="18"/>
          <w:szCs w:val="18"/>
          <w:color w:val="auto"/>
        </w:rPr>
      </w:pPr>
    </w:p>
    <w:p>
      <w:pPr>
        <w:ind w:right="80" w:firstLine="987"/>
        <w:spacing w:after="0" w:line="256" w:lineRule="auto"/>
        <w:tabs>
          <w:tab w:leader="none" w:pos="12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furnishing of, or access to, Information pursuant to this Agreement are made and done in reliance on the agreement of the Parties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pursuant to this Agreement, shall not be deemed a waiver of any privilege that has been or may be asserted under this Agreement or otherwise.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440" w:top="266" w:right="519" w:bottom="1440" w:gutter="0" w:footer="0" w:header="0"/>
        </w:sectPr>
      </w:pPr>
    </w:p>
    <w:bookmarkStart w:id="36" w:name="page37"/>
    <w:bookmarkEnd w:id="36"/>
    <w:p>
      <w:pPr>
        <w:ind w:right="700" w:firstLine="987"/>
        <w:spacing w:after="0" w:line="282"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Nothing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be deemed to supersede the Joint Defense and Confidentiality Agreements, which the Parties acknowledge and agree shall continue in full force and effect from the Effective Time.</w:t>
      </w:r>
    </w:p>
    <w:p>
      <w:pPr>
        <w:spacing w:after="0" w:line="15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From and after the Effective Time, subject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and except as contemplated by or otherwise provided in this Agreement or any Ancillary Agreement, Illumina, on behalf of itself and each of its Subsidiaries, and GRAIL, on behalf of itself and each of its Subsidiaries, agrees to hold, and to cause its respective Representatives to hold, in strict confidence, with at least the same degree of care that applies to confidential and proprietary Information pursuant to the other Party’s policies in effect as of the Effective Time, all confidential or proprietary Information concerning the other Party (or its business) and the other Party’s Subsidiaries (or their respective businesses) that is either in its possession (including confidential or proprietary Information in its possession prior to the Effective Time) or furnished by the other Party or the other Party’s Subsidiaries or their respective Representatives at any time pursuant to this Agreement or any Ancillary Agreement, except, in each case, to the extent that such confidential or proprietary Information has been: (i) in the public domain or generally available to the public, other than as a result of a disclosure by such Party or any of its Subsidiaries or any of their respective Representatives in violation of this Agreement, (ii) later lawfully acquired from other sources by such Party or any of its Subsidiaries, which sources are not themselves bound by a confidentiality obligation or other contractual, legal or fiduciary obligation of confidentiality with respect to such confidential or proprietary Information or (iii) independently developed or generated without reference to or use of the respective proprietary or confidential Information of the other Party or any of its Subsidiaries. The foregoing restrictions shall not apply in connection with the enforcement of any right or remedy relating to this Agreement or the Ancillary Agreements or the transactions contemplated hereby or thereby. If any confidential or proprietary Information of one Party or any of its Subsidiaries is disclosed to another Party or any of its Subsidiaries in connection with or providing services to such first Party or any of its Subsidiaries under this Agreement or any Ancillary Agreement, then such disclosed confidential or proprietary Information shall be used only as required to perform such services. From and after the Effective Time, Illumina, on behalf of itself and each of its Subsidiaries, and GRAIL, on behalf of itself and each of its Subsidiaries, agrees not to use, and to cause its respective Representatives not to use, any confidential or proprietary Information of the other Party or any of its Subsidiaries other than for such purposes as is expressly outlined in the applicable provision of this Agreement or the Ancillary Agreement pursuant to which the Information was provided. For the avoidance of doubt, in no event may either Party or its Group use, and each Party shall cause its Representatives not to use, any confidential or proprietary Information of the other Party and its Subsidiaries for competitive purposes or to obtain any commercial advantage with respect to the other Party and its Subsidiaries or attempt to divert from the Party and its Subsidiaries any business or customer of such Party and its Subsidiaries.</w:t>
      </w:r>
    </w:p>
    <w:p>
      <w:pPr>
        <w:spacing w:after="0" w:line="187" w:lineRule="exact"/>
        <w:rPr>
          <w:sz w:val="20"/>
          <w:szCs w:val="20"/>
          <w:color w:val="auto"/>
        </w:rPr>
      </w:pPr>
    </w:p>
    <w:p>
      <w:pPr>
        <w:ind w:firstLine="987"/>
        <w:spacing w:after="0" w:line="253"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Release; Return or Destruction</w:t>
      </w:r>
      <w:r>
        <w:rPr>
          <w:rFonts w:ascii="Times New Roman" w:cs="Times New Roman" w:eastAsia="Times New Roman" w:hAnsi="Times New Roman"/>
          <w:sz w:val="18"/>
          <w:szCs w:val="18"/>
          <w:color w:val="auto"/>
        </w:rPr>
        <w:t>. Each Party agrees not to release or disclose, or permit to be released or disclosed, any confidential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proprietary Information of the other Party or its Subsidiaries addressed in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 xml:space="preserve"> to any other Person, except its Representatives who need to know such Information in their capacities as such (who shall be advised of their obligations hereunder with respect to such Information), and except in compliance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Without limiting the foregoing, when any Information furnished by the other Party after the Effective Time pursuant to this Agreement or any Ancillary Agreement is no longer needed for the purposes contemplated by this Agreement or any Ancillary Agreement, each Party shall, at its option, promptly after receiving a written notice from the disclosing Party, either return to the disclosing Party all such Information in a tangible form (including all copies thereof and all notes, extracts or summaries to the extent based thereon) or certify to the disclosing Party that it has destroyed such Information (and such copies thereof and such notes, extracts or summaries to the extent based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Party shall not be required to destroy or return any such Information to the extent that (i) the Party is required to retain the Information in order to comply with any applicable Law, (ii) the Information has been backed up electronically pursuant to the Party’s standard document retention policies and will be managed and ultimately destroyed consistent with such policies or (iii) the Information is kept in the Party’s legal files for purposes of resolving any Dispute.</w:t>
      </w:r>
    </w:p>
    <w:p>
      <w:pPr>
        <w:spacing w:after="0" w:line="189" w:lineRule="exact"/>
        <w:rPr>
          <w:rFonts w:ascii="Times New Roman" w:cs="Times New Roman" w:eastAsia="Times New Roman" w:hAnsi="Times New Roman"/>
          <w:sz w:val="18"/>
          <w:szCs w:val="18"/>
          <w:color w:val="auto"/>
        </w:rPr>
      </w:pPr>
    </w:p>
    <w:p>
      <w:pPr>
        <w:ind w:right="240" w:firstLine="987"/>
        <w:spacing w:after="0" w:line="261"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Third-Party Information; Privacy or Data Protection Laws</w:t>
      </w:r>
      <w:r>
        <w:rPr>
          <w:rFonts w:ascii="Times New Roman" w:cs="Times New Roman" w:eastAsia="Times New Roman" w:hAnsi="Times New Roman"/>
          <w:sz w:val="18"/>
          <w:szCs w:val="18"/>
          <w:color w:val="auto"/>
        </w:rPr>
        <w:t>. Each Party acknowledges that it and its respective Subsidiaries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presently have and, after the Effective Time, may gain access to or possession of confidential or proprietary Information of, or personal Information relating to, Third Parties: (i) that was received under confidentiality or non-disclosure agreements entered into between such Third Parties, on the one hand, and the other Party or the other Party’s Subsidiaries, on the other hand, prior to the Effective Time or (ii) that, as between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7" w:name="page38"/>
    <w:bookmarkEnd w:id="37"/>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two parties, was originally collected by the other Party or the other Party’s Subsidiaries and that may be subject to and protected by privacy, data protection or other applicable Laws. Each Party agrees that it shall hold, protect and use, and shall cause its Subsidiaries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before the Effective Time or affirmative commitments or representations that were made before the Effective Time by, between or among the other Party or the other Party’s Subsidiaries, on the one hand, and such Third Parties, on the other hand.</w:t>
      </w:r>
    </w:p>
    <w:p>
      <w:pPr>
        <w:spacing w:after="0" w:line="185" w:lineRule="exact"/>
        <w:rPr>
          <w:sz w:val="20"/>
          <w:szCs w:val="20"/>
          <w:color w:val="auto"/>
        </w:rPr>
      </w:pPr>
    </w:p>
    <w:p>
      <w:pPr>
        <w:ind w:right="200" w:firstLine="987"/>
        <w:spacing w:after="0" w:line="284"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Obligations</w:t>
      </w:r>
      <w:r>
        <w:rPr>
          <w:rFonts w:ascii="Times New Roman" w:cs="Times New Roman" w:eastAsia="Times New Roman" w:hAnsi="Times New Roman"/>
          <w:sz w:val="18"/>
          <w:szCs w:val="18"/>
          <w:color w:val="auto"/>
        </w:rPr>
        <w:t>. In no event shall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deemed to reduce any obligations agreed by any Party in any Ancillary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any other agreement between the Parties or members of their Group that survives after the Effective Time.</w:t>
      </w:r>
    </w:p>
    <w:p>
      <w:pPr>
        <w:spacing w:after="0" w:line="15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b w:val="1"/>
          <w:bCs w:val="1"/>
          <w:u w:val="single" w:color="auto"/>
          <w:color w:val="auto"/>
        </w:rPr>
        <w:t>Protective Arrangements</w:t>
      </w:r>
      <w:r>
        <w:rPr>
          <w:rFonts w:ascii="Times New Roman" w:cs="Times New Roman" w:eastAsia="Times New Roman" w:hAnsi="Times New Roman"/>
          <w:sz w:val="18"/>
          <w:szCs w:val="18"/>
          <w:color w:val="auto"/>
        </w:rPr>
        <w:t>. In the event that either Party or any of its Subsidiaries is requested or required (by oral question, interrogatories, requests for information or documents, subpoena, civil investigative demand or similar process) by any Governmental Authority or pursuant to applicable Law or the rules of any stock exchange on which the shares or other securities of the Party or any member of its Group are traded to disclose or provide any confidential or proprietary Information of the other Party that is subject to the confidentiality provisions hereof, such Party shall provide the other Party with written notice of such request or demand (to the extent legally permitted)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19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b w:val="1"/>
          <w:bCs w:val="1"/>
          <w:u w:val="single" w:color="auto"/>
          <w:color w:val="auto"/>
        </w:rPr>
        <w:t>Witness Services</w:t>
      </w:r>
      <w:r>
        <w:rPr>
          <w:rFonts w:ascii="Times New Roman" w:cs="Times New Roman" w:eastAsia="Times New Roman" w:hAnsi="Times New Roman"/>
          <w:sz w:val="18"/>
          <w:szCs w:val="18"/>
          <w:color w:val="auto"/>
        </w:rPr>
        <w:t xml:space="preserve">. At all times from and after the Effective Time, each of Illumina and GRAIL shall use its commercially reasonable efforts to make reasonably available to the other, upon reasonable written request, its and its Subsidiaries’ officers, directors, employees and agents (taking into account the business demands of such individuals) as witnesses to the extent that (i) such Persons may reasonably be required to testify in connection with the prosecution or defense of any Action in which the requesting Party may from time to time be involved (except for Actions in which one or more members of one Group is adverse to one or more members of the other Group) and (ii) there is no conflict in the Action between the requesting Party and the other Party. A Party providing a witness to the other Party under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be entitled to receive from the recipient of such witness services, upon the presentation of invoices therefor, payments for such amounts, relating to supplies, disbursements and other expenses (which shall include the costs of salaries and benefits of employees who are witnesses but not any pro rata portion of overhead or other costs of employing such employees which would have been incurred by such employees’ employer regardless of the employees’ service as witnesses), as may be reasonably incurred and properly paid under applicable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FURTHER ASSURANCES AND ADDITIONAL COVENANTS</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(a) In addition to the actions specifically provided for elsewhere in this Agreement, each of the Parties hereto shall use its commercially reasonable efforts, prior to, on and after the Effective Time, to take, or cause to be taken, all actions, and to do, or cause to be done, all things reasonably necessary, proper or advisable on its part under applicable Laws, regulations and agreements, to consummate and make effective the transactions contemplated by this Agreement and the Ancillary Agreements.</w:t>
      </w:r>
    </w:p>
    <w:p>
      <w:pPr>
        <w:spacing w:after="0" w:line="180" w:lineRule="exact"/>
        <w:rPr>
          <w:sz w:val="20"/>
          <w:szCs w:val="20"/>
          <w:color w:val="auto"/>
        </w:rPr>
      </w:pPr>
    </w:p>
    <w:p>
      <w:pPr>
        <w:ind w:firstLine="987"/>
        <w:spacing w:after="0" w:line="266"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prior to, on and after the Effective Time, each Party hereto shall cooperate with each other Party hereto, and without any further consideration, but at the expense of the requesting Party, to execute and deliver, or use its commercially reasonable efforts to cause to be executed and delivered, all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8" w:name="page39"/>
    <w:bookmarkEnd w:id="38"/>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instruments, including instruments of conveyance, assignment and transfer, and to make all filings with, and to obtain or make any Approvals or Notifications of, any Governmental Authority or any other Person under any permit, license, agreement, indenture or other instrument (including any Third Party consents or Governmental Approvals), and to take all such other actions as such Party may reasonably be requested to take by any other Party hereto from time to time, consistent with the terms of this Agreement and the Ancillary Agreements, in order to effectuate the provisions and purposes of this Agreement and the Ancillary Agreements and the transfers of the GRAIL Assets and the assignment and assumption of the GRAIL Liabilities and the other transactions contemplated hereby and thereby. Without limiting the foregoing, each Party shall, at the reasonable request, cost and expense of any other Party, take such other actions as may be reasonably necessary to vest in such other Party all of the transferring Party’s right, title and interest to the Assets allocated to such Party by this Agreement or any Ancillary Agreement, in each case, if and to the extent it is practicable to do so.</w:t>
      </w:r>
    </w:p>
    <w:p>
      <w:pPr>
        <w:spacing w:after="0" w:line="188" w:lineRule="exact"/>
        <w:rPr>
          <w:sz w:val="20"/>
          <w:szCs w:val="20"/>
          <w:color w:val="auto"/>
        </w:rPr>
      </w:pPr>
    </w:p>
    <w:p>
      <w:pPr>
        <w:ind w:right="160" w:firstLine="987"/>
        <w:spacing w:after="0" w:line="266"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Effective Time, Illumina and GRAIL in their respective capacities as direct and indirect stockholders of their respective Subsidiaries, shall each ratify any actions that are reasonably necessary or desirable to be taken by any Subsidiary of Illumina or Subsidiary of GRAIL, as the case may be, to effectuate the transactions contemplated by this Agreement and the Ancillary Agreements.</w:t>
      </w:r>
    </w:p>
    <w:p>
      <w:pPr>
        <w:spacing w:after="0" w:line="17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b w:val="1"/>
          <w:bCs w:val="1"/>
          <w:u w:val="single" w:color="auto"/>
          <w:color w:val="auto"/>
        </w:rPr>
        <w:t>Performance</w:t>
      </w:r>
      <w:r>
        <w:rPr>
          <w:rFonts w:ascii="Times New Roman" w:cs="Times New Roman" w:eastAsia="Times New Roman" w:hAnsi="Times New Roman"/>
          <w:sz w:val="18"/>
          <w:szCs w:val="18"/>
          <w:color w:val="auto"/>
        </w:rPr>
        <w:t xml:space="preserve">. Illumina shall cause to be performed, and hereby guarantees the performance of, all actions, agreements and obligations set forth in this Agreement or in any Ancillary Agreement to be performed by any member of the Illumina Group or Affiliate of Illumina. GRAIL shall cause to be performed, and hereby guarantees the performance of, all actions, agreements and obligations set forth in this Agreement or in any Ancillary Agreement to be performed by any member of the GRAIL Group or Affiliate of GRAIL. Each Party (including its permitted successors and assigns) further agrees that it shall (a) give timely notice of the terms, conditions and continuing obligations contained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all of the other members of its Group, and (b) cause all of the other members of its Group not to take, or omit to take, any action which action or omission would violate or cause such Party to violate this Agreement or any Ancillary Agreement or materially impair such Party’s ability to consummate the transactions contemplated hereby or thereby.</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b w:val="1"/>
          <w:bCs w:val="1"/>
          <w:u w:val="single" w:color="auto"/>
          <w:color w:val="auto"/>
        </w:rPr>
        <w:t>No Restrictions on Post-Closing Competitive Activities</w:t>
      </w:r>
      <w:r>
        <w:rPr>
          <w:rFonts w:ascii="Times New Roman" w:cs="Times New Roman" w:eastAsia="Times New Roman" w:hAnsi="Times New Roman"/>
          <w:sz w:val="18"/>
          <w:szCs w:val="18"/>
          <w:color w:val="auto"/>
        </w:rPr>
        <w:t xml:space="preserve">. Each of the Parties agrees that this Agreement shall not include any noncompetition or other similar restrictive arrangements with respect to the range of business activities that may be conducted, or investments that may be made, by the Groups. Accordingly, each of the Parties acknowledges and agrees that nothing set forth in this Agreement shall be construed to create any explicit or implied restriction or other limitation on the ability of any Group to engage in any business or other activity that overlaps or competes with the business of the other Group. Except as expressly provided herein, or in the Ancillary Agreements, each Group shall have the right to, and shall have no duty to abstain from exercising such right to, (i) engage or invest, directly or indirectly, in the same, similar or related business activities or lines of business as the other Group, (ii) make investments in the same or similar types of investments as the other Group, (iii) do business with any client, customer, vendor or lessor of any of the other Group or (iv)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employ or otherwise engage any officer, director or employee of the other Group. For the avoidance of doubt, nothing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limit any of the obligations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b w:val="1"/>
          <w:bCs w:val="1"/>
          <w:u w:val="single" w:color="auto"/>
          <w:color w:val="auto"/>
        </w:rPr>
        <w:t>Non-Solicitation Covenant</w:t>
      </w:r>
      <w:r>
        <w:rPr>
          <w:rFonts w:ascii="Times New Roman" w:cs="Times New Roman" w:eastAsia="Times New Roman" w:hAnsi="Times New Roman"/>
          <w:sz w:val="18"/>
          <w:szCs w:val="18"/>
          <w:color w:val="auto"/>
        </w:rPr>
        <w:t xml:space="preserve">. For a period of two (2) years from and after the Effective Time, Illumina shall not, and shall cause the other members of the Illumina Group not to, directly or indirectly, solicit to employ or employ any employees of the GRAIL Group set forth on </w:t>
      </w:r>
      <w:r>
        <w:rPr>
          <w:rFonts w:ascii="Times New Roman" w:cs="Times New Roman" w:eastAsia="Times New Roman" w:hAnsi="Times New Roman"/>
          <w:sz w:val="18"/>
          <w:szCs w:val="18"/>
          <w:u w:val="single" w:color="auto"/>
          <w:color w:val="auto"/>
        </w:rPr>
        <w:t>Schedule 7.4</w:t>
      </w:r>
      <w:r>
        <w:rPr>
          <w:rFonts w:ascii="Times New Roman" w:cs="Times New Roman" w:eastAsia="Times New Roman" w:hAnsi="Times New Roman"/>
          <w:sz w:val="18"/>
          <w:szCs w:val="18"/>
          <w:color w:val="auto"/>
        </w:rPr>
        <w:t xml:space="preserve"> (including as external advisors) without the prior written consent of GRAIL; provided, however, that nothing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prevent (i) solicitations to employ any individual who responds to general solicitations for employees in the ordinary course of business and consistent with past practice (including by professional search firm), so long as such solicitations are not directed towards any employees of the GRAIL Group set forth on </w:t>
      </w:r>
      <w:r>
        <w:rPr>
          <w:rFonts w:ascii="Times New Roman" w:cs="Times New Roman" w:eastAsia="Times New Roman" w:hAnsi="Times New Roman"/>
          <w:sz w:val="18"/>
          <w:szCs w:val="18"/>
          <w:u w:val="single" w:color="auto"/>
          <w:color w:val="auto"/>
        </w:rPr>
        <w:t>Schedule 7.4</w:t>
      </w:r>
      <w:r>
        <w:rPr>
          <w:rFonts w:ascii="Times New Roman" w:cs="Times New Roman" w:eastAsia="Times New Roman" w:hAnsi="Times New Roman"/>
          <w:sz w:val="18"/>
          <w:szCs w:val="18"/>
          <w:color w:val="auto"/>
        </w:rPr>
        <w:t>, (ii) solicitations to employ, or employment of, any such individual whose employment with or service to GRAIL was terminated at least three (3) months prior to the commencement of such solicitation or (iii) Illumina from negotiating the terms of employment with any person who contacts Illumina on his or her own initiative and without any direct or indirect solicitation by the Illumina Group in violation hereof.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39" w:name="page40"/>
    <w:bookmarkEnd w:id="39"/>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7.5. </w:t>
      </w:r>
      <w:r>
        <w:rPr>
          <w:rFonts w:ascii="Times New Roman" w:cs="Times New Roman" w:eastAsia="Times New Roman" w:hAnsi="Times New Roman"/>
          <w:sz w:val="18"/>
          <w:szCs w:val="18"/>
          <w:b w:val="1"/>
          <w:bCs w:val="1"/>
          <w:u w:val="single" w:color="auto"/>
          <w:color w:val="auto"/>
        </w:rPr>
        <w:t>Mail Forwarding</w:t>
      </w:r>
      <w:r>
        <w:rPr>
          <w:rFonts w:ascii="Times New Roman" w:cs="Times New Roman" w:eastAsia="Times New Roman" w:hAnsi="Times New Roman"/>
          <w:sz w:val="18"/>
          <w:szCs w:val="18"/>
          <w:color w:val="auto"/>
        </w:rPr>
        <w:t>. (a) Illumina agrees that following the Effective Time it shall use its commercially reasonable efforts to forward to GRAIL any correspondence relating to the GRAIL Business (or a copy thereof to the extent such correspondence relates to both the GRAIL Business and the Illumina Business) that is delivered to Illumina and (b) GRAIL agrees that following the Effective Time it shall use its commercially reasonable efforts to forward to Illumina any correspondence relating to the Illumina Business (or a copy thereof to the extent such correspondence relates to both the Illumina Business and the GRAIL Business) that is delivered to GRAIL.</w:t>
      </w:r>
    </w:p>
    <w:p>
      <w:pPr>
        <w:spacing w:after="0" w:line="39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5" w:lineRule="exact"/>
        <w:rPr>
          <w:sz w:val="20"/>
          <w:szCs w:val="20"/>
          <w:color w:val="auto"/>
        </w:rPr>
      </w:pPr>
    </w:p>
    <w:p>
      <w:pPr>
        <w:ind w:right="2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may be terminated and the terms and conditions of the Separation and the Distribution may be amended, modified or abandoned at any time prior to the Effective Time by and in the sole and absolute discretion of the Illumina Board without the approval of any other Person, including GRAIL or Illumina or the stockholders of GRAIL or Illumina. In the event that this Agreement is terminated, this Agreement and any Ancillary Agreement that has been executed shall become null and void and no Party, nor any Party’s directors, officers or employees, shall have any Liability of any kind to any Person by reason of this Agreement or such Ancillary Agreement. After the Distribution, this Agreement may not be terminated except by an agreement in writing signed by Illumina and GRAIL.</w:t>
      </w:r>
    </w:p>
    <w:p>
      <w:pPr>
        <w:spacing w:after="0" w:line="182"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In the event of any termination of this Agreement prior to the Effective Time, no Party (nor any of its directors, officers or employees) shall have any Liability or further obligation to the other Party by reason of this Agreement.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b w:val="1"/>
          <w:bCs w:val="1"/>
          <w:u w:val="single" w:color="auto"/>
          <w:color w:val="auto"/>
        </w:rPr>
        <w:t>Counterparts; Entire Agreement; Power</w:t>
      </w:r>
      <w:r>
        <w:rPr>
          <w:rFonts w:ascii="Times New Roman" w:cs="Times New Roman" w:eastAsia="Times New Roman" w:hAnsi="Times New Roman"/>
          <w:sz w:val="18"/>
          <w:szCs w:val="18"/>
          <w:color w:val="auto"/>
        </w:rPr>
        <w:t>. (a) This Agreement and each Ancillary Agreement may be executed in one or more counterparts, all of which shall be considered one and the same agreement, and shall become effective when one or more counterparts have been signed by each Party and delivered to each other Party. The exchange of a fully executed Agreement (in counterparts or otherwise) by facsimile, electronic mail (including .pdf, docusign or other electronic signature) or other transmission method shall be deemed to have been duly and validly delivered and shall be sufficient to bind the parties to the terms and conditions of this Agreement.</w:t>
      </w:r>
    </w:p>
    <w:p>
      <w:pPr>
        <w:spacing w:after="0" w:line="183" w:lineRule="exact"/>
        <w:rPr>
          <w:sz w:val="20"/>
          <w:szCs w:val="20"/>
          <w:color w:val="auto"/>
        </w:rPr>
      </w:pPr>
    </w:p>
    <w:p>
      <w:pPr>
        <w:ind w:right="100" w:firstLine="987"/>
        <w:spacing w:after="0" w:line="261"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Ancillary Agreements. the exhibits, annexes and schedules hereto and thereto, and the NDA Side Agreement,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with respect to such subject matter other than those set forth or referred to herein or therein.</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Illumina represents on behalf of itself and each other member of the Illumina Group, and GRAIL represents on behalf of itself and each other member of the GRAIL Group, as follows:</w:t>
      </w:r>
    </w:p>
    <w:p>
      <w:pPr>
        <w:spacing w:after="0" w:line="53" w:lineRule="exact"/>
        <w:rPr>
          <w:rFonts w:ascii="Times New Roman" w:cs="Times New Roman" w:eastAsia="Times New Roman" w:hAnsi="Times New Roman"/>
          <w:sz w:val="18"/>
          <w:szCs w:val="18"/>
          <w:color w:val="auto"/>
        </w:rPr>
      </w:pPr>
    </w:p>
    <w:p>
      <w:pPr>
        <w:ind w:left="440" w:right="120" w:firstLine="948"/>
        <w:spacing w:after="0" w:line="266" w:lineRule="auto"/>
        <w:tabs>
          <w:tab w:leader="none" w:pos="160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w:t>
      </w:r>
    </w:p>
    <w:p>
      <w:pPr>
        <w:spacing w:after="0" w:line="67" w:lineRule="exact"/>
        <w:rPr>
          <w:rFonts w:ascii="Times New Roman" w:cs="Times New Roman" w:eastAsia="Times New Roman" w:hAnsi="Times New Roman"/>
          <w:sz w:val="18"/>
          <w:szCs w:val="18"/>
          <w:color w:val="auto"/>
        </w:rPr>
      </w:pPr>
    </w:p>
    <w:p>
      <w:pPr>
        <w:ind w:left="440" w:right="320" w:firstLine="948"/>
        <w:spacing w:after="0" w:line="282" w:lineRule="auto"/>
        <w:tabs>
          <w:tab w:leader="none" w:pos="16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each Ancillary Agreement to which it is a party has been or will be duly executed and delivered by it and constitutes or will constitute a valid and binding agreement of it enforceable in accordance with the terms thereof.</w:t>
      </w:r>
    </w:p>
    <w:p>
      <w:pPr>
        <w:spacing w:after="0" w:line="158"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b w:val="1"/>
          <w:bCs w:val="1"/>
          <w:u w:val="single" w:color="auto"/>
          <w:color w:val="auto"/>
        </w:rPr>
        <w:t>Negotiation by Senior Executives</w:t>
      </w:r>
      <w:r>
        <w:rPr>
          <w:rFonts w:ascii="Times New Roman" w:cs="Times New Roman" w:eastAsia="Times New Roman" w:hAnsi="Times New Roman"/>
          <w:sz w:val="18"/>
          <w:szCs w:val="18"/>
          <w:color w:val="auto"/>
        </w:rPr>
        <w:t>. Prior to bringing an Action relating to a Dispute, the Parties shall first seek to settle amicably all Disputes by negotiation. The Parties shall first attempt in good faith to resolve the Dispute by negotiation in the normal course of business at the operational level within thirty (30) days after written notice is received by either Party regarding the existence of a Dispute (the “</w:t>
      </w:r>
      <w:r>
        <w:rPr>
          <w:rFonts w:ascii="Times New Roman" w:cs="Times New Roman" w:eastAsia="Times New Roman" w:hAnsi="Times New Roman"/>
          <w:sz w:val="18"/>
          <w:szCs w:val="18"/>
          <w:u w:val="single" w:color="auto"/>
          <w:color w:val="auto"/>
        </w:rPr>
        <w:t>Initial Notice</w:t>
      </w:r>
      <w:r>
        <w:rPr>
          <w:rFonts w:ascii="Times New Roman" w:cs="Times New Roman" w:eastAsia="Times New Roman" w:hAnsi="Times New Roman"/>
          <w:sz w:val="18"/>
          <w:szCs w:val="18"/>
          <w:color w:val="auto"/>
        </w:rPr>
        <w:t>”). If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40" w:name="page41"/>
    <w:bookmarkEnd w:id="40"/>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Parties are unable to resolve the Dispute within such thirty (30)-day period, the Parties shall then attempt in good faith to resolve the Dispute by negotiation between executives designated by the Parties who hold, at a minimum, the office of Senior Vice President and/or General Counsel (such designated executives, the “</w:t>
      </w:r>
      <w:r>
        <w:rPr>
          <w:rFonts w:ascii="Times New Roman" w:cs="Times New Roman" w:eastAsia="Times New Roman" w:hAnsi="Times New Roman"/>
          <w:sz w:val="18"/>
          <w:szCs w:val="18"/>
          <w:u w:val="single" w:color="auto"/>
          <w:color w:val="auto"/>
        </w:rPr>
        <w:t>Dispute Committee</w:t>
      </w:r>
      <w:r>
        <w:rPr>
          <w:rFonts w:ascii="Times New Roman" w:cs="Times New Roman" w:eastAsia="Times New Roman" w:hAnsi="Times New Roman"/>
          <w:sz w:val="18"/>
          <w:szCs w:val="18"/>
          <w:color w:val="auto"/>
        </w:rPr>
        <w:t xml:space="preserve">”). Such Dispute Committee members and other applicable executives shall meet in person or by teleconference or video conference within thirty (30) days following the end of the thirty (30)-day period of negotiations to seek a resolution of the Dispute. In the event that the Dispute Committee and other applicable executives are unable to agree to a format for such meeting, the meeting shall be convened in person at a mutually acceptable location in San Diego, California. Notwithstanding the foregoing, a Party may bring an Action without following the procedures set forth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in order to meet any applicable statute of limitations, other contractual survival term or in the event of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exigent circumstances.</w:t>
      </w:r>
    </w:p>
    <w:p>
      <w:pPr>
        <w:spacing w:after="0" w:line="18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 xml:space="preserve">. (a) Any Dispute not finally resolved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within sixty (60) days from the delivery of the Initial Notice shall be resolved by binding arbitration in accordance with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Any Dispute subject to arbitration pursuant to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be determined and resolved by final and binding arbitration, the seat of which shall be in New York, New York, before a panel of three arbitrators. The arbitration shall proceed in accordance with and shall be governed by the </w:t>
      </w:r>
      <w:r>
        <w:rPr>
          <w:rFonts w:ascii="Times New Roman" w:cs="Times New Roman" w:eastAsia="Times New Roman" w:hAnsi="Times New Roman"/>
          <w:sz w:val="18"/>
          <w:szCs w:val="18"/>
          <w:i w:val="1"/>
          <w:iCs w:val="1"/>
          <w:color w:val="auto"/>
        </w:rPr>
        <w:t>Commercial Arbitration Rules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AAA Rules</w:t>
      </w:r>
      <w:r>
        <w:rPr>
          <w:rFonts w:ascii="Times New Roman" w:cs="Times New Roman" w:eastAsia="Times New Roman" w:hAnsi="Times New Roman"/>
          <w:sz w:val="18"/>
          <w:szCs w:val="18"/>
          <w:color w:val="auto"/>
        </w:rPr>
        <w:t>”) of the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then in effect. The claimant shall nominate one (1) arbitrator and the respondent shall nominate one (1) arbitrator within the time limits specified in the AAA Rules. The chairperson shall be nominated by the two (2) appointed arbitrators within fifteen (15) Business Days of the appointment of the second arbitrator, failing which the chairperson shall be appointed by the AAA. Unless the parties to the arbitration otherwise agree in writing, the arbitrators so selected shall be independent and shall not have any material past or existing affiliation with any Party.</w:t>
      </w:r>
    </w:p>
    <w:p>
      <w:pPr>
        <w:spacing w:after="0" w:line="189" w:lineRule="exact"/>
        <w:rPr>
          <w:sz w:val="20"/>
          <w:szCs w:val="20"/>
          <w:color w:val="auto"/>
        </w:rPr>
      </w:pPr>
    </w:p>
    <w:p>
      <w:pPr>
        <w:ind w:firstLine="987"/>
        <w:spacing w:after="0" w:line="255"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arbitrators shall apply the governing law set forth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and shall have authority to entertain a motion for summary judgment by any Party and shall apply the standards governing such motions under the Federal Rules of Civil Procedure. Unless otherwise agreed by the Parties in writing, discovery shall be limited to only: (i) documents directly related to the issues in controversy, (ii) no more than three (3) depositions per Party for any Dispute asserting claims exceeding $1 million (or equivalent value) or seeking injunctive relief, or two (2) depositions per Party for all other Disputes and (iii) ten (10) interrogatories per Party. The arbitration procedures shall include provision for production of documents relevant to the Dispute;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discovery, if any, shall be completed within ninety (90) days of the appointment of the arbitrators or as soon as practicable thereafter.</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intended to provide the exclusive method of resolving any Dispute, including injunctive relief;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Party may commence and prosecute an action in any court of competent jurisdiction for the purpose of enforcing or seeking to vacate an arbitration award hereunder.</w:t>
      </w:r>
    </w:p>
    <w:p>
      <w:pPr>
        <w:spacing w:after="0" w:line="175" w:lineRule="exact"/>
        <w:rPr>
          <w:rFonts w:ascii="Times New Roman" w:cs="Times New Roman" w:eastAsia="Times New Roman" w:hAnsi="Times New Roman"/>
          <w:sz w:val="18"/>
          <w:szCs w:val="18"/>
          <w:color w:val="auto"/>
        </w:rPr>
      </w:pPr>
    </w:p>
    <w:p>
      <w:pPr>
        <w:ind w:right="880" w:firstLine="987"/>
        <w:spacing w:after="0" w:line="282"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to arbitrate any Dispute set forth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continue in full force and effect subsequent to, and notwithstanding the completion, expiration or termination of, this Agreement.</w:t>
      </w:r>
    </w:p>
    <w:p>
      <w:pPr>
        <w:spacing w:after="0" w:line="161" w:lineRule="exact"/>
        <w:rPr>
          <w:rFonts w:ascii="Times New Roman" w:cs="Times New Roman" w:eastAsia="Times New Roman" w:hAnsi="Times New Roman"/>
          <w:sz w:val="18"/>
          <w:szCs w:val="18"/>
          <w:color w:val="auto"/>
        </w:rPr>
      </w:pPr>
    </w:p>
    <w:p>
      <w:pPr>
        <w:ind w:right="240" w:firstLine="987"/>
        <w:spacing w:after="0" w:line="266"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bear its own costs of the arbitration and share equally the arbitrators’ fee and the administrative costs;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prevailing Party shall be entitled to payment of its reasonable attorneys’ fees and costs (unless applicable Law restricts or prohibits such fee shifting).</w:t>
      </w:r>
    </w:p>
    <w:p>
      <w:pPr>
        <w:spacing w:after="0" w:line="175" w:lineRule="exact"/>
        <w:rPr>
          <w:rFonts w:ascii="Times New Roman" w:cs="Times New Roman" w:eastAsia="Times New Roman" w:hAnsi="Times New Roman"/>
          <w:sz w:val="18"/>
          <w:szCs w:val="18"/>
          <w:color w:val="auto"/>
        </w:rPr>
      </w:pPr>
    </w:p>
    <w:p>
      <w:pPr>
        <w:ind w:right="60" w:firstLine="987"/>
        <w:spacing w:after="0" w:line="261" w:lineRule="auto"/>
        <w:tabs>
          <w:tab w:leader="none" w:pos="12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keep confidential all awards in their arbitration, together with all materials in the proceedings created for the purpose of the arbitration and all other documents produced by another Party in the proceedings not otherwise in the public domain, save and to the extent that disclosure may be required of a Party by legal duty, to protect or pursue a legal right or to enforce or challenge an award in legal proceedings before a court or other judicial authority.</w:t>
      </w:r>
    </w:p>
    <w:p>
      <w:pPr>
        <w:spacing w:after="0" w:line="176"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1" w:name="page42"/>
    <w:bookmarkEnd w:id="41"/>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9.5.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WHICH MAY ARISE UNDER THIS AGREEMENT OR THE ANCILLARY AGREEMENTS IS LIKELY TO INVOLVE COMPLICATED AND DIFFICULT ISSUES, AND THEREFORE IT HEREBY IRREVOCABLY AND UNCONDITIONALLY WAIVES ANY RIGHT IT MAY HAVE TO A TRIAL BY JURY IN RESPECT OF ANY LITIGATION DIRECTLY OR INDIRECTLY BASED UPON, RELATING TO OR ARISING FROM THIS AGREEMENT AND ANY OF THE ANCILLARY AGREEMENTS OR THE TRANSACTIONS CONTEMPLATED HEREBY OR THEREBY. EACH PARTY CERTIFIES AND ACKNOWLEDGES THAT (I) NO REPRESENTATIVE, AGENT OR ATTORNEY OF ANY OTHER PARTY HAS REPRESENTED, EXPRESSLY OR OTHERWISE, THAT SUCH OTHER PARTY WOULD NOT, IN THE EVENT OF LITIGATION, SEEK TO ENFORCE SUCH WAIVER, (II) IT UNDERSTANDS AND HAS CONSIDERED THE IMPLICATIONS OF SUCH WAIVER, (III) IT MAKES SUCH WAIVER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b w:val="1"/>
          <w:bCs w:val="1"/>
          <w:u w:val="single" w:color="auto"/>
          <w:color w:val="auto"/>
        </w:rPr>
        <w:t>Assignability</w:t>
      </w:r>
      <w:r>
        <w:rPr>
          <w:rFonts w:ascii="Times New Roman" w:cs="Times New Roman" w:eastAsia="Times New Roman" w:hAnsi="Times New Roman"/>
          <w:sz w:val="18"/>
          <w:szCs w:val="18"/>
          <w:color w:val="auto"/>
        </w:rPr>
        <w:t xml:space="preserve">. Except as set forth in any Ancillary Agreement, this Agreement and each Ancillary Agreement shall be binding upon and inure to the benefit of the other Party or the other parties hereto and thereto, respectively,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Party or party thereto may assign its respective rights or delegate its respective obligations under this Agreement without the express prior written consent of the other Party or other parties thereto, as applicable. Notwithstanding the foregoing, no such consent shall be required for the assignment of a party’s rights and obligations under this Agreement or the Ancillary Agreements (except as may be otherwise provided in any such Ancillary Agreement) in whole in connection with a change of control of a Party so long as the resulting, surviving or transferee Person assumes all the obligations of the relevant party thereto by operation of Law or pursuant to an agreement in form and substance reasonably satisfactory to the other Party. Nothing herein is intended to, or shall be construed to, prohibit either Party or any member of its Group from being party to or undertaking a change of control.</w:t>
      </w:r>
    </w:p>
    <w:p>
      <w:pPr>
        <w:spacing w:after="0" w:line="188"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b w:val="1"/>
          <w:bCs w:val="1"/>
          <w:u w:val="single" w:color="auto"/>
          <w:color w:val="auto"/>
        </w:rPr>
        <w:t>Third-Party Beneficiaries</w:t>
      </w:r>
      <w:r>
        <w:rPr>
          <w:rFonts w:ascii="Times New Roman" w:cs="Times New Roman" w:eastAsia="Times New Roman" w:hAnsi="Times New Roman"/>
          <w:sz w:val="18"/>
          <w:szCs w:val="18"/>
          <w:color w:val="auto"/>
        </w:rPr>
        <w:t xml:space="preserve">. Except for the release and indemnification rights under this Agreement of any Illumina Indemnitee or GRAIL Indemnitee in their respective capacities as such, and the provisions of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as to directors and officers of Illumina Group and GRAIL Group: (a) the provisions of this Agreement and each Ancillary Agreement are solely for the benefit of the Parties and are not intended to confer upon any Person (including any stockholders of Illumina or stockholders of GRAIL) except the Parties hereto any rights or remedies hereunder; and (b) there are no third-party beneficiaries of this Agreement or any Ancillary Agreement and neither this Agreement nor any Ancillary Agreement shall provide any third Person (including any stockholders of Illumina or stockholders of GRAIL) with any remedy, claim, Liability, reimbursement, claim of action or other right in excess of those existing without reference to this Agreement or any Ancillary Agreement.</w:t>
      </w:r>
    </w:p>
    <w:p>
      <w:pPr>
        <w:spacing w:after="0" w:line="183"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All notices, requests, claims, demands or other communications under this Agreement and, to the extent applicable, and unless otherwise provided thereunder, under each of the Ancillary Agreements shall be in writing and shall be given or made (and shall be deemed to have been duly given or made upon receipt) by delivery in person, by overnight courier service, by email with receipt confirmed,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to Illumina,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Illumina,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5200 Illumina Way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Diego, CA 92122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legalnotices@illumina.com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42" w:name="page43"/>
    <w:bookmarkEnd w:id="42"/>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1420" w:right="7640" w:firstLine="8"/>
        <w:spacing w:after="0" w:line="250" w:lineRule="auto"/>
        <w:tabs>
          <w:tab w:leader="none" w:pos="17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Ninth Avenue New York, NY 10001 Attention:  Andrew J. Pitts</w:t>
      </w:r>
    </w:p>
    <w:p>
      <w:pPr>
        <w:spacing w:after="0" w:line="1"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Ting S. Chen</w:t>
      </w:r>
    </w:p>
    <w:p>
      <w:pPr>
        <w:spacing w:after="0" w:line="9" w:lineRule="exact"/>
        <w:rPr>
          <w:rFonts w:ascii="Times New Roman" w:cs="Times New Roman" w:eastAsia="Times New Roman" w:hAnsi="Times New Roman"/>
          <w:sz w:val="18"/>
          <w:szCs w:val="18"/>
          <w:color w:val="auto"/>
        </w:rPr>
      </w:pPr>
    </w:p>
    <w:p>
      <w:pPr>
        <w:jc w:val="both"/>
        <w:ind w:left="1420" w:right="7280" w:firstLine="391"/>
        <w:spacing w:after="0" w:line="265" w:lineRule="auto"/>
        <w:tabs>
          <w:tab w:leader="none" w:pos="1983"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Daniel J. Cerqueira Email:      apitts@cravath.com</w:t>
      </w:r>
    </w:p>
    <w:p>
      <w:pPr>
        <w:ind w:left="2000" w:hanging="189"/>
        <w:spacing w:after="0"/>
        <w:tabs>
          <w:tab w:leader="none" w:pos="2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tchen@cravath.com</w:t>
      </w:r>
    </w:p>
    <w:p>
      <w:pPr>
        <w:spacing w:after="0" w:line="9"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dcerquiera@cravath.com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to GRAIL,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GRAIL,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1525 O’Brien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Bob Ragusa</w:t>
      </w:r>
    </w:p>
    <w:p>
      <w:pPr>
        <w:spacing w:after="0" w:line="9" w:lineRule="exact"/>
        <w:rPr>
          <w:sz w:val="20"/>
          <w:szCs w:val="20"/>
          <w:color w:val="auto"/>
        </w:rPr>
      </w:pPr>
    </w:p>
    <w:p>
      <w:pPr>
        <w:ind w:left="2000" w:hanging="189"/>
        <w:spacing w:after="0"/>
        <w:tabs>
          <w:tab w:leader="none" w:pos="2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Aaron Freidin</w:t>
      </w:r>
    </w:p>
    <w:p>
      <w:pPr>
        <w:spacing w:after="0" w:line="9"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Abram Barth</w:t>
      </w:r>
    </w:p>
    <w:p>
      <w:pPr>
        <w:spacing w:after="0" w:line="9"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Don Lang</w:t>
      </w:r>
    </w:p>
    <w:p>
      <w:pPr>
        <w:spacing w:after="0" w:line="9" w:lineRule="exact"/>
        <w:rPr>
          <w:sz w:val="20"/>
          <w:szCs w:val="20"/>
          <w:color w:val="auto"/>
        </w:rPr>
      </w:pPr>
    </w:p>
    <w:p>
      <w:pPr>
        <w:jc w:val="right"/>
        <w:ind w:right="7080"/>
        <w:spacing w:after="0"/>
        <w:rPr>
          <w:sz w:val="20"/>
          <w:szCs w:val="20"/>
          <w:color w:val="auto"/>
        </w:rPr>
      </w:pPr>
      <w:r>
        <w:rPr>
          <w:rFonts w:ascii="Times New Roman" w:cs="Times New Roman" w:eastAsia="Times New Roman" w:hAnsi="Times New Roman"/>
          <w:sz w:val="18"/>
          <w:szCs w:val="18"/>
          <w:color w:val="auto"/>
        </w:rPr>
        <w:t>Email:       bragusa@grailbio.com</w:t>
      </w:r>
    </w:p>
    <w:p>
      <w:pPr>
        <w:spacing w:after="0" w:line="9" w:lineRule="exact"/>
        <w:rPr>
          <w:sz w:val="20"/>
          <w:szCs w:val="20"/>
          <w:color w:val="auto"/>
        </w:rPr>
      </w:pPr>
    </w:p>
    <w:p>
      <w:pPr>
        <w:jc w:val="right"/>
        <w:ind w:right="7080"/>
        <w:spacing w:after="0"/>
        <w:rPr>
          <w:sz w:val="20"/>
          <w:szCs w:val="20"/>
          <w:color w:val="auto"/>
        </w:rPr>
      </w:pPr>
      <w:r>
        <w:rPr>
          <w:rFonts w:ascii="Times New Roman" w:cs="Times New Roman" w:eastAsia="Times New Roman" w:hAnsi="Times New Roman"/>
          <w:sz w:val="18"/>
          <w:szCs w:val="18"/>
          <w:color w:val="auto"/>
        </w:rPr>
        <w:t>        afreidin@grailbio.com</w:t>
      </w:r>
    </w:p>
    <w:p>
      <w:pPr>
        <w:spacing w:after="0" w:line="9" w:lineRule="exact"/>
        <w:rPr>
          <w:sz w:val="20"/>
          <w:szCs w:val="20"/>
          <w:color w:val="auto"/>
        </w:rPr>
      </w:pPr>
    </w:p>
    <w:p>
      <w:pPr>
        <w:ind w:left="2000" w:hanging="189"/>
        <w:spacing w:after="0"/>
        <w:tabs>
          <w:tab w:leader="none" w:pos="2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abarth@grailbio.com</w:t>
      </w:r>
    </w:p>
    <w:p>
      <w:pPr>
        <w:spacing w:after="0" w:line="9"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dlang@grailbio.com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355 South Grand Avenue, Suite 100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W. Alex Voxman</w:t>
      </w:r>
    </w:p>
    <w:p>
      <w:pPr>
        <w:spacing w:after="0" w:line="9" w:lineRule="exact"/>
        <w:rPr>
          <w:sz w:val="20"/>
          <w:szCs w:val="20"/>
          <w:color w:val="auto"/>
        </w:rPr>
      </w:pPr>
    </w:p>
    <w:p>
      <w:pPr>
        <w:ind w:left="2000" w:hanging="189"/>
        <w:spacing w:after="0"/>
        <w:tabs>
          <w:tab w:leader="none" w:pos="2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Andrew Clark</w:t>
      </w:r>
    </w:p>
    <w:p>
      <w:pPr>
        <w:spacing w:after="0" w:line="9"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Ross McAloon</w:t>
      </w:r>
    </w:p>
    <w:p>
      <w:pPr>
        <w:spacing w:after="0" w:line="9"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Alexa Berlin</w:t>
      </w:r>
    </w:p>
    <w:p>
      <w:pPr>
        <w:spacing w:after="0" w:line="207" w:lineRule="exact"/>
        <w:rPr>
          <w:sz w:val="20"/>
          <w:szCs w:val="20"/>
          <w:color w:val="auto"/>
        </w:rPr>
      </w:pPr>
    </w:p>
    <w:p>
      <w:pPr>
        <w:ind w:left="2000" w:hanging="189"/>
        <w:spacing w:after="0"/>
        <w:tabs>
          <w:tab w:leader="none" w:pos="2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andrew.clark@lw.com</w:t>
      </w:r>
    </w:p>
    <w:p>
      <w:pPr>
        <w:spacing w:after="0" w:line="27"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ross.mcaloon@lw.com</w:t>
      </w:r>
    </w:p>
    <w:p>
      <w:pPr>
        <w:spacing w:after="0" w:line="9"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alexa.berlin@lw.com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Party may, by notice to the other Party, change the address and contact person to which any such notices are to be given.</w:t>
      </w:r>
    </w:p>
    <w:p>
      <w:pPr>
        <w:spacing w:after="0" w:line="22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any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43" w:name="page44"/>
    <w:bookmarkEnd w:id="43"/>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9.10. </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No Party shall be deemed in default of this Agreement or, unless otherwise provided therein, any Ancillary Agreement for any delay or failure to fulfill any obligation, other than a delay or failure to make a payment,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and the Ancillary Agreements, as applicable, as soon as reasonably practicable.</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color w:val="auto"/>
        </w:rPr>
        <w:t xml:space="preserve">. Each of GRAIL and Illumina shall consult with the other, and shall, subject to the requirements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provide the other Party the opportunity to review and comment upon, any press releases or other public statements in connection with the Separation, Distribution or any of the other transactions contemplated hereby and any filings with any Governmental Authority or national securities exchange with respect thereto, in each case prior to the issuance or filing thereof, as applicable (including the Form 10, the Parties’ respective Current Reports on Form 8-K to be filed on the Distribution Date, the Parties’ respective Quarterly Reports on Form 10-Q filed with respect to the fiscal quarter during which the Distribution Date occurs, or if such quarter is the fourth fiscal quarter, the Parties’ respective Annual Reports on Form 10-K filed with respect to the fiscal year during which the Distribution Date occurs (each such Quarterly Report on Form 10-Q or Annual Report on Form 10-K, a “</w:t>
      </w:r>
      <w:r>
        <w:rPr>
          <w:rFonts w:ascii="Times New Roman" w:cs="Times New Roman" w:eastAsia="Times New Roman" w:hAnsi="Times New Roman"/>
          <w:sz w:val="18"/>
          <w:szCs w:val="18"/>
          <w:u w:val="single" w:color="auto"/>
          <w:color w:val="auto"/>
        </w:rPr>
        <w:t>First Post-Distribution Report</w:t>
      </w:r>
      <w:r>
        <w:rPr>
          <w:rFonts w:ascii="Times New Roman" w:cs="Times New Roman" w:eastAsia="Times New Roman" w:hAnsi="Times New Roman"/>
          <w:sz w:val="18"/>
          <w:szCs w:val="18"/>
          <w:color w:val="auto"/>
        </w:rPr>
        <w:t xml:space="preserve">”)). Each Party’s obligations pursuant to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shall terminate on the date on which such Party’s First Post-Distribution Report is filed with the SEC. Notwithstanding the foregoing, no later than one (1) Business Day after the Effective Time, GRAIL and Illumina shall issue a joint press release mutually agreed by the Parties regarding the consummation of the Separation and Distribution.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b w:val="1"/>
          <w:bCs w:val="1"/>
          <w:u w:val="single" w:color="auto"/>
          <w:color w:val="auto"/>
        </w:rPr>
        <w:t>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Any expenses and costs incurred in connection with the Distribution after the Effective Time shall be borne by the Party which incurs such expenses.</w:t>
      </w:r>
    </w:p>
    <w:p>
      <w:pPr>
        <w:spacing w:after="0" w:line="221"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b w:val="1"/>
          <w:bCs w:val="1"/>
          <w:u w:val="single" w:color="auto"/>
          <w:color w:val="auto"/>
        </w:rPr>
        <w:t>Late Payments</w:t>
      </w:r>
      <w:r>
        <w:rPr>
          <w:rFonts w:ascii="Times New Roman" w:cs="Times New Roman" w:eastAsia="Times New Roman" w:hAnsi="Times New Roman"/>
          <w:sz w:val="18"/>
          <w:szCs w:val="18"/>
          <w:color w:val="auto"/>
        </w:rPr>
        <w:t>. Except as expressly provided to the contrary in this Agreement, any amount not paid when due pursuant to this Agreement (and any amounts billed or otherwise invoiced or demanded and properly payable that are not paid within thirty (30) days of such bill, invoice or other demand) shall accrue interest at a rate per annum equal to the Prime Rate plus one and one-half percent (1.5%) or the maximum rate permitted by Law, whichever is less.</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article, section and paragraph headings and the table of contents contained in this Agreement or any Ancillary</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Agreement are for reference purposes only and shall not affect in any way the meaning or interpretation of this Agreement or any Ancillary Agreement.</w:t>
      </w:r>
    </w:p>
    <w:p>
      <w:pPr>
        <w:spacing w:after="0" w:line="214"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b w:val="1"/>
          <w:bCs w:val="1"/>
          <w:u w:val="single" w:color="auto"/>
          <w:color w:val="auto"/>
        </w:rPr>
        <w:t>Survival of Covenants</w:t>
      </w:r>
      <w:r>
        <w:rPr>
          <w:rFonts w:ascii="Times New Roman" w:cs="Times New Roman" w:eastAsia="Times New Roman" w:hAnsi="Times New Roman"/>
          <w:sz w:val="18"/>
          <w:szCs w:val="18"/>
          <w:color w:val="auto"/>
        </w:rPr>
        <w:t>. Except as expressly set forth in this Agreement or any Ancillary Agreement, the covenants, representations and warranties contained in this Agreement and the Ancillary Agreements, and liability for the breach of any obligations contained herein or therein, shall survive the Separation and the Distribution and shall remain in full force and effect in accordance with their terms.</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b w:val="1"/>
          <w:bCs w:val="1"/>
          <w:u w:val="single" w:color="auto"/>
          <w:color w:val="auto"/>
        </w:rPr>
        <w:t>Waivers of Default</w:t>
      </w:r>
      <w:r>
        <w:rPr>
          <w:rFonts w:ascii="Times New Roman" w:cs="Times New Roman" w:eastAsia="Times New Roman" w:hAnsi="Times New Roman"/>
          <w:sz w:val="18"/>
          <w:szCs w:val="18"/>
          <w:color w:val="auto"/>
        </w:rPr>
        <w:t>. Waiver by a Party of any default by the other Party of any provision of this Agreement or any Ancillary Agreement shall not be deemed a waiver by the waiving Party of any subsequent or other default, nor shall it prejudice the rights of the other Party. No failure or delay by a Party in exercising any right, power or privilege under this Agreement or any Ancillary Agreement shall operate as a waiver thereof nor shall a single or partial exercise thereof prejudice any other or further exercise thereof or the exercise of any other right, power or privilege.</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(on an interim or permanent basis) in respect of its or their rights under this Agreement or such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66" w:right="479" w:bottom="1440" w:gutter="0" w:footer="0" w:header="0"/>
        </w:sectPr>
      </w:pPr>
    </w:p>
    <w:bookmarkStart w:id="44" w:name="page45"/>
    <w:bookmarkEnd w:id="44"/>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9.18.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xml:space="preserve">. No provisions of this Agreement or any Ancillary Agreement shall be deemed waived, amended, supplemented or modified by a Party, unless such waiver, amendment, supplement or modification is in writing and signed by the authorized representative of the Party against whom it sought to enforce such waiver, amendment, supplement or modification is sought to be enforced;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at any time prior to the Effective Time, the terms and conditions of this Agreement, including terms relating to the Separation and the Distribution, may be amended, modified or abandoned by and in the sole and absolute discretion of the Illumina Board without the approval of any Person, including GRAIL or Illumina;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such amendment or modification would affect the GRAIL Group adversely in a material respect after the Effective Time, then such amendment or modification shall require the prior written consent of GRAIL.</w:t>
      </w:r>
    </w:p>
    <w:p>
      <w:pPr>
        <w:spacing w:after="0" w:line="183"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This Agreement shall be construed as if jointly drafted by the Parties and no rule of construction or strict interpretation shall be applied against either Party. The Parties represent that this Agreement is entered into with full consideration of any and all rights which the Parties may have. The Parties have conducted such investigations they thought appropriate, and have consulted with such advisors as they deemed appropriate regarding this Agreement and their rights and asserted rights in connection therewith. The Parties are not relying upon any representations or statements made by the other Party, or such other Party’s employees, agents, representatives or attorneys, regarding this Agreement, except to the extent such representations are expressly set forth or incorporated in this Agreement. The Parties are not relying upon a legal duty, if one exists, on the part of the other Party (or such other Party’s employees, agents, representatives or attorneys) to disclose any information in connection with the execution of this Agreement or their preparation, it being expressly understood that neither Party shall ever assert any failure to disclose information on the part of the other Party as a ground for challenging this Agreement.</w:t>
      </w:r>
    </w:p>
    <w:p>
      <w:pPr>
        <w:spacing w:after="0" w:line="18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b w:val="1"/>
          <w:bCs w:val="1"/>
          <w:u w:val="single" w:color="auto"/>
          <w:color w:val="auto"/>
        </w:rPr>
        <w:t>Limited Liability</w:t>
      </w:r>
      <w:r>
        <w:rPr>
          <w:rFonts w:ascii="Times New Roman" w:cs="Times New Roman" w:eastAsia="Times New Roman" w:hAnsi="Times New Roman"/>
          <w:sz w:val="18"/>
          <w:szCs w:val="18"/>
          <w:color w:val="auto"/>
        </w:rPr>
        <w:t>. Notwithstanding any other provision of this Agreement, no individual who is a stockholder, director, employee, officer, agent or representative of Illumina or GRAIL, in such individual’s capacity as such, shall have any liability in respect of or relating to the covenants or obligations of Illumina or GRAIL, as applicable, under this Agreement or any Ancillary Agreement or in respect of any certificate delivered with respect hereto or thereto and, to the fullest extent legally permissible, each of Illumina or GRAIL, for itself and its respective Subsidiaries and its and their respective stockholders, directors, employees and officers, waives and agrees not to seek to assert or enforce any such liability that any such Person otherwise might have pursuant to applicable Law.</w:t>
      </w:r>
    </w:p>
    <w:p>
      <w:pPr>
        <w:spacing w:after="0" w:line="182"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b w:val="1"/>
          <w:bCs w:val="1"/>
          <w:u w:val="single" w:color="auto"/>
          <w:color w:val="auto"/>
        </w:rPr>
        <w:t>Exclusivity of Tax Matters</w:t>
      </w:r>
      <w:r>
        <w:rPr>
          <w:rFonts w:ascii="Times New Roman" w:cs="Times New Roman" w:eastAsia="Times New Roman" w:hAnsi="Times New Roman"/>
          <w:sz w:val="18"/>
          <w:szCs w:val="18"/>
          <w:color w:val="auto"/>
        </w:rPr>
        <w:t xml:space="preserve">. Notwithstanding any other provision of this Agreement (other than </w:t>
      </w:r>
      <w:r>
        <w:rPr>
          <w:rFonts w:ascii="Times New Roman" w:cs="Times New Roman" w:eastAsia="Times New Roman" w:hAnsi="Times New Roman"/>
          <w:sz w:val="18"/>
          <w:szCs w:val="18"/>
          <w:u w:val="single" w:color="auto"/>
          <w:color w:val="auto"/>
        </w:rPr>
        <w:t>Sections 4.2(c)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5.5(g)</w:t>
      </w:r>
      <w:r>
        <w:rPr>
          <w:rFonts w:ascii="Times New Roman" w:cs="Times New Roman" w:eastAsia="Times New Roman" w:hAnsi="Times New Roman"/>
          <w:sz w:val="18"/>
          <w:szCs w:val="18"/>
          <w:color w:val="auto"/>
        </w:rPr>
        <w:t>), the Tax Matters Agreement shall exclusively govern all matters related to Taxes (including allocations thereof) addressed therein. If there is a conflict between any provision of this Agreement or of an Ancillary Agreement (other than the Tax Matters Agreement), on the one hand, and the Tax Matters Agreement, on the other hand, and such provisions relate to matters addressed by the Tax Matters Agreement, the Tax Matters Agreement shall control.</w:t>
      </w:r>
    </w:p>
    <w:p>
      <w:pPr>
        <w:spacing w:after="0" w:line="176"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b w:val="1"/>
          <w:bCs w:val="1"/>
          <w:u w:val="single" w:color="auto"/>
          <w:color w:val="auto"/>
        </w:rPr>
        <w:t>Exclusivity of Employee Matters</w:t>
      </w:r>
      <w:r>
        <w:rPr>
          <w:rFonts w:ascii="Times New Roman" w:cs="Times New Roman" w:eastAsia="Times New Roman" w:hAnsi="Times New Roman"/>
          <w:sz w:val="18"/>
          <w:szCs w:val="18"/>
          <w:color w:val="auto"/>
        </w:rPr>
        <w:t xml:space="preserve">. Notwithstanding any other provision of this Agreement (other than </w:t>
      </w:r>
      <w:r>
        <w:rPr>
          <w:rFonts w:ascii="Times New Roman" w:cs="Times New Roman" w:eastAsia="Times New Roman" w:hAnsi="Times New Roman"/>
          <w:sz w:val="18"/>
          <w:szCs w:val="18"/>
          <w:u w:val="single" w:color="auto"/>
          <w:color w:val="auto"/>
        </w:rPr>
        <w:t>Sections 4.2(c)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5.6(f)</w:t>
      </w:r>
      <w:r>
        <w:rPr>
          <w:rFonts w:ascii="Times New Roman" w:cs="Times New Roman" w:eastAsia="Times New Roman" w:hAnsi="Times New Roman"/>
          <w:sz w:val="18"/>
          <w:szCs w:val="18"/>
          <w:color w:val="auto"/>
        </w:rPr>
        <w:t>), the Employee Matters Agreement shall exclusively govern all matters relating to employees (including allocations thereof) addressed therein. If there is a conflict between any provisions of this Agreement or of an Ancillary Agreement (other than the Employee Matters Agreement), on the one hand, and the Employee Matters Agreement, on the other hand, and such provisions relate to matters addressed by the Employee Matters Agreement, the Employee Matters Agreement shall control.</w:t>
      </w:r>
    </w:p>
    <w:p>
      <w:pPr>
        <w:spacing w:after="0" w:line="179"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9.23. </w:t>
      </w:r>
      <w:r>
        <w:rPr>
          <w:rFonts w:ascii="Times New Roman" w:cs="Times New Roman" w:eastAsia="Times New Roman" w:hAnsi="Times New Roman"/>
          <w:sz w:val="18"/>
          <w:szCs w:val="18"/>
          <w:b w:val="1"/>
          <w:bCs w:val="1"/>
          <w:u w:val="single" w:color="auto"/>
          <w:color w:val="auto"/>
        </w:rPr>
        <w:t>Exclusivity of Retained Stock Matters</w:t>
      </w:r>
      <w:r>
        <w:rPr>
          <w:rFonts w:ascii="Times New Roman" w:cs="Times New Roman" w:eastAsia="Times New Roman" w:hAnsi="Times New Roman"/>
          <w:sz w:val="18"/>
          <w:szCs w:val="18"/>
          <w:color w:val="auto"/>
        </w:rPr>
        <w:t xml:space="preserve">. Notwithstanding any other provision of this Agreement (other than </w:t>
      </w:r>
      <w:r>
        <w:rPr>
          <w:rFonts w:ascii="Times New Roman" w:cs="Times New Roman" w:eastAsia="Times New Roman" w:hAnsi="Times New Roman"/>
          <w:sz w:val="18"/>
          <w:szCs w:val="18"/>
          <w:u w:val="single" w:color="auto"/>
          <w:color w:val="auto"/>
        </w:rPr>
        <w:t>Sections 4.2(c)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5.6(f)</w:t>
      </w:r>
      <w:r>
        <w:rPr>
          <w:rFonts w:ascii="Times New Roman" w:cs="Times New Roman" w:eastAsia="Times New Roman" w:hAnsi="Times New Roman"/>
          <w:sz w:val="18"/>
          <w:szCs w:val="18"/>
          <w:color w:val="auto"/>
        </w:rPr>
        <w:t>), the Registration Rights Agreement shall exclusively govern all matters relating to the Retained Stock (including allocations thereof) addressed therein. If there is a conflict between any provisions of this Agreement or of an Ancillary Agreement (other than the Registration Rights Agreement), on the one hand, and the Registration Rights Agreement, on the other hand, and such provisions relate to matters addressed by the Registration Rights Agreement, the Registration Rights Agreement shall control.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6" w:right="479" w:bottom="1440" w:gutter="0" w:footer="0" w:header="0"/>
        </w:sectPr>
      </w:pPr>
    </w:p>
    <w:bookmarkStart w:id="45" w:name="page46"/>
    <w:bookmarkEnd w:id="45"/>
    <w:p>
      <w:pPr>
        <w:ind w:firstLine="4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9.24. </w:t>
      </w:r>
      <w:r>
        <w:rPr>
          <w:rFonts w:ascii="Times New Roman" w:cs="Times New Roman" w:eastAsia="Times New Roman" w:hAnsi="Times New Roman"/>
          <w:sz w:val="17"/>
          <w:szCs w:val="17"/>
          <w:b w:val="1"/>
          <w:bCs w:val="1"/>
          <w:u w:val="single" w:color="auto"/>
          <w:color w:val="auto"/>
        </w:rPr>
        <w:t>Limitations of Liability</w:t>
      </w:r>
      <w:r>
        <w:rPr>
          <w:rFonts w:ascii="Times New Roman" w:cs="Times New Roman" w:eastAsia="Times New Roman" w:hAnsi="Times New Roman"/>
          <w:sz w:val="17"/>
          <w:szCs w:val="17"/>
          <w:color w:val="auto"/>
        </w:rPr>
        <w:t>. NOTWITHSTANDING ANYTHING IN THIS AGREEMENT OR ANY ANCILLARY AGREEMENT TO THE CONTRARY, NEITHER GRAIL NOR ITS AFFILIATES, ON THE ONE HAND, NOR ILLUMINA NOR ITS AFFILIATES, ON THE OTHER HAND, SHALL BE LIABLE UNDER THIS AGREEMENT OR ANY ANCILLARY AGREEMENT TO THE OTHER FOR ANY INCIDENTAL, CONSEQUENTIAL, SPECIAL, INDIRECT, PUNITIVE, EXEMPLARY, REMOTE, SPECULATIVE OR SIMILAR DAMAGES IN EXCESS OF COMPENSATORY DAMAGES OF THE OTHER ARISING IN CONNECTION WITH THE TRANSACTIONS CONTEMPLATED HEREBY OR THEREBY (OTHER THAN (A) ANY SUCH LIABILITY WITH RESPECT TO INDEMNIFICATION OF SUCH DAMAGES, INCLUDING ALL COSTS, EXPENSES, INTEREST, ATTORNEYS’ FEES, DISBURSEMENTS AND EXPENSES OF COUNSEL, EXPERT AND CONSULTING FEES AND COSTS RELATED THERETO OR TO THE INVESTIGATION OR DEFENSE THEREOF, PAID BY AN INDEMNITEE IN RESPECT OF A THIRD-PARTY CLAIM AND (B) ANY CONSEQUENTIAL DAMAGES TO THE EXTENT REASONABLY FORESEEABLE).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66"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by their duly authorized representatives.</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ILLUMINA,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Ankur Dhingra</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Ankur Dhingra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Separation and Distribution Agreement</w:t>
      </w:r>
      <w:r>
        <w:rPr>
          <w:rFonts w:ascii="Times New Roman" w:cs="Times New Roman" w:eastAsia="Times New Roman" w:hAnsi="Times New Roman"/>
          <w:sz w:val="18"/>
          <w:szCs w:val="18"/>
          <w:color w:val="auto"/>
        </w:rPr>
        <w:t>]</w:t>
      </w:r>
    </w:p>
    <w:p>
      <w:pPr>
        <w:sectPr>
          <w:pgSz w:w="11900" w:h="16838" w:orient="portrait"/>
          <w:cols w:equalWidth="0" w:num="1">
            <w:col w:w="10580"/>
          </w:cols>
          <w:pgMar w:left="880" w:top="270" w:right="439" w:bottom="1440" w:gutter="0" w:footer="0" w:header="0"/>
        </w:sectPr>
      </w:pPr>
    </w:p>
    <w:bookmarkStart w:id="47" w:name="page48"/>
    <w:bookmarkEnd w:id="4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GRAIL,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Robert Ragusa</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Robert Ragusa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8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Separation and Distribution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GRAIL, INC.</w:t>
      </w:r>
    </w:p>
    <w:p>
      <w:pPr>
        <w:spacing w:after="0" w:line="20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GRAIL,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Wilmington, County of New Castle, Delaware 19801, and the name of its registered agent at such address is The Corporation Trust Company. The name and mailing address of the incorporator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3160" w:type="dxa"/>
            <w:vAlign w:val="bottom"/>
          </w:tcPr>
          <w:p>
            <w:pPr>
              <w:spacing w:after="0"/>
              <w:rPr>
                <w:sz w:val="14"/>
                <w:szCs w:val="14"/>
                <w:color w:val="auto"/>
              </w:rPr>
            </w:pPr>
          </w:p>
        </w:tc>
        <w:tc>
          <w:tcPr>
            <w:tcW w:w="5260" w:type="dxa"/>
            <w:vAlign w:val="bottom"/>
            <w:gridSpan w:val="3"/>
          </w:tcPr>
          <w:p>
            <w:pPr>
              <w:ind w:left="2240"/>
              <w:spacing w:after="0"/>
              <w:rPr>
                <w:sz w:val="20"/>
                <w:szCs w:val="20"/>
                <w:color w:val="auto"/>
              </w:rPr>
            </w:pPr>
            <w:r>
              <w:rPr>
                <w:rFonts w:ascii="Times New Roman" w:cs="Times New Roman" w:eastAsia="Times New Roman" w:hAnsi="Times New Roman"/>
                <w:sz w:val="14"/>
                <w:szCs w:val="14"/>
                <w:color w:val="auto"/>
              </w:rPr>
              <w:t>Address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6"/>
              </w:rPr>
              <w:t>Illumina Way San Diego, CA 92122</w:t>
            </w:r>
          </w:p>
        </w:tc>
        <w:tc>
          <w:tcPr>
            <w:tcW w:w="0" w:type="dxa"/>
            <w:vAlign w:val="bottom"/>
          </w:tcPr>
          <w:p>
            <w:pPr>
              <w:spacing w:after="0" w:line="20" w:lineRule="exact"/>
              <w:rPr>
                <w:sz w:val="1"/>
                <w:szCs w:val="1"/>
                <w:color w:val="auto"/>
              </w:rPr>
            </w:pPr>
          </w:p>
        </w:tc>
      </w:tr>
      <w:tr>
        <w:trPr>
          <w:trHeight w:val="22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Dadswell</w:t>
            </w:r>
          </w:p>
        </w:tc>
        <w:tc>
          <w:tcPr>
            <w:tcW w:w="2240" w:type="dxa"/>
            <w:vAlign w:val="bottom"/>
            <w:vMerge w:val="continue"/>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5200</w:t>
            </w:r>
          </w:p>
        </w:tc>
        <w:tc>
          <w:tcPr>
            <w:tcW w:w="2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it now exists or may hereafter be amended and supplemented. The Corporation is being incorporated in connection with the conversion of GRAIL, LLC, a Delaware limited liability company (the “</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to the Corporation, and this Certificate of Incorporation is being filed simultaneously with the Certificate of Conversion of the LLC (the “</w:t>
      </w:r>
      <w:r>
        <w:rPr>
          <w:rFonts w:ascii="Times New Roman" w:cs="Times New Roman" w:eastAsia="Times New Roman" w:hAnsi="Times New Roman"/>
          <w:sz w:val="18"/>
          <w:szCs w:val="18"/>
          <w:u w:val="single" w:color="auto"/>
          <w:color w:val="auto"/>
        </w:rPr>
        <w:t>Certificate of Conversion</w:t>
      </w:r>
      <w:r>
        <w:rPr>
          <w:rFonts w:ascii="Times New Roman" w:cs="Times New Roman" w:eastAsia="Times New Roman" w:hAnsi="Times New Roman"/>
          <w:sz w:val="18"/>
          <w:szCs w:val="18"/>
          <w:color w:val="auto"/>
        </w:rPr>
        <w:t>”) to the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total number of shares of capital stock which the Corporation shall have authority to issue is 1,550,000,000. The total number of shares of Common Stock that the Corporation is authorized to issue is 1,500,000,000, having a par value of $0.001 per share, and the total number of shares of Preferred Stock that the Corporation is authorized to issue is 50,000,000, having a par value of $0.001 per share.</w:t>
      </w:r>
    </w:p>
    <w:p>
      <w:pPr>
        <w:spacing w:after="0" w:line="180"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Upon the effectiveness of the Certificate of Conversion and this Certificate of Incorporation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all limited liability company interests in the LLC outstanding immediately prior to the Effective Time will be deemed to be 31,049,147 issued and outstanding, fully paid and non-assessable shares of Common Stock, without any action required on the part of the Corporation or the former holder of such limited liability company interests.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designations and the powers, privileges and rights, and the qualifications, limitations or restrictions thereof in respect of each class of capital stock of the Corporation are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9" w:name="page50"/>
    <w:bookmarkEnd w:id="49"/>
    <w:p>
      <w:pPr>
        <w:jc w:val="both"/>
        <w:ind w:right="20" w:firstLine="987"/>
        <w:spacing w:after="0" w:line="266" w:lineRule="auto"/>
        <w:tabs>
          <w:tab w:leader="none" w:pos="11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w:t>
      </w:r>
      <w:r>
        <w:rPr>
          <w:rFonts w:ascii="Times New Roman" w:cs="Times New Roman" w:eastAsia="Times New Roman" w:hAnsi="Times New Roman"/>
          <w:sz w:val="18"/>
          <w:szCs w:val="18"/>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outstanding from time to time.</w:t>
      </w:r>
    </w:p>
    <w:p>
      <w:pPr>
        <w:spacing w:after="0" w:line="175" w:lineRule="exact"/>
        <w:rPr>
          <w:rFonts w:ascii="Times New Roman" w:cs="Times New Roman" w:eastAsia="Times New Roman" w:hAnsi="Times New Roman"/>
          <w:sz w:val="18"/>
          <w:szCs w:val="18"/>
          <w:color w:val="auto"/>
        </w:rPr>
      </w:pPr>
    </w:p>
    <w:p>
      <w:pPr>
        <w:jc w:val="both"/>
        <w:ind w:firstLine="987"/>
        <w:spacing w:after="0" w:line="255" w:lineRule="auto"/>
        <w:tabs>
          <w:tab w:leader="none" w:pos="11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Certificate of Incorporation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Certificate (including any Certificate of Designation) or pursuant to the DGCL.</w:t>
      </w:r>
    </w:p>
    <w:p>
      <w:pPr>
        <w:spacing w:after="0" w:line="18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76" w:lineRule="exact"/>
        <w:rPr>
          <w:sz w:val="20"/>
          <w:szCs w:val="20"/>
          <w:color w:val="auto"/>
        </w:rPr>
      </w:pPr>
    </w:p>
    <w:p>
      <w:pPr>
        <w:jc w:val="both"/>
        <w:ind w:right="20" w:firstLine="987"/>
        <w:spacing w:after="0" w:line="266" w:lineRule="auto"/>
        <w:tabs>
          <w:tab w:leader="none" w:pos="118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17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 number of shares of Common Stock held by each such holder.</w:t>
      </w:r>
    </w:p>
    <w:p>
      <w:pPr>
        <w:spacing w:after="0" w:line="179"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76"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to determine and fix the number of shares of such series and such voting powers,</w:t>
      </w:r>
    </w:p>
    <w:p>
      <w:pPr>
        <w:sectPr>
          <w:pgSz w:w="11900" w:h="16838" w:orient="portrait"/>
          <w:cols w:equalWidth="0" w:num="1">
            <w:col w:w="11020"/>
          </w:cols>
          <w:pgMar w:left="440" w:top="270" w:right="439" w:bottom="144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Certificate (including any Certificate of Designation). Except as otherwise required by law, holders of any series of Preferred Stock shall be entitled only to such voting rights, if any, as shall expressly be granted thereto by this Certificate (including any Certificate of Designation).</w:t>
      </w:r>
    </w:p>
    <w:p>
      <w:pPr>
        <w:spacing w:after="0" w:line="19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it is further provided that:</w:t>
      </w:r>
    </w:p>
    <w:p>
      <w:pPr>
        <w:spacing w:after="0" w:line="117"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A. 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The initial Class I directors shall serve for a term expiring at the first annual meeting of the stockholders following the initial registration of the Corporation’s Common Stock pursuant to the Securities Exchange Act of 1934, as amended; the initial Class II directors shall serve for a term expiring at the second annual meeting of the stockholders following such registration; and the initial Class III directors shall serve for a term expiring at the third annual meeting following such registration. At each annual meeting of stockholders of the Corporation beginning with the first annual meeting of stockholders following the Effective Time, subject to any special rights of the holders of one or more outstanding series of Preferred Stock to elect directors,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No decrease in the number of directors shall shorten the term of any incumbent director. The Board of Directors is authorized to assign members of the Board of Directors already in office to Class I, Class II and Class III.</w:t>
      </w:r>
    </w:p>
    <w:p>
      <w:pPr>
        <w:spacing w:after="0" w:line="19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B. Except as otherwise expressly provided by the DGCL or this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w:t>
      </w:r>
    </w:p>
    <w:p>
      <w:pPr>
        <w:sectPr>
          <w:pgSz w:w="11900" w:h="16838" w:orient="portrait"/>
          <w:cols w:equalWidth="0" w:num="1">
            <w:col w:w="11020"/>
          </w:cols>
          <w:pgMar w:left="440" w:top="270" w:right="439" w:bottom="1440" w:gutter="0" w:footer="0" w:header="0"/>
        </w:sectPr>
      </w:pPr>
    </w:p>
    <w:bookmarkStart w:id="51" w:name="page52"/>
    <w:bookmarkEnd w:id="51"/>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two-thirds of the voting power of all of the then outstanding shares of voting stock of the Corporation entitled to vote at an election of directors.</w:t>
      </w:r>
    </w:p>
    <w:p>
      <w:pPr>
        <w:spacing w:after="0" w:line="176"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p>
      <w:pPr>
        <w:spacing w:after="0" w:line="189"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Notwithstanding anything to the contrary in this Article VI, the number of directors that may be elected by the holders of any such series of Preferred Stock shall be in addition to the number fixed pursuant to </w:t>
      </w:r>
      <w:r>
        <w:rPr>
          <w:rFonts w:ascii="Times New Roman" w:cs="Times New Roman" w:eastAsia="Times New Roman" w:hAnsi="Times New Roman"/>
          <w:sz w:val="18"/>
          <w:szCs w:val="18"/>
          <w:u w:val="single" w:color="auto"/>
          <w:color w:val="auto"/>
        </w:rPr>
        <w:t>paragraph B of this Article VI</w:t>
      </w:r>
      <w:r>
        <w:rPr>
          <w:rFonts w:ascii="Times New Roman" w:cs="Times New Roman" w:eastAsia="Times New Roman" w:hAnsi="Times New Roman"/>
          <w:sz w:val="18"/>
          <w:szCs w:val="18"/>
          <w:color w:val="auto"/>
        </w:rPr>
        <w:t>,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92"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F. In furtherance and not in limitation of the powers conferred by statute, the Board of Directors is expressly authorized to adopt, amend or repeal Bylaws of the Corporation.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w:t>
      </w:r>
    </w:p>
    <w:p>
      <w:pPr>
        <w:sectPr>
          <w:pgSz w:w="11900" w:h="16838" w:orient="portrait"/>
          <w:cols w:equalWidth="0" w:num="1">
            <w:col w:w="11020"/>
          </w:cols>
          <w:pgMar w:left="440" w:top="270" w:right="43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The directors of the Corporation need not be elected by written ballot unless the Bylaws so provide.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9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B. Subject to the special rights of the holders of one or more series of Preferred Stock, special meetings of the stockholders of the Corporation may be called, for any purpose or purposes, at any time only by or at the direction of the Chief Executive Officer, the Board of Directors, or the Chairperson of the Board of Directors or the Lead Independent Director, and shall not be called by any other person or persons.</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C. Advance notice of stockholder nominations for the election of directors and of other business proposed to be brought by stockholders before any meeting of the stockholders of the Corporation shall be given in the manner provided in the Bylaws of the Corporation.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the Certificate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Corporation shall have the power to provide rights to indemnification and advancement of expenses to its current and former officers, directors, employees and agents and</w:t>
      </w:r>
    </w:p>
    <w:p>
      <w:pPr>
        <w:sectPr>
          <w:pgSz w:w="11900" w:h="16838" w:orient="portrait"/>
          <w:cols w:equalWidth="0" w:num="1">
            <w:col w:w="11020"/>
          </w:cols>
          <w:pgMar w:left="440" w:top="270" w:right="439" w:bottom="1440" w:gutter="0" w:footer="0" w:header="0"/>
        </w:sectPr>
      </w:pPr>
    </w:p>
    <w:bookmarkStart w:id="53" w:name="page54"/>
    <w:bookmarkEnd w:id="5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person who is or was serving at the request of the Corporation as a director, officer, employee or agent of another corporation, partnership, joint venture, trust or other enterprise.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jc w:val="both"/>
        <w:ind w:firstLine="991"/>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the Court of Chancery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of the Corporation or this Certificate (as either may be amended from time to time) or (iv) any action, suit or proceeding asserting a claim against the Corporation governed by the internal affairs doctrine; and (b) subject to the preceding provisions of this Article X,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97"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security of the Corporation shall be deemed to have notice of and consented to this Article X. This Article X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spacing w:after="0" w:line="187"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ectPr>
          <w:pgSz w:w="11900" w:h="16838" w:orient="portrait"/>
          <w:cols w:equalWidth="0" w:num="1">
            <w:col w:w="11020"/>
          </w:cols>
          <w:pgMar w:left="440" w:top="270" w:right="4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29"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A. Notwithstanding anything contained in this Certificate to the contrary, in addition to any vote required by applicable law, the following provisions in this Certificate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 Article VII, Article VIII, Article IX, Article X, and this Article XI.</w:t>
      </w:r>
    </w:p>
    <w:p>
      <w:pPr>
        <w:spacing w:after="0" w:line="183"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B. If any provision or provisions of this Certificate shall be held to be invalid, illegal or unenforceable as applied to any circumstance for any reason whatsoever: (i) the validity, legality and enforceability of such provisions in any other circumstance and of the remaining provisions of this Certificate (including, without limitation, each portion of any paragraph of this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(including, without limitation, each such portion of any paragraph of this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ectPr>
          <w:pgSz w:w="11900" w:h="16838" w:orient="portrait"/>
          <w:cols w:equalWidth="0" w:num="1">
            <w:col w:w="11020"/>
          </w:cols>
          <w:pgMar w:left="440" w:top="266" w:right="439" w:bottom="1440" w:gutter="0" w:footer="0" w:header="0"/>
        </w:sectPr>
      </w:pPr>
    </w:p>
    <w:bookmarkStart w:id="55" w:name="page56"/>
    <w:bookmarkEnd w:id="5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incorporator has executed this Certificate for the purpose of forming a corporation pursuant to the General Corporation Law of the State of Delaware, as of the 21st day of June, 2024.</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Dadswell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Charles Dadswell</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Incorporator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GRAIL, Inc. Certificate of Incorporation]</w:t>
      </w:r>
    </w:p>
    <w:p>
      <w:pPr>
        <w:sectPr>
          <w:pgSz w:w="11900" w:h="16838" w:orient="portrait"/>
          <w:cols w:equalWidth="0" w:num="1">
            <w:col w:w="11000"/>
          </w:cols>
          <w:pgMar w:left="440" w:top="270" w:right="4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Amended and Restated Bylaws of</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GRAIL,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as of June 21, 2024</w:t>
      </w:r>
    </w:p>
    <w:p>
      <w:pPr>
        <w:sectPr>
          <w:pgSz w:w="11900" w:h="16838" w:orient="portrait"/>
          <w:cols w:equalWidth="0" w:num="1">
            <w:col w:w="10020"/>
          </w:cols>
          <w:pgMar w:left="1440" w:top="117" w:right="4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98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80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Office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Offices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Place of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Annual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Business to be Brought before a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Nominations for Election to the Board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Requirements for Valid Nomination of Candidates to Serve as Director and, if Elected, to be Seated as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Quorum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Adjourned Meeting;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Conduct of Business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Record Date for Stockholder Meetings and Other Purposes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Proxies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Inspectors of Election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Delivery to the Corporation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Regular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 Meetings;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Quorum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Board Action without a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Committees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 Minutes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Subcommittees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 of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984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8"/>
                <w:szCs w:val="18"/>
                <w:color w:val="auto"/>
              </w:rPr>
            </w:pPr>
          </w:p>
        </w:tc>
      </w:tr>
      <w:tr>
        <w:trPr>
          <w:trHeight w:val="238"/>
        </w:trPr>
        <w:tc>
          <w:tcPr>
            <w:tcW w:w="820" w:type="dxa"/>
            <w:vAlign w:val="bottom"/>
          </w:tcPr>
          <w:p>
            <w:pPr>
              <w:spacing w:after="0"/>
              <w:rPr>
                <w:sz w:val="20"/>
                <w:szCs w:val="20"/>
                <w:color w:val="auto"/>
              </w:rPr>
            </w:pPr>
          </w:p>
        </w:tc>
        <w:tc>
          <w:tcPr>
            <w:tcW w:w="984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300" w:type="dxa"/>
            <w:vAlign w:val="bottom"/>
          </w:tcPr>
          <w:p>
            <w:pPr>
              <w:spacing w:after="0"/>
              <w:rPr>
                <w:sz w:val="20"/>
                <w:szCs w:val="20"/>
                <w:color w:val="auto"/>
              </w:rPr>
            </w:pPr>
          </w:p>
        </w:tc>
      </w:tr>
      <w:tr>
        <w:trPr>
          <w:trHeight w:val="391"/>
        </w:trPr>
        <w:tc>
          <w:tcPr>
            <w:tcW w:w="82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8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Subordinate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Vacancies in Offices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Records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General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Certificates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Lost Certificates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of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Stockholders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7.13</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Indemnification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of 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Determination; Claim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Non-Exclusivity of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Indemnification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Continuation of Indemnification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or Repeal; Interpretation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 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Bylaws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GRAIL,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I—Corporate Offices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GRAIL,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II—Meetings of Stockholders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such place, if any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At the annual meeting, directors shall be elected and other proper business properly brought before the meeting in accordance with Section 2.4 of these amended and restated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may be transacted. The Board may postpone, reschedule or cancel any previously scheduled annual meeting of stockholders.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Special meetings of the stockholders may be called only by such persons and only in such manner as set forth in the Certificate of Incorporation.</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 The Board may postpone, reschedule or cancel any previously scheduled special meeting of stockholders.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Notice of Business to be Brought before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36"/>
        <w:spacing w:after="0" w:line="252"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 meeting, otherwise brought before the meeting by the Board or the Chairperson of the Board or (iii) otherwise properly brought before the meeting by a stockholder present in person who (A) (1) was a record owner of shares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2.3, and stockholders shall not be permitted to propose business to be brought before a special meeting of the stockholders. For purposes of this Section 2.4 and Section 2.5 of these Bylaws, “present in person” shall mean that the stockholder proposing that the business be brought before the annual meeting of the Corporation, or a qualified representative of such proposing stockholder, appears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must comply with Section 2.5 and Section 2.6 of these Bylaws and this Section 2.4 shall not be applicable to nominations except as expressly provided in Section 2.5 and Section 2.6 of these Bylaws.</w:t>
      </w:r>
    </w:p>
    <w:p>
      <w:pPr>
        <w:spacing w:after="0" w:line="191" w:lineRule="exact"/>
        <w:rPr>
          <w:rFonts w:ascii="Times New Roman" w:cs="Times New Roman" w:eastAsia="Times New Roman" w:hAnsi="Times New Roman"/>
          <w:sz w:val="18"/>
          <w:szCs w:val="18"/>
          <w:color w:val="auto"/>
        </w:rPr>
      </w:pPr>
    </w:p>
    <w:p>
      <w:pPr>
        <w:jc w:val="both"/>
        <w:ind w:firstLine="436"/>
        <w:spacing w:after="0" w:line="234"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in the case of the first annual meeting of stockholders following the completion of the Corporation’s spin-off transaction and listing of its common stock on a national stock exchange, the date of the preceding year’s annual meeting shall be deemed to be June 3rd;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the annual meeting is more than thirty (30) days before or more than sixty (60) days after such anniversary date, notice by the stockholder to be timely must be so delivered, or mailed and received, not more than the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and not later than (i)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or, (ii) if later,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u w:val="single" w:color="auto"/>
          <w:color w:val="auto"/>
        </w:rPr>
        <w:t>Timely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for the giving of Timely Notice as described above.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61" w:name="page62"/>
    <w:bookmarkEnd w:id="61"/>
    <w:p>
      <w:pPr>
        <w:ind w:left="200" w:hanging="184"/>
        <w:spacing w:after="0"/>
        <w:tabs>
          <w:tab w:leader="none" w:pos="2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in proper form for purposes of this Section 2.4, a stockholder’s notice to the Secretary shall set forth:</w:t>
      </w:r>
    </w:p>
    <w:p>
      <w:pPr>
        <w:spacing w:after="0" w:line="130" w:lineRule="exact"/>
        <w:rPr>
          <w:rFonts w:ascii="Times New Roman" w:cs="Times New Roman" w:eastAsia="Times New Roman" w:hAnsi="Times New Roman"/>
          <w:sz w:val="18"/>
          <w:szCs w:val="18"/>
          <w:color w:val="auto"/>
        </w:rPr>
      </w:pPr>
    </w:p>
    <w:p>
      <w:pPr>
        <w:jc w:val="both"/>
        <w:ind w:left="540" w:hanging="532"/>
        <w:spacing w:after="0" w:line="254"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jc w:val="both"/>
        <w:ind w:left="540" w:hanging="532"/>
        <w:spacing w:after="0" w:line="251"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the Corporation (“</w:t>
      </w:r>
      <w:r>
        <w:rPr>
          <w:rFonts w:ascii="Times New Roman" w:cs="Times New Roman" w:eastAsia="Times New Roman" w:hAnsi="Times New Roman"/>
          <w:sz w:val="18"/>
          <w:szCs w:val="18"/>
          <w:u w:val="single" w:color="auto"/>
          <w:color w:val="auto"/>
        </w:rPr>
        <w:t>Synthetic Equity Position</w:t>
      </w:r>
      <w:r>
        <w:rPr>
          <w:rFonts w:ascii="Times New Roman" w:cs="Times New Roman" w:eastAsia="Times New Roman" w:hAnsi="Times New Roman"/>
          <w:sz w:val="18"/>
          <w:szCs w:val="18"/>
          <w:color w:val="auto"/>
        </w:rPr>
        <w:t>”) that is, directly or indirectly, held or maintained by, held for the benefit of, or involving such Proposing Person, including, without limitation, (i)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(ii) any derivative or synthetic arrangement having the characteristics of a long position or a short position in any class or series of shares of the Corporation, including, without limitation, a stock loan transaction, a stock borrow transaction, or a share repurchase transaction or (iii) any contract, derivative, swap or other transaction or series of transactions designed to (x) produce economic benefits and risks that correspond substantially to the ownership of any class or series of shares of the Corporation, (y) mitigate any loss relating to, reduce the economic risk (of ownership or otherwise) of, or manage the risk of share price decrease in, any class or series of shares of the Corporation, or (z) increase or decrease the voting power in respect of any class or series of shares of the Corporation of such Proposing Person,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w:t>
      </w:r>
    </w:p>
    <w:p>
      <w:pPr>
        <w:spacing w:after="0" w:line="1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00"/>
          </w:cols>
          <w:pgMar w:left="860" w:top="270" w:right="439" w:bottom="1440" w:gutter="0" w:footer="0" w:header="0"/>
        </w:sectPr>
      </w:pPr>
    </w:p>
    <w:bookmarkStart w:id="62" w:name="page63"/>
    <w:bookmarkEnd w:id="62"/>
    <w:p>
      <w:pPr>
        <w:jc w:val="both"/>
        <w:ind w:left="5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determination; and, provided, further, that any Proposing Person satisfying the requirements of Rule 13d-1(b)(1) under the Exchange Act (other than a Proposing Person that so satisfies Rule 13d-1(b)(1) under the Exchange Act solely by reason of Rule 13d-1(b)(1)(ii)(E)) shall not be required to disclose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w:t>
      </w:r>
    </w:p>
    <w:p>
      <w:pPr>
        <w:spacing w:after="0" w:line="6" w:lineRule="exact"/>
        <w:rPr>
          <w:sz w:val="20"/>
          <w:szCs w:val="20"/>
          <w:color w:val="auto"/>
        </w:rPr>
      </w:pPr>
    </w:p>
    <w:p>
      <w:pPr>
        <w:jc w:val="both"/>
        <w:ind w:left="560" w:firstLine="1"/>
        <w:spacing w:after="0" w:line="251" w:lineRule="auto"/>
        <w:tabs>
          <w:tab w:leader="none" w:pos="853"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that such Proposing Person intends or is part of a group that intends to deliver a proxy statement or form of proxy to holders of at least the percentage of the Corporation’s outstanding capital stock required to approve or adopt the proposal or otherwise solicit proxies from stockholders in support of such proposal and (H)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Times New Roman" w:cs="Times New Roman" w:eastAsia="Times New Roman" w:hAnsi="Times New Roman"/>
          <w:sz w:val="18"/>
          <w:szCs w:val="18"/>
          <w:u w:val="single" w:color="auto"/>
          <w:color w:val="auto"/>
        </w:rPr>
        <w:t>Disclosable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96" w:lineRule="exact"/>
        <w:rPr>
          <w:rFonts w:ascii="Times New Roman" w:cs="Times New Roman" w:eastAsia="Times New Roman" w:hAnsi="Times New Roman"/>
          <w:sz w:val="18"/>
          <w:szCs w:val="18"/>
          <w:color w:val="auto"/>
        </w:rPr>
      </w:pPr>
    </w:p>
    <w:p>
      <w:pPr>
        <w:jc w:val="both"/>
        <w:ind w:left="540" w:hanging="532"/>
        <w:spacing w:after="0" w:line="254"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w:t>
      </w:r>
    </w:p>
    <w:p>
      <w:pPr>
        <w:spacing w:after="0" w:line="3" w:lineRule="exact"/>
        <w:rPr>
          <w:rFonts w:ascii="Times New Roman" w:cs="Times New Roman" w:eastAsia="Times New Roman" w:hAnsi="Times New Roman"/>
          <w:sz w:val="18"/>
          <w:szCs w:val="18"/>
          <w:color w:val="auto"/>
        </w:rPr>
      </w:pPr>
    </w:p>
    <w:p>
      <w:pPr>
        <w:jc w:val="both"/>
        <w:ind w:left="540" w:right="20" w:firstLine="8"/>
        <w:spacing w:after="0" w:line="253" w:lineRule="auto"/>
        <w:tabs>
          <w:tab w:leader="none" w:pos="79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disclosures required by this Section 2.4 (iii) shall not include any</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00"/>
          </w:cols>
          <w:pgMar w:left="860" w:top="270" w:right="439" w:bottom="1440" w:gutter="0" w:footer="0" w:header="0"/>
        </w:sectPr>
      </w:pPr>
    </w:p>
    <w:bookmarkStart w:id="63" w:name="page64"/>
    <w:bookmarkEnd w:id="63"/>
    <w:p>
      <w:pPr>
        <w:ind w:left="98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60"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Section 2.4,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82" w:lineRule="exact"/>
        <w:rPr>
          <w:sz w:val="20"/>
          <w:szCs w:val="20"/>
          <w:color w:val="auto"/>
        </w:rPr>
      </w:pPr>
    </w:p>
    <w:p>
      <w:pPr>
        <w:ind w:right="20" w:firstLine="436"/>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request that any Proposing Person furnish such additional information as may be reasonably required by the Board. Such Proposing Person shall provide such additional information within ten (10) days after it has been requested by the Board.</w:t>
      </w:r>
    </w:p>
    <w:p>
      <w:pPr>
        <w:spacing w:after="0" w:line="161" w:lineRule="exact"/>
        <w:rPr>
          <w:rFonts w:ascii="Times New Roman" w:cs="Times New Roman" w:eastAsia="Times New Roman" w:hAnsi="Times New Roman"/>
          <w:sz w:val="18"/>
          <w:szCs w:val="18"/>
          <w:color w:val="auto"/>
        </w:rPr>
      </w:pPr>
    </w:p>
    <w:p>
      <w:pPr>
        <w:jc w:val="both"/>
        <w:ind w:firstLine="436"/>
        <w:spacing w:after="0" w:line="253" w:lineRule="auto"/>
        <w:tabs>
          <w:tab w:leader="none" w:pos="6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jc w:val="both"/>
        <w:ind w:firstLine="436"/>
        <w:spacing w:after="0" w:line="261" w:lineRule="auto"/>
        <w:tabs>
          <w:tab w:leader="none" w:pos="6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179" w:lineRule="exact"/>
        <w:rPr>
          <w:rFonts w:ascii="Times New Roman" w:cs="Times New Roman" w:eastAsia="Times New Roman" w:hAnsi="Times New Roman"/>
          <w:sz w:val="18"/>
          <w:szCs w:val="18"/>
          <w:color w:val="auto"/>
        </w:rPr>
      </w:pPr>
    </w:p>
    <w:p>
      <w:pPr>
        <w:jc w:val="both"/>
        <w:ind w:right="20" w:firstLine="436"/>
        <w:spacing w:after="0" w:line="258" w:lineRule="auto"/>
        <w:tabs>
          <w:tab w:leader="none" w:pos="6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64" w:name="page65"/>
    <w:bookmarkEnd w:id="64"/>
    <w:p>
      <w:pPr>
        <w:ind w:left="4" w:right="20" w:firstLine="436"/>
        <w:spacing w:after="0" w:line="284" w:lineRule="auto"/>
        <w:tabs>
          <w:tab w:leader="none" w:pos="64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these Bylaws, “</w:t>
      </w:r>
      <w:r>
        <w:rPr>
          <w:rFonts w:ascii="Times New Roman" w:cs="Times New Roman" w:eastAsia="Times New Roman" w:hAnsi="Times New Roman"/>
          <w:sz w:val="18"/>
          <w:szCs w:val="18"/>
          <w:i w:val="1"/>
          <w:iCs w:val="1"/>
          <w:color w:val="auto"/>
        </w:rPr>
        <w:t>public disclosure</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Notice of Nominations for Election to the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36"/>
        <w:spacing w:after="0" w:line="253" w:lineRule="auto"/>
        <w:tabs>
          <w:tab w:leader="none" w:pos="63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who (A) was a record owner of shares of the Corporation both at the time of giving the notice provided for in this Section 2.5 and at the time of the meeting, (B) is entitled to vote at the meeting, and (C) has complied with this Section 2.5 and Section 2.6 as to such notice and nomination. For purposes of this Section 2.5, “present in person” shall mean that the stockholder nominating any person for election to the Board at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at an annual meeting or special meeting.</w:t>
      </w:r>
    </w:p>
    <w:p>
      <w:pPr>
        <w:spacing w:after="0" w:line="189"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4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Without qualification, for a stockholder to make any nomination of a person or persons for election to the Board at an annual meeting, the stockholder must (1) provide Timely Notice (as defined in Section 2.4) thereof in writing and in proper form to the Secretary of the Corporation,</w:t>
      </w:r>
    </w:p>
    <w:p>
      <w:pPr>
        <w:jc w:val="both"/>
        <w:ind w:left="4" w:right="20" w:hanging="4"/>
        <w:spacing w:after="0" w:line="255" w:lineRule="auto"/>
        <w:tabs>
          <w:tab w:leader="none" w:pos="2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information, agreements and questionnaires with respect to such stockholder and its candidate for nomination as required to be set forth by this Section 2.5 and Section 2.6 and (3) provide any updates or supplements to such notice at the times and in the forms required by this Section 2.5 and Section 2.6</w:t>
      </w:r>
      <w:r>
        <w:rPr>
          <w:rFonts w:ascii="Times New Roman" w:cs="Times New Roman" w:eastAsia="Times New Roman" w:hAnsi="Times New Roman"/>
          <w:sz w:val="18"/>
          <w:szCs w:val="18"/>
          <w:i w:val="1"/>
          <w:iCs w:val="1"/>
          <w:color w:val="auto"/>
        </w:rPr>
        <w:t>.</w:t>
      </w:r>
    </w:p>
    <w:p>
      <w:pPr>
        <w:spacing w:after="0" w:line="77" w:lineRule="exact"/>
        <w:rPr>
          <w:rFonts w:ascii="Times New Roman" w:cs="Times New Roman" w:eastAsia="Times New Roman" w:hAnsi="Times New Roman"/>
          <w:sz w:val="18"/>
          <w:szCs w:val="18"/>
          <w:color w:val="auto"/>
        </w:rPr>
      </w:pPr>
    </w:p>
    <w:p>
      <w:pPr>
        <w:jc w:val="both"/>
        <w:ind w:left="444" w:firstLine="419"/>
        <w:spacing w:after="0" w:line="231" w:lineRule="auto"/>
        <w:tabs>
          <w:tab w:leader="none" w:pos="1139"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(i) provide timely notice thereof (such notice, the “</w:t>
      </w:r>
      <w:r>
        <w:rPr>
          <w:rFonts w:ascii="Times New Roman" w:cs="Times New Roman" w:eastAsia="Times New Roman" w:hAnsi="Times New Roman"/>
          <w:sz w:val="18"/>
          <w:szCs w:val="18"/>
          <w:u w:val="single" w:color="auto"/>
          <w:color w:val="auto"/>
        </w:rPr>
        <w:t>Special Meeting Nomination Timely Notice</w:t>
      </w:r>
      <w:r>
        <w:rPr>
          <w:rFonts w:ascii="Times New Roman" w:cs="Times New Roman" w:eastAsia="Times New Roman" w:hAnsi="Times New Roman"/>
          <w:sz w:val="18"/>
          <w:szCs w:val="18"/>
          <w:color w:val="auto"/>
        </w:rPr>
        <w:t>”) in writing and in proper form to the Secretary of the Corporation at the principal executive offices of the Corporation, (ii) provide the information with respect to such stockholder and its candidate for nomination as required by this Section 2.5 and Section 2.6 and (iii) provide any updates or supplements to such notice at the times and in the forms required by this Section 2.5. To be a Special Meeting Nomination Timely Notice, a stockholder’s notice for nominations to be made at a special meeting must be delivered to, or mailed and received at, the principal executive offices of the Corporation not earlier than the one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special meeting and not later than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special meeting or, if later,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day on which public disclosure (as defined in Section 2.4) of the date of such special meeting was first made.</w:t>
      </w:r>
    </w:p>
    <w:p>
      <w:pPr>
        <w:spacing w:after="0" w:line="98" w:lineRule="exact"/>
        <w:rPr>
          <w:rFonts w:ascii="Times New Roman" w:cs="Times New Roman" w:eastAsia="Times New Roman" w:hAnsi="Times New Roman"/>
          <w:sz w:val="18"/>
          <w:szCs w:val="18"/>
          <w:color w:val="auto"/>
        </w:rPr>
      </w:pPr>
    </w:p>
    <w:p>
      <w:pPr>
        <w:ind w:left="444" w:right="20" w:firstLine="419"/>
        <w:spacing w:after="0" w:line="282" w:lineRule="auto"/>
        <w:tabs>
          <w:tab w:leader="none" w:pos="1189"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or the announcement thereof commence a new time period for the giving of a stockholder’s notice as described above.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8" w:right="439" w:bottom="1440" w:gutter="0" w:footer="0" w:header="0"/>
        </w:sectPr>
      </w:pPr>
    </w:p>
    <w:bookmarkStart w:id="65" w:name="page66"/>
    <w:bookmarkEnd w:id="65"/>
    <w:p>
      <w:pPr>
        <w:jc w:val="both"/>
        <w:ind w:left="440" w:firstLine="419"/>
        <w:spacing w:after="0" w:line="255" w:lineRule="auto"/>
        <w:tabs>
          <w:tab w:leader="none" w:pos="11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no event may a Nominating Person provide Timely Notice or a Special Meeting Nomination Timely Notice, as the case may be,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or Special Meeting Nomination Timely Notice, as the case may be,</w:t>
      </w:r>
    </w:p>
    <w:p>
      <w:pPr>
        <w:spacing w:after="0" w:line="2"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set forth in Section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5(b)(ii) or (iii) the tenth day following the date of public disclosure (as defined in Section 2.4) of such increase.</w:t>
      </w:r>
    </w:p>
    <w:p>
      <w:pPr>
        <w:spacing w:after="0" w:line="207" w:lineRule="exact"/>
        <w:rPr>
          <w:sz w:val="20"/>
          <w:szCs w:val="20"/>
          <w:color w:val="auto"/>
        </w:rPr>
      </w:pPr>
    </w:p>
    <w:p>
      <w:pPr>
        <w:ind w:left="620" w:hanging="184"/>
        <w:spacing w:after="0"/>
        <w:tabs>
          <w:tab w:leader="none" w:pos="6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2.5, a stockholder’s notice to the Secretary shall set forth:</w:t>
      </w:r>
    </w:p>
    <w:p>
      <w:pPr>
        <w:spacing w:after="0" w:line="130"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(as defined below), the Stockholder Information (as defined in Section 4(c)(i), except that for purposes of this Section 2.5 the term “Nominating Person” shall be substituted for the term “Proposing Person” in all places it appears in Section 2.4(c) (i));</w:t>
      </w:r>
    </w:p>
    <w:p>
      <w:pPr>
        <w:spacing w:after="0" w:line="81" w:lineRule="exact"/>
        <w:rPr>
          <w:rFonts w:ascii="Times New Roman" w:cs="Times New Roman" w:eastAsia="Times New Roman" w:hAnsi="Times New Roman"/>
          <w:sz w:val="18"/>
          <w:szCs w:val="18"/>
          <w:color w:val="auto"/>
        </w:rPr>
      </w:pPr>
    </w:p>
    <w:p>
      <w:pPr>
        <w:jc w:val="both"/>
        <w:ind w:left="960" w:hanging="532"/>
        <w:spacing w:after="0" w:line="254"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election of directors at the meeting); and provided that, in lieu of including the information set forth in Section 2.4(c)(ii)(G), the Nominating Person’s notice for purposes of this Section 2.5 shall include a representation as to whether the Nominating Person intends or is part of a group which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spacing w:after="0" w:line="97" w:lineRule="exact"/>
        <w:rPr>
          <w:rFonts w:ascii="Times New Roman" w:cs="Times New Roman" w:eastAsia="Times New Roman" w:hAnsi="Times New Roman"/>
          <w:sz w:val="18"/>
          <w:szCs w:val="18"/>
          <w:color w:val="auto"/>
        </w:rPr>
      </w:pPr>
    </w:p>
    <w:p>
      <w:pPr>
        <w:jc w:val="both"/>
        <w:ind w:left="960" w:right="20" w:hanging="532"/>
        <w:spacing w:after="0" w:line="253"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and (B) are referred to as “</w:t>
      </w:r>
      <w:r>
        <w:rPr>
          <w:rFonts w:ascii="Times New Roman" w:cs="Times New Roman" w:eastAsia="Times New Roman" w:hAnsi="Times New Roman"/>
          <w:sz w:val="18"/>
          <w:szCs w:val="18"/>
          <w:i w:val="1"/>
          <w:iCs w:val="1"/>
          <w:color w:val="auto"/>
        </w:rPr>
        <w:t>Nominee Information</w:t>
      </w:r>
      <w:r>
        <w:rPr>
          <w:rFonts w:ascii="Times New Roman" w:cs="Times New Roman" w:eastAsia="Times New Roman" w:hAnsi="Times New Roman"/>
          <w:sz w:val="18"/>
          <w:szCs w:val="18"/>
          <w:color w:val="auto"/>
        </w:rPr>
        <w:t>”), and (C) a completed and signed questionnaire, representation and agreement as provided in Section 2.6(a).</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purposes of this Section 2.5, the term “</w:t>
      </w:r>
      <w:r>
        <w:rPr>
          <w:rFonts w:ascii="Times New Roman" w:cs="Times New Roman" w:eastAsia="Times New Roman" w:hAnsi="Times New Roman"/>
          <w:sz w:val="18"/>
          <w:szCs w:val="18"/>
          <w:i w:val="1"/>
          <w:iCs w:val="1"/>
          <w:color w:val="auto"/>
        </w:rPr>
        <w:t>Nominating Person</w:t>
      </w:r>
      <w:r>
        <w:rPr>
          <w:rFonts w:ascii="Times New Roman" w:cs="Times New Roman" w:eastAsia="Times New Roman" w:hAnsi="Times New Roman"/>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66" w:name="page67"/>
    <w:bookmarkEnd w:id="66"/>
    <w:p>
      <w:pPr>
        <w:ind w:left="324" w:hanging="324"/>
        <w:spacing w:after="0"/>
        <w:tabs>
          <w:tab w:leader="none" w:pos="3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participant (as defined in paragraphs (a)(ii)-(vi) of Instruction 3 to Item 4 of Schedule 14A) with such stockholder in such solicitation.</w:t>
      </w:r>
    </w:p>
    <w:p>
      <w:pPr>
        <w:spacing w:after="0" w:line="225" w:lineRule="exact"/>
        <w:rPr>
          <w:rFonts w:ascii="Times New Roman" w:cs="Times New Roman" w:eastAsia="Times New Roman" w:hAnsi="Times New Roman"/>
          <w:sz w:val="18"/>
          <w:szCs w:val="18"/>
          <w:color w:val="auto"/>
        </w:rPr>
      </w:pPr>
    </w:p>
    <w:p>
      <w:pPr>
        <w:ind w:left="4" w:firstLine="436"/>
        <w:spacing w:after="0" w:line="282" w:lineRule="auto"/>
        <w:tabs>
          <w:tab w:leader="none" w:pos="65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request that any Nominating Person furnish such additional information as may be reasonably required by the Board. Such Nominating Person shall provide such additional information within ten (10) days after it has been requested by the Board.</w:t>
      </w:r>
    </w:p>
    <w:p>
      <w:pPr>
        <w:spacing w:after="0" w:line="161" w:lineRule="exact"/>
        <w:rPr>
          <w:rFonts w:ascii="Times New Roman" w:cs="Times New Roman" w:eastAsia="Times New Roman" w:hAnsi="Times New Roman"/>
          <w:sz w:val="18"/>
          <w:szCs w:val="18"/>
          <w:color w:val="auto"/>
        </w:rPr>
      </w:pPr>
    </w:p>
    <w:p>
      <w:pPr>
        <w:jc w:val="both"/>
        <w:ind w:left="4" w:firstLine="436"/>
        <w:spacing w:after="0" w:line="253" w:lineRule="auto"/>
        <w:tabs>
          <w:tab w:leader="none" w:pos="65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89" w:lineRule="exact"/>
        <w:rPr>
          <w:rFonts w:ascii="Times New Roman" w:cs="Times New Roman" w:eastAsia="Times New Roman" w:hAnsi="Times New Roman"/>
          <w:sz w:val="18"/>
          <w:szCs w:val="18"/>
          <w:color w:val="auto"/>
        </w:rPr>
      </w:pPr>
    </w:p>
    <w:p>
      <w:pPr>
        <w:jc w:val="both"/>
        <w:ind w:left="4" w:firstLine="436"/>
        <w:spacing w:after="0" w:line="252" w:lineRule="auto"/>
        <w:tabs>
          <w:tab w:leader="none" w:pos="61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in a timely manner and (ii) if any Nominating Person (1) provides notice pursuant to Rule 14a-19(b) promulgated under the Exchange Act and (2) subsequently fails to comply with the requirements of Rule 14a-19(a)(2) and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Nominating Person provides notice pursuant to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1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67" w:name="page68"/>
    <w:bookmarkEnd w:id="6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Additional Requirements for Valid Nomination of Candidates to Serve as Director and, if Elected, to be Seated as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36"/>
        <w:spacing w:after="0" w:line="253" w:lineRule="auto"/>
        <w:tabs>
          <w:tab w:leader="none" w:pos="63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(in accordance with the time period prescribed for delivery in a notice to such candidate given by or on behalf of the Board), to the Secretary at the principal executive offices of the Corporation, (i) a completed written questionnaire (in the form provided by the Corporation upon written request of any stockholder of record therefor) with respect to the background, qualifications, stock ownership and independence of such proposed nominee and (ii) a written representation and agreement (in the form provided by the Corporation upon written request of any stockholder of record therefor) that such candidate for nomination (A) is not and, if elected as a director during his or her term of office, will not become a party to</w:t>
      </w:r>
    </w:p>
    <w:p>
      <w:pPr>
        <w:spacing w:after="0" w:line="2" w:lineRule="exact"/>
        <w:rPr>
          <w:rFonts w:ascii="Times New Roman" w:cs="Times New Roman" w:eastAsia="Times New Roman" w:hAnsi="Times New Roman"/>
          <w:sz w:val="18"/>
          <w:szCs w:val="18"/>
          <w:color w:val="auto"/>
        </w:rPr>
      </w:pPr>
    </w:p>
    <w:p>
      <w:pPr>
        <w:jc w:val="both"/>
        <w:ind w:left="4" w:right="20" w:hanging="4"/>
        <w:spacing w:after="0" w:line="251" w:lineRule="auto"/>
        <w:tabs>
          <w:tab w:leader="none" w:pos="26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director of the Corporation, intends to serve the entire term until the next meeting at which such candidate would face re-election.</w:t>
      </w:r>
    </w:p>
    <w:p>
      <w:pPr>
        <w:spacing w:after="0" w:line="192" w:lineRule="exact"/>
        <w:rPr>
          <w:rFonts w:ascii="Times New Roman" w:cs="Times New Roman" w:eastAsia="Times New Roman" w:hAnsi="Times New Roman"/>
          <w:sz w:val="18"/>
          <w:szCs w:val="18"/>
          <w:color w:val="auto"/>
        </w:rPr>
      </w:pPr>
    </w:p>
    <w:p>
      <w:pPr>
        <w:jc w:val="both"/>
        <w:ind w:left="4" w:firstLine="436"/>
        <w:spacing w:after="0" w:line="254" w:lineRule="auto"/>
        <w:tabs>
          <w:tab w:leader="none" w:pos="66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including but not limited to reference and background checks. Such other information shall be delivered to, or mailed and received by, the Secretary at the principal executive offices of the Corporation (or any other office specified by the Corporation in any public announcement) not later than five (5) business days after the request by the Board has been delivered to, or mailed and received by, the Nominating Person.</w:t>
      </w:r>
    </w:p>
    <w:p>
      <w:pPr>
        <w:spacing w:after="0" w:line="191" w:lineRule="exact"/>
        <w:rPr>
          <w:rFonts w:ascii="Times New Roman" w:cs="Times New Roman" w:eastAsia="Times New Roman" w:hAnsi="Times New Roman"/>
          <w:sz w:val="18"/>
          <w:szCs w:val="18"/>
          <w:color w:val="auto"/>
        </w:rPr>
      </w:pPr>
    </w:p>
    <w:p>
      <w:pPr>
        <w:jc w:val="both"/>
        <w:ind w:left="4" w:firstLine="436"/>
        <w:spacing w:after="0" w:line="255" w:lineRule="auto"/>
        <w:tabs>
          <w:tab w:leader="none" w:pos="63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68" w:name="page69"/>
    <w:bookmarkEnd w:id="68"/>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87" w:lineRule="exact"/>
        <w:rPr>
          <w:sz w:val="20"/>
          <w:szCs w:val="20"/>
          <w:color w:val="auto"/>
        </w:rPr>
      </w:pPr>
    </w:p>
    <w:p>
      <w:pPr>
        <w:jc w:val="both"/>
        <w:ind w:firstLine="436"/>
        <w:spacing w:after="0" w:line="256" w:lineRule="auto"/>
        <w:tabs>
          <w:tab w:leader="none" w:pos="63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87" w:lineRule="exact"/>
        <w:rPr>
          <w:rFonts w:ascii="Times New Roman" w:cs="Times New Roman" w:eastAsia="Times New Roman" w:hAnsi="Times New Roman"/>
          <w:sz w:val="18"/>
          <w:szCs w:val="18"/>
          <w:color w:val="auto"/>
        </w:rPr>
      </w:pPr>
    </w:p>
    <w:p>
      <w:pPr>
        <w:ind w:right="20" w:firstLine="436"/>
        <w:spacing w:after="0" w:line="282" w:lineRule="auto"/>
        <w:tabs>
          <w:tab w:leader="none" w:pos="6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candidate for nomination shall be eligible to be seated as a director of the Corporation unless nominated and elected in accordance with Section 2.5 and this Section 2.6</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Notice of Stockholders’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as of the record date for determining stockholder entitled to notice of the meeting. The notice shall specify the place, if any, date and time of the meeting, the means of remote communication, if any, by which stockholders and proxy holders may be deemed to be present in person and vote at such meeting, the record date for determining stockholders entitled to vote at the meeting, if such date is different from the record date for determining stockholders entitled to notice of the meeting, and, in the case of a special meeting, the purpose or purposes for which the meeting is called.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Quorum.</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69" w:name="page70"/>
    <w:bookmarkEnd w:id="6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2.9 </w:t>
      </w:r>
      <w:r>
        <w:rPr>
          <w:rFonts w:ascii="Times New Roman" w:cs="Times New Roman" w:eastAsia="Times New Roman" w:hAnsi="Times New Roman"/>
          <w:sz w:val="18"/>
          <w:szCs w:val="18"/>
          <w:u w:val="single" w:color="auto"/>
          <w:color w:val="auto"/>
        </w:rPr>
        <w:t>Adjourned Meeting;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that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52"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w:t>
      </w:r>
    </w:p>
    <w:p>
      <w:pPr>
        <w:spacing w:after="0" w:line="5" w:lineRule="exact"/>
        <w:rPr>
          <w:sz w:val="20"/>
          <w:szCs w:val="20"/>
          <w:color w:val="auto"/>
        </w:rPr>
      </w:pPr>
    </w:p>
    <w:p>
      <w:pPr>
        <w:jc w:val="both"/>
        <w:ind w:left="4" w:hanging="4"/>
        <w:spacing w:after="0" w:line="251" w:lineRule="auto"/>
        <w:tabs>
          <w:tab w:leader="none" w:pos="33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these Bylaws or the DGCL, each stockholder shall be entitled to one (1) vote for each share of capital stock held by such stockholder.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70" w:name="page71"/>
    <w:bookmarkEnd w:id="70"/>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Record Date for Stockholder Meetings and Other Purposes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0"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57"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w:t>
      </w:r>
    </w:p>
    <w:p>
      <w:pPr>
        <w:spacing w:after="0" w:line="1" w:lineRule="exact"/>
        <w:rPr>
          <w:sz w:val="20"/>
          <w:szCs w:val="20"/>
          <w:color w:val="auto"/>
        </w:rPr>
      </w:pPr>
    </w:p>
    <w:p>
      <w:pPr>
        <w:jc w:val="both"/>
        <w:ind w:left="4" w:hanging="4"/>
        <w:spacing w:after="0" w:line="255" w:lineRule="auto"/>
        <w:tabs>
          <w:tab w:leader="none" w:pos="27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71" w:name="page72"/>
    <w:bookmarkEnd w:id="71"/>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stockholder directly or indirectly soliciting proxies from other stockholders must use a proxy card color other than white, which shall be reserved for the exclusive use by the Board.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offices.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117" w:lineRule="exact"/>
        <w:rPr>
          <w:sz w:val="20"/>
          <w:szCs w:val="20"/>
          <w:color w:val="auto"/>
        </w:rPr>
      </w:pPr>
    </w:p>
    <w:p>
      <w:pPr>
        <w:ind w:right="20" w:firstLine="987"/>
        <w:spacing w:after="0" w:line="282" w:lineRule="auto"/>
        <w:tabs>
          <w:tab w:leader="none" w:pos="122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161"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inspector(s); and</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therein. The inspectors of election may appoint such persons to assist them in performing their duties as they determine.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Delivery to the Corporation.</w:t>
      </w:r>
    </w:p>
    <w:p>
      <w:pPr>
        <w:spacing w:after="0" w:line="225"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III—Directors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Election, Qualification and Term of Office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Resignation and Vacancies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resulting from the death, resignation, disqualification or removal of any director, and newly created directorships resulting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73" w:name="page74"/>
    <w:bookmarkEnd w:id="7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any increase in the authorized number of directors shall be filled solely by a majority of the directors then in office, even if less than a quorum, or by a sole remaining director, and shall not be filled by the stockholders unless the Board determines that such newly created directorship or vacancy will be filled by the stockholders.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Place of Meetings; Meetings by Telephone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these Bylaws shall constitute presence in person at the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or by electronic mail or other means of electronic transmission. No further notice shall be required for regular meetings of the Board.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Special Meetings;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chairperson of the Board, the Chief Executive Officer, the President, the Secretary or a majority of the total number of directors constituting the Board.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117" w:lineRule="exact"/>
        <w:rPr>
          <w:sz w:val="20"/>
          <w:szCs w:val="20"/>
          <w:color w:val="auto"/>
        </w:rPr>
      </w:pPr>
    </w:p>
    <w:p>
      <w:pPr>
        <w:ind w:left="1200" w:hanging="213"/>
        <w:spacing w:after="0"/>
        <w:tabs>
          <w:tab w:leader="none" w:pos="12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offices) nor the purpose of the meeting.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74" w:name="page75"/>
    <w:bookmarkEnd w:id="7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Board Action without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Fees and Compensation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IV—Committees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Committees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spacing w:after="0" w:line="3" w:lineRule="exact"/>
        <w:rPr>
          <w:sz w:val="20"/>
          <w:szCs w:val="20"/>
          <w:color w:val="auto"/>
        </w:rPr>
      </w:pPr>
    </w:p>
    <w:p>
      <w:pPr>
        <w:ind w:left="4" w:right="20" w:hanging="4"/>
        <w:spacing w:after="0" w:line="260" w:lineRule="auto"/>
        <w:tabs>
          <w:tab w:leader="none" w:pos="2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Committee Minutes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Meetings and Actions of 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117" w:lineRule="exact"/>
        <w:rPr>
          <w:sz w:val="20"/>
          <w:szCs w:val="20"/>
          <w:color w:val="auto"/>
        </w:rPr>
      </w:pPr>
    </w:p>
    <w:p>
      <w:pPr>
        <w:ind w:left="1200" w:hanging="213"/>
        <w:spacing w:after="0"/>
        <w:tabs>
          <w:tab w:leader="none" w:pos="12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meetings by telephone);</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notice);</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(board action without a meeting); and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7.13 (waiver of notice),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00" w:hanging="213"/>
        <w:spacing w:after="0"/>
        <w:tabs>
          <w:tab w:leader="none" w:pos="12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or the chairperson of the applicable committee; and</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34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V—Officers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(1) or more additional Presidents, one (1) or more Senior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Appointment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The Board shall appoint the officers of the Corporation, except such officers as may be appointed in accordance with the provisions of Section 5.3 of these Bylaws.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Subordinate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in the absence of a Chief Executive Officer, the President(s) or Chief Financial Officer,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Removal and Resignation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6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Vacancies in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or as provided in Section 5.2.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5.8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VI—Records</w:t>
      </w:r>
    </w:p>
    <w:p>
      <w:pPr>
        <w:spacing w:after="0" w:line="229"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40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Article VII—General Matters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Execution of Corporate Contracts and Instruments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8"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78" w:name="page79"/>
    <w:bookmarkEnd w:id="7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Special Designation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Shares Without Certificates</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Construction;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79" w:name="page80"/>
    <w:bookmarkEnd w:id="79"/>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w:t>
      </w:r>
    </w:p>
    <w:p>
      <w:pPr>
        <w:spacing w:after="0" w:line="117" w:lineRule="exact"/>
        <w:rPr>
          <w:sz w:val="20"/>
          <w:szCs w:val="20"/>
          <w:color w:val="auto"/>
        </w:rPr>
      </w:pPr>
    </w:p>
    <w:p>
      <w:pPr>
        <w:ind w:right="20" w:firstLine="987"/>
        <w:spacing w:after="0" w:line="282" w:lineRule="auto"/>
        <w:tabs>
          <w:tab w:leader="none" w:pos="12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5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7.13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VIII—Notice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Delivery of Notice; Notice by Electronic Transmission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131" w:lineRule="exact"/>
        <w:rPr>
          <w:sz w:val="20"/>
          <w:szCs w:val="20"/>
          <w:color w:val="auto"/>
        </w:rPr>
      </w:pPr>
    </w:p>
    <w:p>
      <w:pPr>
        <w:ind w:left="1420" w:hanging="439"/>
        <w:spacing w:after="0"/>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posting and (B) the giving of such separate notice; and</w:t>
      </w:r>
    </w:p>
    <w:p>
      <w:pPr>
        <w:spacing w:after="0" w:line="11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a notice may not be given by an electronic transmission from and after the time that (1) the Corporation is unable to deliver by such electronic transmission two (2) consecutive notices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81" w:name="page82"/>
    <w:bookmarkEnd w:id="81"/>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IX—Indemnification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 “covered person”),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Indemnification of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The Corporation shall have the power to indemnify and hold harmless, to the fullest extent permitted by applicable law as it presently exists or may hereafter be amended, any employee or agent of the Corporation and any other person serving at the request of the Corporation as a director, officer, employee or agent of another corporation or of a partnership, joint venture, trust, enterprise or non-profit entity, including service with respect to employee benefit plans, who is not a covered person but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payment of expenses in advance of the final disposition of the Proceeding shall be made only upon receipt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82" w:name="page83"/>
    <w:bookmarkEnd w:id="8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an undertaking by the person to repay all amounts advanced if it should be ultimately determined that the person is not entitled to be indemnified under this Article IX or otherwise.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Determination;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Continuation of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Amendment or Repeal;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83" w:name="page84"/>
    <w:bookmarkEnd w:id="83"/>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92"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X—Amendments</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retrieved and reviewed by a recipient thereof, and that may be directly reproduced in paper form by such a recipient through an automated process.</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STATE OF DELAWARE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CERTIFICATE OF CONVERSION</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FROM A LIMITED LIABILITY COMPANY</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A CORPORATION</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GRAIL,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Pursuant to Section 265 of the General Corporation Law of the State of</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Delaware and Section 18-216 of the Delaware Limited Liability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4" w:hanging="424"/>
        <w:spacing w:after="0" w:line="282"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where the limited liability company was first formed is Delaware and the date the limited liability company first formed is September 11, 2020.</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immediately prior to filing this Certificate is Delaware.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limited liability company immediately prior to filing this Certificate is GRAIL,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into which GRAIL, LLC shall be converted, as set forth in its Certificate of Incorporation, is GRAIL, Inc.</w:t>
      </w:r>
    </w:p>
    <w:p>
      <w:pPr>
        <w:spacing w:after="0" w:line="130"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has been approved in accordance with Section 265 of the General Corporation Law of the State of Delaware and Section 18-216 of the Delaware Limited Liability Company Act.</w:t>
      </w:r>
    </w:p>
    <w:p>
      <w:pPr>
        <w:spacing w:after="0" w:line="16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being duly authorized to sign on behalf of the converting limited liability company has executed this Certificate on the 21st day of June , A.D. 2024.</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Illumina, Inc., its sole member</w:t>
      </w:r>
    </w:p>
    <w:p>
      <w:pPr>
        <w:spacing w:after="0" w:line="225" w:lineRule="exact"/>
        <w:rPr>
          <w:sz w:val="20"/>
          <w:szCs w:val="20"/>
          <w:color w:val="auto"/>
        </w:rPr>
      </w:pPr>
    </w:p>
    <w:tbl>
      <w:tblPr>
        <w:tblLayout w:type="fixed"/>
        <w:tblInd w:w="6624"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Charles Dadswell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Charles Dadswell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024"/>
          </w:cols>
          <w:pgMar w:left="436" w:top="117" w:right="4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TAX MATTERS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ILLUMINA,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GRAIL,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(to be converted into GRAIL, INC.)</w:t>
      </w:r>
    </w:p>
    <w:p>
      <w:pPr>
        <w:spacing w:after="0" w:line="20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June 21, 2024</w:t>
      </w:r>
    </w:p>
    <w:p>
      <w:pPr>
        <w:sectPr>
          <w:pgSz w:w="11900" w:h="16838" w:orient="portrait"/>
          <w:cols w:equalWidth="0" w:num="1">
            <w:col w:w="10020"/>
          </w:cols>
          <w:pgMar w:left="1440" w:top="117" w:right="439"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 Definition of Terms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66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Section 2. Allocation of Tax Liabilities and Tax-Related Losses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0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 General Rule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 Allocation Principles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 Allocation Conventions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Section 3. Preparation and Filing of Tax Returns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 Illumina Separate Returns and Joint Returns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 GRAIL Separate Returns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 Tax Reporting Consistent with Intended Tax Treatment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 Protective Section 336(e) Elections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 GRAIL Carrybacks and Claims for Refund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 Apportionment of Tax Attributes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Section 4. Tax Payments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 Taxes Shown on Tax Returns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 Adjustments Resulting in Underpayments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 Indemnification Payments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Section 5. Tax Refunds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Section 6. Intended Tax Treatment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 Restrictions on Members of the GRAIL Group</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 Restrictions on Members of the Illumina Group</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 Tax Opinions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 Procedures Regarding Opinions and Post-Distribution Rulings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 Liability for Specified Separation Taxes and Tax-Related Losses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 Planned Acquisitions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Section 7. Assistance and Cooperation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 Assistance and Cooperation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Section 8. Tax Records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 Retention of Tax Records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 Access to Tax Records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 Preservation of Privilege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88" w:name="page89"/>
    <w:bookmarkEnd w:id="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Section 9. Tax Contests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 Notice</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 Control of Tax Contests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Section 10. Survival of Obligations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Section 11. Tax Treatment of Payments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 General Rule</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 Interest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Section 12. Indemnification Payments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Section 13. General Provisions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 Complete Agreement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13.02. Counterparts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13.03. Notices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13.04. Waivers of Default</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13.05. Amendments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13.06. Assignability</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13.07. Subsidiaries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13.08. Headings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13.09. Governing Law</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13.10. Waiver of Jury Trial</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13.11. Specific Performance</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13.12. Severability</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13.13. Payment Terms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13.14. No Admission of Liability</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0960"/>
          </w:cols>
          <w:pgMar w:left="440" w:top="270" w:right="49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MATTERS AGREEMENT</w:t>
      </w:r>
    </w:p>
    <w:p>
      <w:pPr>
        <w:spacing w:after="0" w:line="225" w:lineRule="exact"/>
        <w:rPr>
          <w:sz w:val="20"/>
          <w:szCs w:val="20"/>
          <w:color w:val="auto"/>
        </w:rPr>
      </w:pPr>
    </w:p>
    <w:p>
      <w:pPr>
        <w:jc w:val="both"/>
        <w:ind w:right="140" w:firstLine="991"/>
        <w:spacing w:after="0" w:line="259" w:lineRule="auto"/>
        <w:rPr>
          <w:sz w:val="20"/>
          <w:szCs w:val="20"/>
          <w:color w:val="auto"/>
        </w:rPr>
      </w:pPr>
      <w:r>
        <w:rPr>
          <w:rFonts w:ascii="Times New Roman" w:cs="Times New Roman" w:eastAsia="Times New Roman" w:hAnsi="Times New Roman"/>
          <w:sz w:val="18"/>
          <w:szCs w:val="18"/>
          <w:color w:val="auto"/>
        </w:rPr>
        <w:t>This Tax Matters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effective as of June 21, 2024, by and between Illumina, Inc., a Delaware corporation (“</w:t>
      </w:r>
      <w:r>
        <w:rPr>
          <w:rFonts w:ascii="Times New Roman" w:cs="Times New Roman" w:eastAsia="Times New Roman" w:hAnsi="Times New Roman"/>
          <w:sz w:val="18"/>
          <w:szCs w:val="18"/>
          <w:b w:val="1"/>
          <w:bCs w:val="1"/>
          <w:i w:val="1"/>
          <w:iCs w:val="1"/>
          <w:color w:val="auto"/>
        </w:rPr>
        <w:t>Illumina</w:t>
      </w:r>
      <w:r>
        <w:rPr>
          <w:rFonts w:ascii="Times New Roman" w:cs="Times New Roman" w:eastAsia="Times New Roman" w:hAnsi="Times New Roman"/>
          <w:sz w:val="18"/>
          <w:szCs w:val="18"/>
          <w:color w:val="auto"/>
        </w:rPr>
        <w:t>”), and GRAIL, LLC, a wholly owned subsidiary of Illumina and a Delaware limited liability company (“</w:t>
      </w:r>
      <w:r>
        <w:rPr>
          <w:rFonts w:ascii="Times New Roman" w:cs="Times New Roman" w:eastAsia="Times New Roman" w:hAnsi="Times New Roman"/>
          <w:sz w:val="18"/>
          <w:szCs w:val="18"/>
          <w:b w:val="1"/>
          <w:bCs w:val="1"/>
          <w:i w:val="1"/>
          <w:iCs w:val="1"/>
          <w:color w:val="auto"/>
        </w:rPr>
        <w:t>GRAIL LLC</w:t>
      </w:r>
      <w:r>
        <w:rPr>
          <w:rFonts w:ascii="Times New Roman" w:cs="Times New Roman" w:eastAsia="Times New Roman" w:hAnsi="Times New Roman"/>
          <w:sz w:val="18"/>
          <w:szCs w:val="18"/>
          <w:color w:val="auto"/>
        </w:rPr>
        <w:t>”), to be converted to a corporation and renamed GRAIL, Inc. prior to the Distribution (“</w:t>
      </w:r>
      <w:r>
        <w:rPr>
          <w:rFonts w:ascii="Times New Roman" w:cs="Times New Roman" w:eastAsia="Times New Roman" w:hAnsi="Times New Roman"/>
          <w:sz w:val="18"/>
          <w:szCs w:val="18"/>
          <w:b w:val="1"/>
          <w:bCs w:val="1"/>
          <w:i w:val="1"/>
          <w:iCs w:val="1"/>
          <w:color w:val="auto"/>
        </w:rPr>
        <w:t>GRAIL</w:t>
      </w:r>
      <w:r>
        <w:rPr>
          <w:rFonts w:ascii="Times New Roman" w:cs="Times New Roman" w:eastAsia="Times New Roman" w:hAnsi="Times New Roman"/>
          <w:sz w:val="18"/>
          <w:szCs w:val="18"/>
          <w:color w:val="auto"/>
        </w:rPr>
        <w:t>”). Illumina and GRAIL are each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are sometimes referred to herein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xml:space="preserve">.” Capitalized terms used herein and not otherwise defined shall have the respective meanings assigned to them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Illumina, acting together with its Subsidiaries, currently conducts the Illumina Business and GRAIL, acting together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currently conducts the GRAIL Business;</w:t>
      </w:r>
    </w:p>
    <w:p>
      <w:pPr>
        <w:spacing w:after="0" w:line="15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Illumina and GRAIL have entered into a Separation and Distribution Agreement, dated as of June 21, 2024 (the “</w:t>
      </w:r>
      <w:r>
        <w:rPr>
          <w:rFonts w:ascii="Times New Roman" w:cs="Times New Roman" w:eastAsia="Times New Roman" w:hAnsi="Times New Roman"/>
          <w:sz w:val="18"/>
          <w:szCs w:val="18"/>
          <w:b w:val="1"/>
          <w:bCs w:val="1"/>
          <w:i w:val="1"/>
          <w:iCs w:val="1"/>
          <w:color w:val="auto"/>
        </w:rPr>
        <w:t>Separation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pursuant to which the Separation will be consummated;</w:t>
      </w:r>
    </w:p>
    <w:p>
      <w:pPr>
        <w:spacing w:after="0" w:line="155"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Illumina intends to contribute the Disposal Funding to GRAIL pursuant to Section 3.1 of the Separation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GRAIL intends to convert from a Delaware limited liability company into a Delaware corporation in accordance with the Delaware Limited Liability Company Act (such contribution and conversion, the “</w:t>
      </w:r>
      <w:r>
        <w:rPr>
          <w:rFonts w:ascii="Times New Roman" w:cs="Times New Roman" w:eastAsia="Times New Roman" w:hAnsi="Times New Roman"/>
          <w:sz w:val="18"/>
          <w:szCs w:val="18"/>
          <w:b w:val="1"/>
          <w:bCs w:val="1"/>
          <w:i w:val="1"/>
          <w:iCs w:val="1"/>
          <w:color w:val="auto"/>
        </w:rPr>
        <w:t>Contribution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Separation Agreement, Illumina intends to effect the Distribution and retain the Retained Stock;</w:t>
      </w:r>
    </w:p>
    <w:p>
      <w:pPr>
        <w:spacing w:after="0" w:line="22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intend that the Distribution, together with the Contribution and certain related transactions, each qualify for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Tax Treatment;</w:t>
      </w:r>
    </w:p>
    <w:p>
      <w:pPr>
        <w:spacing w:after="0" w:line="155" w:lineRule="exact"/>
        <w:rPr>
          <w:sz w:val="20"/>
          <w:szCs w:val="20"/>
          <w:color w:val="auto"/>
        </w:rPr>
      </w:pPr>
    </w:p>
    <w:p>
      <w:pPr>
        <w:ind w:right="2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Illumina and GRAIL desire to set forth their agreement on the rights and obligations of Illumina and GRAIL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Illumina Group and the GRAIL Group, respectively, with respect to (A) the administration and allocation of federal, state, local, and foreign Taxes incurred in Tax Periods beginning prior to the Distribution Date, (B) Taxes resulting from the Distribution and transactions effected in connection therewith and (C) various other Tax matters.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and the mutual agreements, provisions and covenants contained in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Parties hereby agree as follows:</w:t>
      </w:r>
    </w:p>
    <w:p>
      <w:pPr>
        <w:spacing w:after="0" w:line="95" w:lineRule="exact"/>
        <w:rPr>
          <w:sz w:val="20"/>
          <w:szCs w:val="20"/>
          <w:color w:val="auto"/>
        </w:rPr>
      </w:pPr>
    </w:p>
    <w:p>
      <w:pPr>
        <w:ind w:right="28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Section 1. Definition of Terms</w:t>
      </w:r>
      <w:r>
        <w:rPr>
          <w:rFonts w:ascii="Times New Roman" w:cs="Times New Roman" w:eastAsia="Times New Roman" w:hAnsi="Times New Roman"/>
          <w:sz w:val="17"/>
          <w:szCs w:val="17"/>
          <w:color w:val="auto"/>
        </w:rPr>
        <w:t>. For purposes of this Agreement (including the recitals hereof), the following terms have the following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meanings. Capitalized terms used but not defined in this Agreement shall have the meanings ascribed to them in the Separation Agreement.</w:t>
      </w:r>
    </w:p>
    <w:p>
      <w:pPr>
        <w:sectPr>
          <w:pgSz w:w="11900" w:h="16838" w:orient="portrait"/>
          <w:cols w:equalWidth="0" w:num="1">
            <w:col w:w="10980"/>
          </w:cols>
          <w:pgMar w:left="440" w:top="266" w:right="47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Adjusted Grossed-Up Basis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Request</w:t>
      </w:r>
      <w:r>
        <w:rPr>
          <w:rFonts w:ascii="Times New Roman" w:cs="Times New Roman" w:eastAsia="Times New Roman" w:hAnsi="Times New Roman"/>
          <w:sz w:val="18"/>
          <w:szCs w:val="18"/>
          <w:color w:val="auto"/>
        </w:rPr>
        <w:t>” means any formal or informal claim or request filed with any Tax Authority, or with any administrative agency or court, for the adjustment, refund, or credit of Taxes, including (i) any amended Tax Return claiming adjustment to the Taxes as reported on the Tax Return or, if applicable, as previously adjusted, (ii) any claim for equitable recoupment or other offset, and (iii) any claim for refund or credit of Taxes previously paid.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Deemed Asset Disposition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recitals to this Tax Matters Agreement.</w:t>
      </w:r>
    </w:p>
    <w:p>
      <w:pPr>
        <w:spacing w:after="0" w:line="225" w:lineRule="exact"/>
        <w:rPr>
          <w:sz w:val="20"/>
          <w:szCs w:val="20"/>
          <w:color w:val="auto"/>
        </w:rPr>
      </w:pPr>
    </w:p>
    <w:p>
      <w:pPr>
        <w:jc w:val="both"/>
        <w:ind w:right="32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 Stock</w:t>
      </w:r>
      <w:r>
        <w:rPr>
          <w:rFonts w:ascii="Times New Roman" w:cs="Times New Roman" w:eastAsia="Times New Roman" w:hAnsi="Times New Roman"/>
          <w:sz w:val="17"/>
          <w:szCs w:val="17"/>
          <w:color w:val="auto"/>
        </w:rPr>
        <w:t>” means all classes or series of capital stock of a corporation, including (i) common stock, (ii) all options, warrants and other rights to acquire such capital stock and (iii) all instruments properly treated as stock in such corporation for U.S. federal Income Tax purposes.</w:t>
      </w:r>
    </w:p>
    <w:p>
      <w:pPr>
        <w:spacing w:after="0" w:line="13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of the Books Method</w:t>
      </w:r>
      <w:r>
        <w:rPr>
          <w:rFonts w:ascii="Times New Roman" w:cs="Times New Roman" w:eastAsia="Times New Roman" w:hAnsi="Times New Roman"/>
          <w:sz w:val="18"/>
          <w:szCs w:val="18"/>
          <w:color w:val="auto"/>
        </w:rPr>
        <w:t xml:space="preserve">” means the apportionment of items between portions of a Tax Period based on a closing of the books and records on the close of the Distribution Date (in the event that the Distribution Date is not the last day of the Tax Period, as if the Distribution Date were the last day of the Tax Period), subject to adjustment for items accrued on the Distribution Date that are properly allocable to the Tax Period following the Distribution Date, as jointly determined by Illumina and GRAIL;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with respect to Property Taxes, such apportionment shall be on the basis of elapsed days during the relevant portion of the Tax Period;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any items required to be included in the gross income of a U.S. shareholder (as defined in Section 951(b) of the Code) under Sections 951 or 951A of the Code (or any similar provision of state, local or foreign Tax Law) for a Straddle Period shall be apportioned between the Pre-Distribution Period and Post-Distribution Period as if the taxable year of each member of the Illumina Group and GRAIL Group that is a controlled foreign corporation within the meaning of Section 957 of the Code ended on the Distribution Date.</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Contribution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Matters Agreement</w:t>
      </w:r>
      <w:r>
        <w:rPr>
          <w:rFonts w:ascii="Times New Roman" w:cs="Times New Roman" w:eastAsia="Times New Roman" w:hAnsi="Times New Roman"/>
          <w:sz w:val="18"/>
          <w:szCs w:val="18"/>
          <w:color w:val="auto"/>
        </w:rPr>
        <w:t>” means that Employee Matters Agreement, by and between Illumina and GRAIL, dated as of June 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91" w:name="page92"/>
    <w:bookmarkEnd w:id="91"/>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Final Determination</w:t>
      </w:r>
      <w:r>
        <w:rPr>
          <w:rFonts w:ascii="Times New Roman" w:cs="Times New Roman" w:eastAsia="Times New Roman" w:hAnsi="Times New Roman"/>
          <w:sz w:val="18"/>
          <w:szCs w:val="18"/>
          <w:color w:val="auto"/>
        </w:rPr>
        <w:t>” means the final resolution of liability for any Tax for any taxable period by or as a result of (i) a final and unappealable decision, judgment, decree or other order by any court of competent jurisdiction; (ii) a final settlement, compromise or other agreement with the relevant Tax Authority, an agreement that constitutes a determination under Section 1313(a)(4) of the Code, an agreement contained in an IRS Form 870-AD, a closing agreement or accepted offer in compromise under Section 7121 or 7122 of the Code or a comparable agreement under state, local or non-U.S. Law; (iii) the expiration of the applicable statute of limitations; or (iv) the payment of the Tax by a Party (or its Affiliate) that is responsible for payment of that Tax under applicable Law, including with respect to any item disallowed or adjusted by a Tax Authority, as long as both Parties agree that no action should be taken to recoup that payment.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GRAIL</w:t>
      </w:r>
      <w:r>
        <w:rPr>
          <w:rFonts w:ascii="Times New Roman" w:cs="Times New Roman" w:eastAsia="Times New Roman" w:hAnsi="Times New Roman"/>
          <w:sz w:val="18"/>
          <w:szCs w:val="18"/>
          <w:color w:val="auto"/>
        </w:rPr>
        <w:t>” has the meaning provided in the preamble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GRAIL ATB</w:t>
      </w:r>
      <w:r>
        <w:rPr>
          <w:rFonts w:ascii="Times New Roman" w:cs="Times New Roman" w:eastAsia="Times New Roman" w:hAnsi="Times New Roman"/>
          <w:sz w:val="18"/>
          <w:szCs w:val="18"/>
          <w:color w:val="auto"/>
        </w:rPr>
        <w:t>” has the meaning set forth in Appendix B.</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GRAIL Disqualifying Act</w:t>
      </w:r>
      <w:r>
        <w:rPr>
          <w:rFonts w:ascii="Times New Roman" w:cs="Times New Roman" w:eastAsia="Times New Roman" w:hAnsi="Times New Roman"/>
          <w:sz w:val="18"/>
          <w:szCs w:val="18"/>
          <w:color w:val="auto"/>
        </w:rPr>
        <w:t xml:space="preserve">” means, with respect to any Specified Separation Taxes, (a) any act, or failure or omission to act, including, without limitation, the breach of any covenant or representation contained herein, by any member of the GRAIL Group following the Distribution that results in any Party (or any of its Affiliates) being liable for such Specified Separation Taxes pursuant to a Final Determination, regardless of whether such act or failure to act is covered by a Post-Distribution Ruling or Unqualified Tax Opinion, (b) any event (or series of events) involving Capital Stock of GRAIL or any assets of any member of the GRAIL Group other than the retention or disposition of any Retained Stock by Illumina or any other member of the Illumina Group, or (c) any failure to be true, inaccuracy in, or breach of any of the representations or statements contained in the Tax Materials to the extent descriptive of or otherwise relating to GRAIL or any member of the GRAIL Group or the GRAIL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action required by this Agreement, the Separation Agreement or any Ancillary Agreement shall be considered a GRAIL Disqualifying Act.</w:t>
      </w:r>
    </w:p>
    <w:p>
      <w:pPr>
        <w:spacing w:after="0" w:line="185"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GRAIL Equity Award</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means options, share appreciation rights, restricted shares, share units or other compensatory rights with respect to GRAIL Stock.</w:t>
      </w:r>
    </w:p>
    <w:p>
      <w:pPr>
        <w:spacing w:after="0" w:line="155"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GRAIL SAG</w:t>
      </w:r>
      <w:r>
        <w:rPr>
          <w:rFonts w:ascii="Times New Roman" w:cs="Times New Roman" w:eastAsia="Times New Roman" w:hAnsi="Times New Roman"/>
          <w:sz w:val="18"/>
          <w:szCs w:val="18"/>
          <w:color w:val="auto"/>
        </w:rPr>
        <w:t>” means the separate affiliated group of GRAIL, within the meaning of Section 355(b)(3)(B) of the Code and the Treasury Regulations promulgated thereunder.</w:t>
      </w:r>
    </w:p>
    <w:p>
      <w:pPr>
        <w:spacing w:after="0" w:line="155" w:lineRule="exact"/>
        <w:rPr>
          <w:sz w:val="20"/>
          <w:szCs w:val="20"/>
          <w:color w:val="auto"/>
        </w:rPr>
      </w:pPr>
    </w:p>
    <w:p>
      <w:pPr>
        <w:ind w:right="6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GRAIL Separate Return</w:t>
      </w:r>
      <w:r>
        <w:rPr>
          <w:rFonts w:ascii="Times New Roman" w:cs="Times New Roman" w:eastAsia="Times New Roman" w:hAnsi="Times New Roman"/>
          <w:sz w:val="18"/>
          <w:szCs w:val="18"/>
          <w:color w:val="auto"/>
        </w:rPr>
        <w:t>” means any Tax Return of or including any member of the GRAIL Group (including any consolidated, combined or unitary return) that does not include any member of the Illumina Group.</w:t>
      </w:r>
    </w:p>
    <w:p>
      <w:pPr>
        <w:spacing w:after="0" w:line="15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Illumina Disqualifying Act</w:t>
      </w:r>
      <w:r>
        <w:rPr>
          <w:rFonts w:ascii="Times New Roman" w:cs="Times New Roman" w:eastAsia="Times New Roman" w:hAnsi="Times New Roman"/>
          <w:sz w:val="18"/>
          <w:szCs w:val="18"/>
          <w:color w:val="auto"/>
        </w:rPr>
        <w:t xml:space="preserve">” means, with respect to any Specified Separation Taxes, (a) any act, or failure or omission to act, including, without limitation, the breach of any covenant or representation contained herein or in the Tax Materials, by any member of the Illumina Group following the Distribution that results in any Party (or any of its Affiliates) being liable for such Specified Separation Taxes pursuant to a Final Determination, (b) any event (or series of events) involving Capital Stock of Illumina or any assets of any member of the Illumina Group, (c) any failure to be true, inaccuracy in, or breach of any of the representations or statements contained in the Tax Materials to the extent descriptive of or otherwise relating to Illumina or any member of the Illumina Group or the Illumina Business or (d) the retention or disposition of any Retained Stock by Illumina or any other member of the Illumina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action required by this Agreement, the Separation Agreement or any Ancillary Agreement shall be considered an Illumina Disqualifying Act.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92" w:name="page93"/>
    <w:bookmarkEnd w:id="92"/>
    <w:p>
      <w:pPr>
        <w:ind w:right="60" w:firstLine="99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Illumina Investor Selloff</w:t>
      </w:r>
      <w:r>
        <w:rPr>
          <w:rFonts w:ascii="Times New Roman" w:cs="Times New Roman" w:eastAsia="Times New Roman" w:hAnsi="Times New Roman"/>
          <w:sz w:val="18"/>
          <w:szCs w:val="18"/>
          <w:color w:val="auto"/>
        </w:rPr>
        <w:t>” means 13.1%. The Illumina Investor Selloff is intended to represent dispositions of Illumina Capital Stock in the two-year period ending on the Distribution Date by any ten-percent (10%) shareholder of Illumina Capital Stock (within the meaning of Treasury Regulation § 1.355-7(h)(14)). For the avoidance of doubt, the Illumina Investor Selloff will equal 13.1% regardless of the actual amount of Illumina Capital Stock disposed of by any such ten-precent shareholder of Illumina Capital Stock in such two-year period.</w:t>
      </w:r>
    </w:p>
    <w:p>
      <w:pPr>
        <w:spacing w:after="0" w:line="176"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Illumina Separate Return</w:t>
      </w:r>
      <w:r>
        <w:rPr>
          <w:rFonts w:ascii="Times New Roman" w:cs="Times New Roman" w:eastAsia="Times New Roman" w:hAnsi="Times New Roman"/>
          <w:sz w:val="18"/>
          <w:szCs w:val="18"/>
          <w:color w:val="auto"/>
        </w:rPr>
        <w:t>” means any Tax Return of or including any member of the Illumina Group (including any consolidated, combined or unitary return) that does not include any member of the GRAIL Group.</w:t>
      </w:r>
    </w:p>
    <w:p>
      <w:pPr>
        <w:spacing w:after="0" w:line="155" w:lineRule="exact"/>
        <w:rPr>
          <w:sz w:val="20"/>
          <w:szCs w:val="20"/>
          <w:color w:val="auto"/>
        </w:rPr>
      </w:pPr>
    </w:p>
    <w:p>
      <w:pPr>
        <w:ind w:right="3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Illumina Tax Opinion</w:t>
      </w:r>
      <w:r>
        <w:rPr>
          <w:rFonts w:ascii="Times New Roman" w:cs="Times New Roman" w:eastAsia="Times New Roman" w:hAnsi="Times New Roman"/>
          <w:sz w:val="18"/>
          <w:szCs w:val="18"/>
          <w:color w:val="auto"/>
        </w:rPr>
        <w:t>” means any opinions or memoranda, as applicable, of Cravath, Swaine &amp; Moore LLP, in form and substance satisfactory to Illumina in its sole discretion, deliverable to Illumina in connection with the Distribution with respect to the qualification of the Separation, Distribution and certain related transactions for their Intended Tax Treatment.</w:t>
      </w:r>
    </w:p>
    <w:p>
      <w:pPr>
        <w:spacing w:after="0" w:line="171"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Income Tax</w:t>
      </w:r>
      <w:r>
        <w:rPr>
          <w:rFonts w:ascii="Times New Roman" w:cs="Times New Roman" w:eastAsia="Times New Roman" w:hAnsi="Times New Roman"/>
          <w:sz w:val="18"/>
          <w:szCs w:val="18"/>
          <w:color w:val="auto"/>
        </w:rPr>
        <w:t>” means all U.S. federal, state, local and foreign income, franchise or similar Taxes imposed on (or measured by) net income or net profits, and any interest, penalties, additions to Tax or additional amounts in respect of the foregoing.</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Intended Tax Treatment</w:t>
      </w:r>
      <w:r>
        <w:rPr>
          <w:rFonts w:ascii="Times New Roman" w:cs="Times New Roman" w:eastAsia="Times New Roman" w:hAnsi="Times New Roman"/>
          <w:sz w:val="18"/>
          <w:szCs w:val="18"/>
          <w:color w:val="auto"/>
        </w:rPr>
        <w:t>” has the meaning set forth in Appendix 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Rate</w:t>
      </w:r>
      <w:r>
        <w:rPr>
          <w:rFonts w:ascii="Times New Roman" w:cs="Times New Roman" w:eastAsia="Times New Roman" w:hAnsi="Times New Roman"/>
          <w:sz w:val="18"/>
          <w:szCs w:val="18"/>
          <w:color w:val="auto"/>
        </w:rPr>
        <w:t>” means, with respect to a date, the rate per annum in effect for such date for underpayments under Section 6621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U.S. Internal Revenue Service or any successor agency.</w:t>
      </w:r>
    </w:p>
    <w:p>
      <w:pPr>
        <w:spacing w:after="0" w:line="22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Joint Return</w:t>
      </w:r>
      <w:r>
        <w:rPr>
          <w:rFonts w:ascii="Times New Roman" w:cs="Times New Roman" w:eastAsia="Times New Roman" w:hAnsi="Times New Roman"/>
          <w:sz w:val="18"/>
          <w:szCs w:val="18"/>
          <w:color w:val="auto"/>
        </w:rPr>
        <w:t>” means any Tax Return that includes, by election or otherwise, one or more members of the Illumina Group together with one or more members of the GRAIL Group.</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Non-Controlling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Notified Action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Separation Taxes</w:t>
      </w:r>
      <w:r>
        <w:rPr>
          <w:rFonts w:ascii="Times New Roman" w:cs="Times New Roman" w:eastAsia="Times New Roman" w:hAnsi="Times New Roman"/>
          <w:sz w:val="18"/>
          <w:szCs w:val="18"/>
          <w:color w:val="auto"/>
        </w:rPr>
        <w:t>” means any Taxes imposed on any member of the Illumina Group or the GRAIL Group in connection with the transactions comprising the Separation, other than Specified Separation Taxes.</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66" w:right="539" w:bottom="1440" w:gutter="0" w:footer="0" w:header="0"/>
        </w:sectPr>
      </w:pPr>
    </w:p>
    <w:bookmarkStart w:id="93" w:name="page94"/>
    <w:bookmarkEnd w:id="9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Ordinary Taxes</w:t>
      </w:r>
      <w:r>
        <w:rPr>
          <w:rFonts w:ascii="Times New Roman" w:cs="Times New Roman" w:eastAsia="Times New Roman" w:hAnsi="Times New Roman"/>
          <w:sz w:val="18"/>
          <w:szCs w:val="18"/>
          <w:color w:val="auto"/>
        </w:rPr>
        <w:t>” means Taxes other than (i) Specified Separation Taxes and (ii) Other Separation Taxes.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have the meaning set forth in the preamble to this Agreement.</w:t>
      </w:r>
    </w:p>
    <w:p>
      <w:pPr>
        <w:spacing w:after="0" w:line="225"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Date</w:t>
      </w:r>
      <w:r>
        <w:rPr>
          <w:rFonts w:ascii="Times New Roman" w:cs="Times New Roman" w:eastAsia="Times New Roman" w:hAnsi="Times New Roman"/>
          <w:sz w:val="18"/>
          <w:szCs w:val="18"/>
          <w:color w:val="auto"/>
        </w:rPr>
        <w:t>” means, with respect to a Tax Return, (A) the due date for any required installment of estimated Taxes, (B) the due date (determined without regard to extensions) for filing such Tax Return, or (C) the date such Tax Return is filed, as the case may be.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Planned Acquisitions</w:t>
      </w:r>
      <w:r>
        <w:rPr>
          <w:rFonts w:ascii="Times New Roman" w:cs="Times New Roman" w:eastAsia="Times New Roman" w:hAnsi="Times New Roman"/>
          <w:sz w:val="18"/>
          <w:szCs w:val="18"/>
          <w:color w:val="auto"/>
        </w:rPr>
        <w:t>” means (A) the retention or disposition of the Retained Stock and (B) the Illumina Investor Selloff.</w:t>
      </w:r>
    </w:p>
    <w:p>
      <w:pPr>
        <w:spacing w:after="0" w:line="22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Post-Distribution Period</w:t>
      </w:r>
      <w:r>
        <w:rPr>
          <w:rFonts w:ascii="Times New Roman" w:cs="Times New Roman" w:eastAsia="Times New Roman" w:hAnsi="Times New Roman"/>
          <w:sz w:val="18"/>
          <w:szCs w:val="18"/>
          <w:color w:val="auto"/>
        </w:rPr>
        <w:t>” means any Tax Period beginning after the Distribution Date and, in the case of any Straddle Period, the portion of such Tax Period beginning on the day after the Distribution Date.</w:t>
      </w:r>
    </w:p>
    <w:p>
      <w:pPr>
        <w:spacing w:after="0" w:line="15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Post-Distribution Ruling</w:t>
      </w:r>
      <w:r>
        <w:rPr>
          <w:rFonts w:ascii="Times New Roman" w:cs="Times New Roman" w:eastAsia="Times New Roman" w:hAnsi="Times New Roman"/>
          <w:sz w:val="18"/>
          <w:szCs w:val="18"/>
          <w:color w:val="auto"/>
        </w:rPr>
        <w:t>” means a ruling from the IRS in form and substance satisfactory to Illumina in its reasonable discretion to the effect that a transaction will not adversely affect any Intended Tax Treatment.</w:t>
      </w:r>
    </w:p>
    <w:p>
      <w:pPr>
        <w:spacing w:after="0" w:line="155" w:lineRule="exact"/>
        <w:rPr>
          <w:sz w:val="20"/>
          <w:szCs w:val="20"/>
          <w:color w:val="auto"/>
        </w:rPr>
      </w:pPr>
    </w:p>
    <w:p>
      <w:pPr>
        <w:ind w:right="3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Pre-Distribution Period</w:t>
      </w:r>
      <w:r>
        <w:rPr>
          <w:rFonts w:ascii="Times New Roman" w:cs="Times New Roman" w:eastAsia="Times New Roman" w:hAnsi="Times New Roman"/>
          <w:sz w:val="18"/>
          <w:szCs w:val="18"/>
          <w:color w:val="auto"/>
        </w:rPr>
        <w:t>” means any Tax Period ending on or before the Distribution Date and, in the case of any Straddle Period, the portion of such Straddle Period ending on and including the Distribution Date.</w:t>
      </w:r>
    </w:p>
    <w:p>
      <w:pPr>
        <w:spacing w:after="0" w:line="155" w:lineRule="exact"/>
        <w:rPr>
          <w:sz w:val="20"/>
          <w:szCs w:val="20"/>
          <w:color w:val="auto"/>
        </w:rPr>
      </w:pPr>
    </w:p>
    <w:p>
      <w:pPr>
        <w:ind w:right="4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Pre-Distribution Ruling</w:t>
      </w:r>
      <w:r>
        <w:rPr>
          <w:rFonts w:ascii="Times New Roman" w:cs="Times New Roman" w:eastAsia="Times New Roman" w:hAnsi="Times New Roman"/>
          <w:sz w:val="18"/>
          <w:szCs w:val="18"/>
          <w:color w:val="auto"/>
        </w:rPr>
        <w:t>” means any U.S. federal income Tax ruling and any supplements thereto, issued before the Distribution to Illumina by the IRS in connection with the Distribution and any related transactions.</w:t>
      </w:r>
    </w:p>
    <w:p>
      <w:pPr>
        <w:spacing w:after="0" w:line="155" w:lineRule="exact"/>
        <w:rPr>
          <w:sz w:val="20"/>
          <w:szCs w:val="20"/>
          <w:color w:val="auto"/>
        </w:rPr>
      </w:pPr>
    </w:p>
    <w:p>
      <w:pPr>
        <w:ind w:right="4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Pre-Distribution Ruling Request</w:t>
      </w:r>
      <w:r>
        <w:rPr>
          <w:rFonts w:ascii="Times New Roman" w:cs="Times New Roman" w:eastAsia="Times New Roman" w:hAnsi="Times New Roman"/>
          <w:sz w:val="18"/>
          <w:szCs w:val="18"/>
          <w:color w:val="auto"/>
        </w:rPr>
        <w:t>” means any information provided by Illumina or its Tax Advisors to the IRS in connection with a Pre-Distribution Ruling.</w:t>
      </w:r>
    </w:p>
    <w:p>
      <w:pPr>
        <w:spacing w:after="0" w:line="155"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Group</w:t>
      </w:r>
      <w:r>
        <w:rPr>
          <w:rFonts w:ascii="Times New Roman" w:cs="Times New Roman" w:eastAsia="Times New Roman" w:hAnsi="Times New Roman"/>
          <w:sz w:val="18"/>
          <w:szCs w:val="18"/>
          <w:color w:val="auto"/>
        </w:rPr>
        <w:t>” means any group that filed or was required to file (or will file or be required to file) a Tax Return, for a Tax Period or portion thereof ending at or prior to the close of the Distribution Date, on an affiliated, consolidated, combined, unitary, fiscal unity or other group basis (including as permitted by Section 1501 of the Code) that includes at least one member of the Illumina Group and at least one member of the GRAIL Group.</w:t>
      </w:r>
    </w:p>
    <w:p>
      <w:pPr>
        <w:spacing w:after="0" w:line="176" w:lineRule="exact"/>
        <w:rPr>
          <w:sz w:val="20"/>
          <w:szCs w:val="20"/>
          <w:color w:val="auto"/>
        </w:rPr>
      </w:pPr>
    </w:p>
    <w:p>
      <w:pPr>
        <w:ind w:right="4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Privilege</w:t>
      </w:r>
      <w:r>
        <w:rPr>
          <w:rFonts w:ascii="Times New Roman" w:cs="Times New Roman" w:eastAsia="Times New Roman" w:hAnsi="Times New Roman"/>
          <w:sz w:val="18"/>
          <w:szCs w:val="18"/>
          <w:color w:val="auto"/>
        </w:rPr>
        <w:t>” means any privilege that may be asserted under applicable law, including, any privilege arising under or relating to the attorney-client relationship (including the attorney-client and work product privileges), the accountant-client privilege and any privilege relating to internal evaluation processes.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94" w:name="page95"/>
    <w:bookmarkEnd w:id="94"/>
    <w:p>
      <w:pPr>
        <w:ind w:right="6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Proposed Acquisition Transaction</w:t>
      </w:r>
      <w:r>
        <w:rPr>
          <w:rFonts w:ascii="Times New Roman" w:cs="Times New Roman" w:eastAsia="Times New Roman" w:hAnsi="Times New Roman"/>
          <w:sz w:val="17"/>
          <w:szCs w:val="17"/>
          <w:color w:val="auto"/>
        </w:rPr>
        <w:t>” means a transaction or series of transactions (or any agreement, understanding or arrangement, within the meaning of Section 355(e) of the Code and Treasury Regulations § 1.355-7, or any other regulations promulgated thereunder, to enter into a transaction or series of transactions), whether such transaction is supported by GRAIL management or shareholders, is a hostile acquisition, or otherwise, as a result of which any Person or any group of related Persons would (directly or indirectly) acquire, or have the right to acquire, any shares of Capital Stock in GRAIL that would, when combined with the Planned Acquisitions and any other post-Distribution direct or indirect acquisitions or changes in ownership of the Capital Stock in GRAIL for purposes of Section 355(e) of the Code and the Treasury Regulations promulgated thereunder, aggregate to forty-five percent 45% or more of the total combined value or voting power of all outstanding shares of Capital Stock of GRAIL as of the date of such transaction, or in the case of a series of transactions, the date of the last transaction in such series. Notwithstanding the foregoing, a Proposed Acquisition Transaction shall not include (i) the adoption by GRAIL of a shareholder rights plan, (ii) issuances by GRAIL that satisfy Safe Harbor VIII (relating to acquisitions in connection with a person’s performance of services) or Safe Harbor IX (relating to acquisitions by a retirement plan of an employer) of Treasury Regulations § 1.355-7(d), including such issuances net of exercise price and/or tax withholding (provided, however, that any sale of such stock in connection with a net exercise or tax withholding is not exempt under this clause (ii) unless it satisfies the requirements of Safe Harbor VII of Treasury Regulations § 1.355-7(d)) or (iii) acquisitions that satisfy Safe Harbor VII of Treasury Regulations § 1.355-7(d). For purposes of determining whether a transaction constitutes an indirect acquisition, any recapitalization resulting in a shift of voting power or any redemption of shares of stock shall be treated as an indirect acquisition of shares of stock by the non-exchanging shareholders. For purposes of this definition, each reference to GRAIL shall include a reference to any entity treated as a successor thereto. This definition and the application thereof is intended to monitor compliance with Section 355(e) of the Code and shall be interpreted accordingly. Any clarification of, or change in, the statute or regulations promulgated under Section 355(e) of the Code shall be incorporated in this definition and its interpretation.</w:t>
      </w:r>
    </w:p>
    <w:p>
      <w:pPr>
        <w:spacing w:after="0" w:line="3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Protective Section 336(e)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Representation Letter</w:t>
      </w:r>
      <w:r>
        <w:rPr>
          <w:rFonts w:ascii="Times New Roman" w:cs="Times New Roman" w:eastAsia="Times New Roman" w:hAnsi="Times New Roman"/>
          <w:sz w:val="18"/>
          <w:szCs w:val="18"/>
          <w:color w:val="auto"/>
        </w:rPr>
        <w:t>” means the officer’s certificate delivered or deliverable by Illumina, and any of its Affiliates, in connection with the Illumina Tax Opinion.</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Party</w:t>
      </w:r>
      <w:r>
        <w:rPr>
          <w:rFonts w:ascii="Times New Roman" w:cs="Times New Roman" w:eastAsia="Times New Roman" w:hAnsi="Times New Roman"/>
          <w:sz w:val="18"/>
          <w:szCs w:val="18"/>
          <w:color w:val="auto"/>
        </w:rPr>
        <w:t>” means, with respect to any Tax Return, the Party having responsibility for preparing and filing such Tax Return under this Agreement.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Retained Stock</w:t>
      </w:r>
      <w:r>
        <w:rPr>
          <w:rFonts w:ascii="Times New Roman" w:cs="Times New Roman" w:eastAsia="Times New Roman" w:hAnsi="Times New Roman"/>
          <w:sz w:val="18"/>
          <w:szCs w:val="18"/>
          <w:color w:val="auto"/>
        </w:rPr>
        <w:t>” means any Capital Stock in GRAIL that Illumina retains after the Distribution.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Retention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95" w:name="page96"/>
    <w:bookmarkEnd w:id="9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Section 336(e) Allocation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right="3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336(e) Tax Benefit Percentage</w:t>
      </w:r>
      <w:r>
        <w:rPr>
          <w:rFonts w:ascii="Times New Roman" w:cs="Times New Roman" w:eastAsia="Times New Roman" w:hAnsi="Times New Roman"/>
          <w:sz w:val="18"/>
          <w:szCs w:val="18"/>
          <w:color w:val="auto"/>
        </w:rPr>
        <w:t>” means, with respect to any Specified Separation Taxes and Tax-Related Losses related to the Distribution, the percentage equal to one hundred percent (100%) minus the percentage of such Specified Separation Taxes and Tax-Related Losses related to the Distribution for which Illumina is entitled to indemnification under this Agreement.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Separation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Repurchases or Redemptions</w:t>
      </w:r>
      <w:r>
        <w:rPr>
          <w:rFonts w:ascii="Times New Roman" w:cs="Times New Roman" w:eastAsia="Times New Roman" w:hAnsi="Times New Roman"/>
          <w:sz w:val="18"/>
          <w:szCs w:val="18"/>
          <w:color w:val="auto"/>
        </w:rPr>
        <w:t xml:space="preserve">” means repurchases or redemptions of GRAIL stock by GRAIL that satisfy the following criteria: (i) the repurchase or redemption is motivated by a non-tax business purpose, (ii) the stock to be repurchased or redeemed is widely held, (iii) the repurchase or redemption is made in the open market or from or through a securities brokerage or investment bank that is not related to GRAIL at an agreed price or formula (including through a call option or derivative), as part of a repurchase program (including an accelerated share repurchase program) in which the securities brokerage or investment bank purchases shares of stock of GRAIL from anonymous sellers, (iv) the repurchase or redemption is not motivated to any extent by a desire to increase or decrease the ownership percentage of any particular shareholder or group of shareholders, and (v) GRAIL will not know the identity of any shareholder from which its stock is redeemed or repurchased;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repurchase or redemption will be considered a Specified Repurchase or Redemption if at the time of the repurchase or redemption any shareholder of GRAIL was either (A) a controlling shareholder (within the meaning of Treasury Regulations § 1.355-7(h)(3)), (B) a ten-percent shareholder (within the meaning of Treasury Regulations § 1.355-7(h)(14)) or (C) a member of a controlled group of corporations within the meaning of Section 1563 of the Code of which GRAIL is a member.</w:t>
      </w:r>
    </w:p>
    <w:p>
      <w:pPr>
        <w:spacing w:after="0" w:line="182"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Separation Taxes</w:t>
      </w:r>
      <w:r>
        <w:rPr>
          <w:rFonts w:ascii="Times New Roman" w:cs="Times New Roman" w:eastAsia="Times New Roman" w:hAnsi="Times New Roman"/>
          <w:sz w:val="18"/>
          <w:szCs w:val="18"/>
          <w:color w:val="auto"/>
        </w:rPr>
        <w:t xml:space="preserve">” means any and all Taxes incurred by the Illumina Group or the GRAIL Group as a result of the failure of the Separation, Distribution or certain related transactions to qualify for any Intended Tax Treatment;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any particular amount of Tax Attributes to be in existence at the Distribution shall not be treated as Specified Separation Taxes;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Specified Separation Taxes shall be indemnified regardless of whether they are paid in cash or by utilizing Tax Attributes.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Straddle Period</w:t>
      </w:r>
      <w:r>
        <w:rPr>
          <w:rFonts w:ascii="Times New Roman" w:cs="Times New Roman" w:eastAsia="Times New Roman" w:hAnsi="Times New Roman"/>
          <w:sz w:val="18"/>
          <w:szCs w:val="18"/>
          <w:color w:val="auto"/>
        </w:rPr>
        <w:t>” means any Tax Period that begins before and ends after the Distribution Date.</w:t>
      </w:r>
    </w:p>
    <w:p>
      <w:pPr>
        <w:spacing w:after="0" w:line="225"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tax, assessments, duty or similar charge of any kind whatsoever imposed by any Governmental Authority or political subdivision thereof, in each case in the nature of a tax, and any interest, penalty, additions to tax or additional amounts in respect of the foregoing.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96" w:name="page97"/>
    <w:bookmarkEnd w:id="9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Tax Advisor</w:t>
      </w:r>
      <w:r>
        <w:rPr>
          <w:rFonts w:ascii="Times New Roman" w:cs="Times New Roman" w:eastAsia="Times New Roman" w:hAnsi="Times New Roman"/>
          <w:sz w:val="18"/>
          <w:szCs w:val="18"/>
          <w:color w:val="auto"/>
        </w:rPr>
        <w:t>” means a Tax counsel or accountant, in each case of recognized national standing.</w:t>
      </w:r>
    </w:p>
    <w:p>
      <w:pPr>
        <w:spacing w:after="0" w:line="225" w:lineRule="exact"/>
        <w:rPr>
          <w:sz w:val="20"/>
          <w:szCs w:val="20"/>
          <w:color w:val="auto"/>
        </w:rPr>
      </w:pPr>
    </w:p>
    <w:p>
      <w:pPr>
        <w:ind w:right="3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Attribute</w:t>
      </w:r>
      <w:r>
        <w:rPr>
          <w:rFonts w:ascii="Times New Roman" w:cs="Times New Roman" w:eastAsia="Times New Roman" w:hAnsi="Times New Roman"/>
          <w:sz w:val="18"/>
          <w:szCs w:val="18"/>
          <w:color w:val="auto"/>
        </w:rPr>
        <w:t>” means a net operating loss, net capital loss, unused investment credit, unused foreign Tax credit, excess charitable contribution, general business credit, research and development credit, earnings and profits, basis, or any other Tax Item that could reduce a Tax or create a Tax Benefit.</w:t>
      </w:r>
    </w:p>
    <w:p>
      <w:pPr>
        <w:spacing w:after="0" w:line="171"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Authority</w:t>
      </w:r>
      <w:r>
        <w:rPr>
          <w:rFonts w:ascii="Times New Roman" w:cs="Times New Roman" w:eastAsia="Times New Roman" w:hAnsi="Times New Roman"/>
          <w:sz w:val="18"/>
          <w:szCs w:val="18"/>
          <w:color w:val="auto"/>
        </w:rPr>
        <w:t>” means, with respect to any Tax, the Governmental Authority or political subdivision thereof that imposes such Tax, and the agency (if any) charged with the collection of such Tax for such entity or subdivision.</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Benefit</w:t>
      </w:r>
      <w:r>
        <w:rPr>
          <w:rFonts w:ascii="Times New Roman" w:cs="Times New Roman" w:eastAsia="Times New Roman" w:hAnsi="Times New Roman"/>
          <w:sz w:val="18"/>
          <w:szCs w:val="18"/>
          <w:color w:val="auto"/>
        </w:rPr>
        <w:t>” means any refund, credit, or other item that causes reduction in otherwise required liability for Taxes.</w:t>
      </w:r>
    </w:p>
    <w:p>
      <w:pPr>
        <w:spacing w:after="0" w:line="225"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Contest</w:t>
      </w:r>
      <w:r>
        <w:rPr>
          <w:rFonts w:ascii="Times New Roman" w:cs="Times New Roman" w:eastAsia="Times New Roman" w:hAnsi="Times New Roman"/>
          <w:sz w:val="18"/>
          <w:szCs w:val="18"/>
          <w:color w:val="auto"/>
        </w:rPr>
        <w:t>” means an audit, review, examination, contest, litigation, investigation or any other administrative or judicial proceeding with the purpose or effect of redetermining Taxes (including any administrative or judicial review of any claim for refund).</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Item</w:t>
      </w:r>
      <w:r>
        <w:rPr>
          <w:rFonts w:ascii="Times New Roman" w:cs="Times New Roman" w:eastAsia="Times New Roman" w:hAnsi="Times New Roman"/>
          <w:sz w:val="18"/>
          <w:szCs w:val="18"/>
          <w:color w:val="auto"/>
        </w:rPr>
        <w:t>” means, with respect to any Income Tax, any item of income, gain, loss, deduction, or credit.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Law</w:t>
      </w:r>
      <w:r>
        <w:rPr>
          <w:rFonts w:ascii="Times New Roman" w:cs="Times New Roman" w:eastAsia="Times New Roman" w:hAnsi="Times New Roman"/>
          <w:sz w:val="18"/>
          <w:szCs w:val="18"/>
          <w:color w:val="auto"/>
        </w:rPr>
        <w:t>” means the Law of any Governmental Authority or political subdivision thereof relating to any Tax.</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Materials</w:t>
      </w:r>
      <w:r>
        <w:rPr>
          <w:rFonts w:ascii="Times New Roman" w:cs="Times New Roman" w:eastAsia="Times New Roman" w:hAnsi="Times New Roman"/>
          <w:sz w:val="18"/>
          <w:szCs w:val="18"/>
          <w:color w:val="auto"/>
        </w:rPr>
        <w:t>” means all Pre-Distribution Rulings, Pre-Distribution Ruling Requests, the Illumina Tax Opinion, and Representation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Tax Period</w:t>
      </w:r>
      <w:r>
        <w:rPr>
          <w:rFonts w:ascii="Times New Roman" w:cs="Times New Roman" w:eastAsia="Times New Roman" w:hAnsi="Times New Roman"/>
          <w:sz w:val="17"/>
          <w:szCs w:val="17"/>
          <w:color w:val="auto"/>
        </w:rPr>
        <w:t>” means, with respect to any Tax, the period for which the Tax is reported as provided under the Code or other applicable Tax</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3"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Records</w:t>
      </w:r>
      <w:r>
        <w:rPr>
          <w:rFonts w:ascii="Times New Roman" w:cs="Times New Roman" w:eastAsia="Times New Roman" w:hAnsi="Times New Roman"/>
          <w:sz w:val="18"/>
          <w:szCs w:val="18"/>
          <w:color w:val="auto"/>
        </w:rPr>
        <w:t>” means any (i) Tax Returns, (ii) Tax Return workpapers, (iii) documentation relating to any Tax Contests, and (iv) any other books of account or records (whether or not in written, electronic or other tangible or intangible forms and whether or not stored on electronic or any other medium) maintained or required to be maintained under the Code or other applicable Tax Laws or under any record retention agreement with any Tax Authority, in each case filed or required to be filed with respect to or otherwise relating to Taxes.</w:t>
      </w:r>
    </w:p>
    <w:p>
      <w:pPr>
        <w:spacing w:after="0" w:line="176"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Losses</w:t>
      </w:r>
      <w:r>
        <w:rPr>
          <w:rFonts w:ascii="Times New Roman" w:cs="Times New Roman" w:eastAsia="Times New Roman" w:hAnsi="Times New Roman"/>
          <w:sz w:val="18"/>
          <w:szCs w:val="18"/>
          <w:color w:val="auto"/>
        </w:rPr>
        <w:t>” means, with respect to any Specified Separation Taxes, (i) all accounting, legal and other professional fees, and court costs incurred in connection with such Specified Separation Taxes, as well as any other out-of-pocket costs incurred in connection with such Specified Separation Taxes; and (ii) all costs, expenses and damages associated with shareholder litigation or controversies and any amount paid by Illumina (or any Illumina Affiliate) or GRAIL (or any GRAIL Affiliate) in respect of the liability of shareholders, whether paid to shareholders or to the IRS or any other Tax Authority.</w:t>
      </w:r>
    </w:p>
    <w:p>
      <w:pPr>
        <w:spacing w:after="0" w:line="179" w:lineRule="exact"/>
        <w:rPr>
          <w:sz w:val="20"/>
          <w:szCs w:val="20"/>
          <w:color w:val="auto"/>
        </w:rPr>
      </w:pPr>
    </w:p>
    <w:p>
      <w:pPr>
        <w:ind w:right="14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report of Taxes due, any claim for refund of Taxes paid, any information return with respect to Taxes, or any other similar report, statement, declaration, or document filed or required to be filed under the Code or other Tax Law with respect to Taxes, including any attachments, exhibits, or other materials submitted with any of the foregoing, and including any amendments or supplements to any of the foregoing.</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66" w:right="519" w:bottom="1440" w:gutter="0" w:footer="0" w:header="0"/>
        </w:sectPr>
      </w:pPr>
    </w:p>
    <w:bookmarkStart w:id="97" w:name="page98"/>
    <w:bookmarkEnd w:id="9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regulations promulgated from time to time under the Code as in effect for the relevant Tax Period.</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Unqualified Tax Opinion</w:t>
      </w:r>
      <w:r>
        <w:rPr>
          <w:rFonts w:ascii="Times New Roman" w:cs="Times New Roman" w:eastAsia="Times New Roman" w:hAnsi="Times New Roman"/>
          <w:sz w:val="18"/>
          <w:szCs w:val="18"/>
          <w:color w:val="auto"/>
        </w:rPr>
        <w:t xml:space="preserve">” means an unqualified “will” opinion of a Tax Advisor, which Tax Advisor is reasonably acceptable to Illumina, on which Illumina is permitted to rely to the effect that a transaction will not adversely affect any Intended Tax Treatment;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Illumina Tax Opinion is not an unqualified “will” opinion with respect to any Intended Tax Treatment, the Unqualified Tax Opinion shall be at the same level of comfort, and subject to the same qualifications, as the Illumina Tax Opinion with respect to such Intended Tax Treatment. The Tax Advisor, in issuing its opinion, shall be permitted to rely on the validity and correctness, as of the date given, of any Pre-Distribution Ruling and the Illumina Tax Opinion, unless such reliance would be unreasonable under the circumstances as a result of a change in Law or facts following the Distribution, and shall assume that the Distribution, Contribution and any related transaction, as applicable, would have qualified for its Intended Tax Treatment if the transaction in question did not occur.</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2. Allocation of Tax Liabilities and Tax-Related Losses.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2.01. General Rule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84" w:lineRule="auto"/>
        <w:tabs>
          <w:tab w:leader="none" w:pos="1246" w:val="left"/>
        </w:tabs>
        <w:numPr>
          <w:ilvl w:val="0"/>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Illumina Liability</w:t>
      </w:r>
      <w:r>
        <w:rPr>
          <w:rFonts w:ascii="Times New Roman" w:cs="Times New Roman" w:eastAsia="Times New Roman" w:hAnsi="Times New Roman"/>
          <w:sz w:val="18"/>
          <w:szCs w:val="18"/>
          <w:color w:val="auto"/>
        </w:rPr>
        <w:t>. Except with respect to Taxes and Tax-Related Losses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 Illumina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liable for, and shall indemnify and hold harmless the GRAIL Group from and against any liability for:</w:t>
      </w:r>
    </w:p>
    <w:p>
      <w:pPr>
        <w:spacing w:after="0" w:line="52" w:lineRule="exact"/>
        <w:rPr>
          <w:rFonts w:ascii="Times New Roman" w:cs="Times New Roman" w:eastAsia="Times New Roman" w:hAnsi="Times New Roman"/>
          <w:sz w:val="18"/>
          <w:szCs w:val="18"/>
          <w:i w:val="1"/>
          <w:iCs w:val="1"/>
          <w:color w:val="auto"/>
        </w:rPr>
      </w:pPr>
    </w:p>
    <w:p>
      <w:pPr>
        <w:ind w:left="1600" w:hanging="212"/>
        <w:spacing w:after="0"/>
        <w:tabs>
          <w:tab w:leader="none" w:pos="16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Taxes that are allocated to Illumina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4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resulting from a breach of any of Illumina’s representations, warranties or covenants in this Agreement, the Separation Agreement or any Ancillary Agreement;</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Specified Separation Taxes and Tax-Related Losses that are allocated to Illumina under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xml:space="preserve"> of this Agreement;</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Separation Taxes; and</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63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GRAIL or any member of the GRAIL Group pursuant to the provisions of Treasury Regulations § 1.1502-6 (or similar provisions of state, local, or foreign Tax Law) as a result of any such member being or having been a member of a Prior Group.</w:t>
      </w:r>
    </w:p>
    <w:p>
      <w:pPr>
        <w:spacing w:after="0" w:line="15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GRAIL Liability</w:t>
      </w:r>
      <w:r>
        <w:rPr>
          <w:rFonts w:ascii="Times New Roman" w:cs="Times New Roman" w:eastAsia="Times New Roman" w:hAnsi="Times New Roman"/>
          <w:sz w:val="18"/>
          <w:szCs w:val="18"/>
          <w:color w:val="auto"/>
        </w:rPr>
        <w:t>. GRAIL shall be liable for, and shall indemnify and hold harmless the Illumina Group from and against any liability</w:t>
      </w:r>
    </w:p>
    <w:p>
      <w:pPr>
        <w:spacing w:after="0" w:line="29" w:lineRule="exact"/>
        <w:rPr>
          <w:rFonts w:ascii="Times New Roman" w:cs="Times New Roman" w:eastAsia="Times New Roman" w:hAnsi="Times New Roman"/>
          <w:sz w:val="18"/>
          <w:szCs w:val="18"/>
          <w:i w:val="1"/>
          <w:iCs w:val="1"/>
          <w:color w:val="auto"/>
        </w:rPr>
      </w:pP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w:t>
      </w:r>
    </w:p>
    <w:p>
      <w:pPr>
        <w:spacing w:after="0" w:line="98" w:lineRule="exact"/>
        <w:rPr>
          <w:rFonts w:ascii="Times New Roman" w:cs="Times New Roman" w:eastAsia="Times New Roman" w:hAnsi="Times New Roman"/>
          <w:sz w:val="18"/>
          <w:szCs w:val="18"/>
          <w:i w:val="1"/>
          <w:iCs w:val="1"/>
          <w:color w:val="auto"/>
        </w:rPr>
      </w:pPr>
    </w:p>
    <w:p>
      <w:pPr>
        <w:ind w:left="1600" w:hanging="212"/>
        <w:spacing w:after="0"/>
        <w:tabs>
          <w:tab w:leader="none" w:pos="16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Taxes that are allocated to GRAIL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98" w:name="page99"/>
    <w:bookmarkEnd w:id="98"/>
    <w:p>
      <w:pPr>
        <w:ind w:left="980" w:right="120" w:firstLine="408"/>
        <w:spacing w:after="0" w:line="282" w:lineRule="auto"/>
        <w:tabs>
          <w:tab w:leader="none" w:pos="16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Taxes resulting from a breach of any of GRAIL’s representations, warranties or covenants in this Agreement, the Separation Agreement or any Ancillary Agreement; and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Specified Separation Taxes and Tax-Related Losses that are allocated to GRAIL under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xml:space="preserve"> of this Agreement.</w:t>
      </w:r>
    </w:p>
    <w:p>
      <w:pPr>
        <w:spacing w:after="0" w:line="223"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Section 2.02. Allocation Principles</w:t>
      </w:r>
      <w:r>
        <w:rPr>
          <w:rFonts w:ascii="Times New Roman" w:cs="Times New Roman" w:eastAsia="Times New Roman" w:hAnsi="Times New Roman"/>
          <w:sz w:val="18"/>
          <w:szCs w:val="18"/>
          <w:color w:val="auto"/>
        </w:rPr>
        <w:t>. Except as otherwise provided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 Taxes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allocated as follows:</w:t>
      </w:r>
    </w:p>
    <w:p>
      <w:pPr>
        <w:spacing w:after="0" w:line="50" w:lineRule="exact"/>
        <w:rPr>
          <w:sz w:val="20"/>
          <w:szCs w:val="20"/>
          <w:color w:val="auto"/>
        </w:rPr>
      </w:pPr>
    </w:p>
    <w:p>
      <w:pPr>
        <w:ind w:right="180" w:firstLine="987"/>
        <w:spacing w:after="0" w:line="284" w:lineRule="auto"/>
        <w:tabs>
          <w:tab w:leader="none" w:pos="1246" w:val="left"/>
        </w:tabs>
        <w:numPr>
          <w:ilvl w:val="0"/>
          <w:numId w:val="7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Allocation of Ordinary Taxes for Joint Returns</w:t>
      </w:r>
      <w:r>
        <w:rPr>
          <w:rFonts w:ascii="Times New Roman" w:cs="Times New Roman" w:eastAsia="Times New Roman" w:hAnsi="Times New Roman"/>
          <w:sz w:val="18"/>
          <w:szCs w:val="18"/>
          <w:color w:val="auto"/>
        </w:rPr>
        <w:t>. Illumina shall be allocated all Ordinary Taxes reported, or required to be reported,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Joint Return for any taxable period.</w:t>
      </w:r>
    </w:p>
    <w:p>
      <w:pPr>
        <w:spacing w:after="0" w:line="158" w:lineRule="exact"/>
        <w:rPr>
          <w:rFonts w:ascii="Times New Roman" w:cs="Times New Roman" w:eastAsia="Times New Roman" w:hAnsi="Times New Roman"/>
          <w:sz w:val="18"/>
          <w:szCs w:val="18"/>
          <w:i w:val="1"/>
          <w:iCs w:val="1"/>
          <w:color w:val="auto"/>
        </w:rPr>
      </w:pPr>
    </w:p>
    <w:p>
      <w:pPr>
        <w:ind w:left="1240" w:hanging="253"/>
        <w:spacing w:after="0"/>
        <w:tabs>
          <w:tab w:leader="none" w:pos="1240" w:val="left"/>
        </w:tabs>
        <w:numPr>
          <w:ilvl w:val="0"/>
          <w:numId w:val="7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Allocation of Ordinary Taxes for Separate Returns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i w:val="1"/>
          <w:iCs w:val="1"/>
          <w:color w:val="auto"/>
        </w:rPr>
      </w:pPr>
    </w:p>
    <w:p>
      <w:pPr>
        <w:ind w:left="1600" w:hanging="212"/>
        <w:spacing w:after="0"/>
        <w:tabs>
          <w:tab w:leader="none" w:pos="16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Illumina shall be allocated all Ordinary Taxes reported, or required to be reported, on an Illumina Separate Return for any taxable</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98"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GRAIL shall be allocated all Ordinary Taxes reported, or required to be reported, on a GRAIL Separate Return for any taxable</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2.03. Allocation Conventions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40" w:hanging="253"/>
        <w:spacing w:after="0"/>
        <w:tabs>
          <w:tab w:leader="none" w:pos="1240" w:val="left"/>
        </w:tabs>
        <w:numPr>
          <w:ilvl w:val="0"/>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All Taxes allocated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of this Agreement shall be allocated in accordance with the Closing of the Books Method.</w:t>
      </w:r>
    </w:p>
    <w:p>
      <w:pPr>
        <w:spacing w:after="0" w:line="225" w:lineRule="exact"/>
        <w:rPr>
          <w:rFonts w:ascii="Times New Roman" w:cs="Times New Roman" w:eastAsia="Times New Roman" w:hAnsi="Times New Roman"/>
          <w:sz w:val="18"/>
          <w:szCs w:val="18"/>
          <w:i w:val="1"/>
          <w:iCs w:val="1"/>
          <w:color w:val="auto"/>
        </w:rPr>
      </w:pPr>
    </w:p>
    <w:p>
      <w:pPr>
        <w:ind w:right="60" w:firstLine="987"/>
        <w:spacing w:after="0" w:line="258" w:lineRule="auto"/>
        <w:tabs>
          <w:tab w:leader="none" w:pos="1246" w:val="left"/>
        </w:tabs>
        <w:numPr>
          <w:ilvl w:val="0"/>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Any Tax Item of any member of the Illumina Group or GRAIL Group arising from a transaction engaged in outside of the ordinary course of business on the Distribution Date after the Effective Time shall be properly allocable to such member’s Group and any such transaction occurring after the Effective Time shall be treated for all Tax purposes (to the extent permitted by applicable Tax Law) as occurring at the beginning of the day following the Distribution Date in accordance with the principles of Treasury Regulation § 1.1502-76(b) or any similar provisions of state, local or foreign Law.</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3. Preparation and Filing of Tax Returns.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3.01. Illumina Separate Returns and Joint Returns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87"/>
        <w:spacing w:after="0" w:line="256" w:lineRule="auto"/>
        <w:tabs>
          <w:tab w:leader="none" w:pos="1246"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Illumina shall prepare and file, or cause to be prepared and filed, all Joint Returns and Illumina Separate Returns, and each member of the GRAIL Group to which any such Joint Return relates shall execute and file such consents, elections and other documents as Illumina may determine, after consulting with GRAIL in good faith, are required or appropriate, or otherwise requested by Illumina in connection with the filing of such Joint Return. GRAIL will elect and join, and will cause its respective Affiliates to elect and join, in filing any Joint Returns that Illumina determines are required to be filed or that Illumina elects to file, in each case pursuant to this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With respect to any Joint Return or Illumina Separate Return that could reasonably be expected to adversely affect any member of the GRAIL Group,</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99" w:name="page100"/>
    <w:bookmarkEnd w:id="9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Illumina shall submit a draft of such Tax Return to GRAIL at least thirty (30) days prior to the due date for the filing of such Tax Return (taking into account any applicable extensions), GRAIL shall have the right to review such Tax Return and to submit to Illumina any reasonable changes to such Tax Return no later than fifteen (15) days prior to the due date for the filing of such Tax Return (taking into account any applicable extensions). The Parties agree to consult and to attempt to resolve in good faith any issues arising as a result of the review of any such Tax Return;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prevent Illumina from timely filing (or causing to be timely filed) such Tax Return.</w:t>
      </w:r>
    </w:p>
    <w:p>
      <w:pPr>
        <w:spacing w:after="0" w:line="183" w:lineRule="exact"/>
        <w:rPr>
          <w:sz w:val="20"/>
          <w:szCs w:val="20"/>
          <w:color w:val="auto"/>
        </w:rPr>
      </w:pPr>
    </w:p>
    <w:p>
      <w:pPr>
        <w:ind w:right="160" w:firstLine="987"/>
        <w:spacing w:after="0" w:line="282" w:lineRule="auto"/>
        <w:tabs>
          <w:tab w:leader="none" w:pos="1246"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Parties and their respective Affiliates shall elect to close the Tax Period of each member of the GRAIL Group on the Distribution Date, to the extent permitted by applicable Tax Law.</w:t>
      </w:r>
    </w:p>
    <w:p>
      <w:pPr>
        <w:spacing w:after="0" w:line="16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i w:val="1"/>
          <w:iCs w:val="1"/>
          <w:color w:val="auto"/>
        </w:rPr>
        <w:t>Section 3.02. GRAIL Separate Returns</w:t>
      </w:r>
      <w:r>
        <w:rPr>
          <w:rFonts w:ascii="Times New Roman" w:cs="Times New Roman" w:eastAsia="Times New Roman" w:hAnsi="Times New Roman"/>
          <w:sz w:val="18"/>
          <w:szCs w:val="18"/>
          <w:color w:val="auto"/>
        </w:rPr>
        <w:t>. GRAIL shall prepare and file (or cause to be prepared and filed) all GRAIL Separate Returns.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 to any GRAIL Separate Return that could reasonably be expected to adversely affect any member of the Illumina Group, GRAIL shall submit a draft of such Tax Return to Illumina at least thirty (30) days prior to the due date for the filing of such Tax Return (taking into account any applicable extensions), Illumina shall have the right to review such Tax Return and to submit to GRAIL any reasonable changes to such Tax Return no later than fifteen (15) days prior to the due date for the filing of such Tax Return (taking into account any applicable extensions). The Parties agree to consult and to attempt to resolve in good faith any issues arising as a result of the review of any such Tax Return;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shall prevent GRAIL from timely filing (or causing to be timely filed) such Tax Return.</w:t>
      </w:r>
    </w:p>
    <w:p>
      <w:pPr>
        <w:spacing w:after="0" w:line="183" w:lineRule="exact"/>
        <w:rPr>
          <w:sz w:val="20"/>
          <w:szCs w:val="20"/>
          <w:color w:val="auto"/>
        </w:rPr>
      </w:pPr>
    </w:p>
    <w:p>
      <w:pPr>
        <w:ind w:right="4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Section 3.03. Tax Reporting Consistent with Intended Tax Treatment</w:t>
      </w:r>
      <w:r>
        <w:rPr>
          <w:rFonts w:ascii="Times New Roman" w:cs="Times New Roman" w:eastAsia="Times New Roman" w:hAnsi="Times New Roman"/>
          <w:sz w:val="18"/>
          <w:szCs w:val="18"/>
          <w:color w:val="auto"/>
        </w:rPr>
        <w:t>. The Parties shall prepare all Tax Returns consistent with the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Treatment unless, and then only to the extent, required pursuant to a Final Determination.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3.04. Protective Section 336(e)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7" w:lineRule="auto"/>
        <w:tabs>
          <w:tab w:leader="none" w:pos="1246" w:val="left"/>
        </w:tabs>
        <w:numPr>
          <w:ilvl w:val="0"/>
          <w:numId w:val="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Parties hereby agree that, if Illumina shall determine in its sole discretion, prior to the applicable due dates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elections, that the Parties should make a protective election under Section 336(e) of the Code (and any similar provision of applicable state or local Tax Law) with respect to the Distribution for GRAIL (the “</w:t>
      </w:r>
      <w:r>
        <w:rPr>
          <w:rFonts w:ascii="Times New Roman" w:cs="Times New Roman" w:eastAsia="Times New Roman" w:hAnsi="Times New Roman"/>
          <w:sz w:val="18"/>
          <w:szCs w:val="18"/>
          <w:b w:val="1"/>
          <w:bCs w:val="1"/>
          <w:i w:val="1"/>
          <w:iCs w:val="1"/>
          <w:color w:val="auto"/>
        </w:rPr>
        <w:t>Protective Section 336(e) Election</w:t>
      </w:r>
      <w:r>
        <w:rPr>
          <w:rFonts w:ascii="Times New Roman" w:cs="Times New Roman" w:eastAsia="Times New Roman" w:hAnsi="Times New Roman"/>
          <w:sz w:val="18"/>
          <w:szCs w:val="18"/>
          <w:color w:val="auto"/>
        </w:rPr>
        <w:t>”), then the Parties shall enter into a written, binding agreement to make the Protective Section 336(e) Election, and the Parties shall timely make the Protective Section 336(e) Election in accordance with Treasury Regulations § 1.336-2(h). For the avoidance of doubt, such agreement is intended to constitute a written, binding agreement to make the Protective Section 336(e) Election within the meaning of Treasury Regulations § 1.336-2(h)(1)(i).</w:t>
      </w:r>
    </w:p>
    <w:p>
      <w:pPr>
        <w:spacing w:after="0" w:line="182" w:lineRule="exact"/>
        <w:rPr>
          <w:rFonts w:ascii="Times New Roman" w:cs="Times New Roman" w:eastAsia="Times New Roman" w:hAnsi="Times New Roman"/>
          <w:sz w:val="18"/>
          <w:szCs w:val="18"/>
          <w:i w:val="1"/>
          <w:iCs w:val="1"/>
          <w:color w:val="auto"/>
        </w:rPr>
      </w:pPr>
    </w:p>
    <w:p>
      <w:pPr>
        <w:ind w:right="220" w:firstLine="987"/>
        <w:spacing w:after="0" w:line="261" w:lineRule="auto"/>
        <w:tabs>
          <w:tab w:leader="none" w:pos="1246" w:val="left"/>
        </w:tabs>
        <w:numPr>
          <w:ilvl w:val="0"/>
          <w:numId w:val="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Cooperation and Reporting</w:t>
      </w:r>
      <w:r>
        <w:rPr>
          <w:rFonts w:ascii="Times New Roman" w:cs="Times New Roman" w:eastAsia="Times New Roman" w:hAnsi="Times New Roman"/>
          <w:sz w:val="18"/>
          <w:szCs w:val="18"/>
          <w:color w:val="auto"/>
        </w:rPr>
        <w:t>. Illumina and GRAIL shall cooperate in making the Protective Section 336(e) Election, if any,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any statements, amending any Tax Returns or undertaking such other actions reasonably necessary to carry out the Protective Section 336(e) Election. Illumina shall determine the “</w:t>
      </w:r>
      <w:r>
        <w:rPr>
          <w:rFonts w:ascii="Times New Roman" w:cs="Times New Roman" w:eastAsia="Times New Roman" w:hAnsi="Times New Roman"/>
          <w:sz w:val="18"/>
          <w:szCs w:val="18"/>
          <w:b w:val="1"/>
          <w:bCs w:val="1"/>
          <w:i w:val="1"/>
          <w:iCs w:val="1"/>
          <w:color w:val="auto"/>
        </w:rPr>
        <w:t>Aggregate Deemed Asset Disposition Price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Adjusted Grossed-Up Basis</w:t>
      </w:r>
      <w:r>
        <w:rPr>
          <w:rFonts w:ascii="Times New Roman" w:cs="Times New Roman" w:eastAsia="Times New Roman" w:hAnsi="Times New Roman"/>
          <w:sz w:val="18"/>
          <w:szCs w:val="18"/>
          <w:color w:val="auto"/>
        </w:rPr>
        <w:t>” (each as defined under applicable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00" w:name="page101"/>
    <w:bookmarkEnd w:id="10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Treasury Regulations) and the allocation of such Aggregate Deemed Asset Disposition Price and Adjusted Grossed-Up Basis among the disposition date assets of the applicable member or members of the Illumina Group or GRAIL Group, each in accordance with the applicable provisions of</w:t>
      </w:r>
    </w:p>
    <w:p>
      <w:pPr>
        <w:ind w:right="60"/>
        <w:spacing w:after="0" w:line="252" w:lineRule="auto"/>
        <w:rPr>
          <w:sz w:val="20"/>
          <w:szCs w:val="20"/>
          <w:color w:val="auto"/>
        </w:rPr>
      </w:pPr>
      <w:r>
        <w:rPr>
          <w:rFonts w:ascii="Times New Roman" w:cs="Times New Roman" w:eastAsia="Times New Roman" w:hAnsi="Times New Roman"/>
          <w:sz w:val="18"/>
          <w:szCs w:val="18"/>
          <w:color w:val="auto"/>
        </w:rPr>
        <w:t>Section 336(e) of the Code and applicable Treasury Regulations (the “</w:t>
      </w:r>
      <w:r>
        <w:rPr>
          <w:rFonts w:ascii="Times New Roman" w:cs="Times New Roman" w:eastAsia="Times New Roman" w:hAnsi="Times New Roman"/>
          <w:sz w:val="18"/>
          <w:szCs w:val="18"/>
          <w:b w:val="1"/>
          <w:bCs w:val="1"/>
          <w:i w:val="1"/>
          <w:iCs w:val="1"/>
          <w:color w:val="auto"/>
        </w:rPr>
        <w:t>Section 336(e) Allocation Statement</w:t>
      </w:r>
      <w:r>
        <w:rPr>
          <w:rFonts w:ascii="Times New Roman" w:cs="Times New Roman" w:eastAsia="Times New Roman" w:hAnsi="Times New Roman"/>
          <w:sz w:val="18"/>
          <w:szCs w:val="18"/>
          <w:color w:val="auto"/>
        </w:rPr>
        <w:t>”). Illumina shall submit a draft of the Section 336(e) Allocation Statement to GRAIL and accept any reasonable changes thereto requested by GRAIL no later than sixty (60) days following GRAIL’s receipt of such draft. Each Party agrees not to take any position (and to cause each of its Affiliates not to take any position) that is inconsistent with the Protective Section 336(e) Election, including the Section 336(e) Allocation Statement, on any Tax Return, in connection with any Tax Contest or for any other Tax purposes (in each case, excluding any position taken for financial accounting purposes), except as required by a Final Determination.</w:t>
      </w:r>
    </w:p>
    <w:p>
      <w:pPr>
        <w:spacing w:after="0" w:line="188" w:lineRule="exact"/>
        <w:rPr>
          <w:sz w:val="20"/>
          <w:szCs w:val="20"/>
          <w:color w:val="auto"/>
        </w:rPr>
      </w:pPr>
    </w:p>
    <w:p>
      <w:pPr>
        <w:ind w:right="40" w:firstLine="987"/>
        <w:spacing w:after="0" w:line="253" w:lineRule="auto"/>
        <w:tabs>
          <w:tab w:leader="none" w:pos="1236"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 Benefit Payments by GRAIL</w:t>
      </w:r>
      <w:r>
        <w:rPr>
          <w:rFonts w:ascii="Times New Roman" w:cs="Times New Roman" w:eastAsia="Times New Roman" w:hAnsi="Times New Roman"/>
          <w:sz w:val="18"/>
          <w:szCs w:val="18"/>
          <w:color w:val="auto"/>
        </w:rPr>
        <w:t>. In the event that the Distribution fails to qualify for its Intended Tax Treatment and Illumina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entitled to indemnification for one hundred percent (100%) of any Specified Separation Taxes and Tax-Related Losses relating to the Distribution arising from such failure, Illumina shall be entitled to quarterly payments from GRAIL equal to the Section 336(e) Tax Benefit Percentage of the actual Tax savings if, as and when realized by the GRAIL Group arising from the step up in Tax basis (including, for the avoidance of doubt, any such step up attributable to payments made pursuant to this Section 3.04(c)) resulting from the Protective Section 336(e) Election in the Tax Period in which such step up in Tax basis is depreciated, amortized or used to reduce taxable income or gain on a disposition, determined on a “with and without” basis (treating any deductions or amortization attributable to the step up in Tax basis resulting from the Protective 336(e) Election, or any other recovery of such step up, as the last items claimed for any taxable year), including after the utilization of any available net operating loss carryforwards;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payments: (i) shall be reduced by all reasonable costs incurred by any member of the GRAIL Group to amend any Tax Returns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governmental filings related to such Protective Section 336(e) Election and (ii) shall not exceed the amount of any Specified Separation Taxes and Tax-Related Losses relating to the Distribution incurred by the Illumina Group (not taking into account this Section 3.04(c)) as a result of such failure for which Illumina is not entitled to indemnification under this Agreement.</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3.05. GRAIL Carrybacks and Claims for Refund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firstLine="987"/>
        <w:spacing w:after="0" w:line="261" w:lineRule="auto"/>
        <w:tabs>
          <w:tab w:leader="none" w:pos="1246" w:val="left"/>
        </w:tabs>
        <w:numPr>
          <w:ilvl w:val="0"/>
          <w:numId w:val="8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GRAIL hereby agrees that, unless Illumina consents in writing (which consent may not be unreasonably withheld, conditioned, or delayed) or as required by Law, no member of the GRAIL Group (nor its successors) shall file any Adjustment Request with respect to any Tax Return that could affect any Joint Return or any other Tax Return reflecting Taxes for which Illumina could reasonably be expected to be responsible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i w:val="1"/>
          <w:iCs w:val="1"/>
          <w:color w:val="auto"/>
        </w:rPr>
      </w:pPr>
    </w:p>
    <w:p>
      <w:pPr>
        <w:ind w:right="400" w:firstLine="987"/>
        <w:spacing w:after="0" w:line="312" w:lineRule="auto"/>
        <w:tabs>
          <w:tab w:leader="none" w:pos="1246" w:val="left"/>
        </w:tabs>
        <w:numPr>
          <w:ilvl w:val="0"/>
          <w:numId w:val="8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Illumina hereby agrees that, unless GRAIL consents in writing (which consent may not be unreasonably withheld, conditioned, or delayed) or as required by Law, no member of the Illumina Group shall file any Adjustment Request with respect to any GRAIL Separate Return.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01" w:name="page102"/>
    <w:bookmarkEnd w:id="101"/>
    <w:p>
      <w:pPr>
        <w:ind w:right="4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3.06. Apportionment of Tax Attributes. </w:t>
      </w:r>
      <w:r>
        <w:rPr>
          <w:rFonts w:ascii="Times New Roman" w:cs="Times New Roman" w:eastAsia="Times New Roman" w:hAnsi="Times New Roman"/>
          <w:sz w:val="18"/>
          <w:szCs w:val="18"/>
          <w:color w:val="auto"/>
        </w:rPr>
        <w:t>Tax Attributes arising in a Pre-Distribution Period will be allocated to (and the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burdens of such Tax Attributes will inure to) the members of the Illumina Group and the members of the GRAIL Group in accordance with the Code, Treasury Regulations, and any other applicable Tax Law.</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4. Tax Payments.</w:t>
      </w:r>
    </w:p>
    <w:p>
      <w:pPr>
        <w:spacing w:after="0" w:line="22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Section 4.01. Taxes Shown on Tax Returns</w:t>
      </w:r>
      <w:r>
        <w:rPr>
          <w:rFonts w:ascii="Times New Roman" w:cs="Times New Roman" w:eastAsia="Times New Roman" w:hAnsi="Times New Roman"/>
          <w:sz w:val="18"/>
          <w:szCs w:val="18"/>
          <w:color w:val="auto"/>
        </w:rPr>
        <w:t>. Illumina shall pay (or cause to be paid) to the proper Tax Authority the Tax shown as due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Tax Return that a member of the Illumina Group is responsible for preparing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and GRAIL shall pay (or cause to be paid) to the proper Tax Authority the Tax shown as due on any Tax Return that a member of the GRAIL Group is responsible for preparing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w:t>
      </w:r>
    </w:p>
    <w:p>
      <w:pPr>
        <w:spacing w:after="0" w:line="180" w:lineRule="exact"/>
        <w:rPr>
          <w:sz w:val="20"/>
          <w:szCs w:val="20"/>
          <w:color w:val="auto"/>
        </w:rPr>
      </w:pPr>
    </w:p>
    <w:p>
      <w:pPr>
        <w:jc w:val="both"/>
        <w:ind w:right="26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Section 4.02. Adjustments Resulting in Underpayments</w:t>
      </w:r>
      <w:r>
        <w:rPr>
          <w:rFonts w:ascii="Times New Roman" w:cs="Times New Roman" w:eastAsia="Times New Roman" w:hAnsi="Times New Roman"/>
          <w:sz w:val="18"/>
          <w:szCs w:val="18"/>
          <w:color w:val="auto"/>
        </w:rPr>
        <w:t>. In the case of any adjustment pursuant to a Final Determination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Tax, the Party to which such Tax is allocated pursuant to this Agreement shall pay to the applicable Tax Authority when due any additional Tax required to be paid as a result of such adjustment.</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4.03. Indemnification Payments.</w:t>
      </w:r>
    </w:p>
    <w:p>
      <w:pPr>
        <w:spacing w:after="0" w:line="223" w:lineRule="exact"/>
        <w:rPr>
          <w:sz w:val="20"/>
          <w:szCs w:val="20"/>
          <w:color w:val="auto"/>
        </w:rPr>
      </w:pPr>
    </w:p>
    <w:p>
      <w:pPr>
        <w:ind w:firstLine="987"/>
        <w:spacing w:after="0" w:line="253" w:lineRule="auto"/>
        <w:tabs>
          <w:tab w:leader="none" w:pos="1246" w:val="left"/>
        </w:tabs>
        <w:numPr>
          <w:ilvl w:val="0"/>
          <w:numId w:val="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any Party (the “</w:t>
      </w:r>
      <w:r>
        <w:rPr>
          <w:rFonts w:ascii="Times New Roman" w:cs="Times New Roman" w:eastAsia="Times New Roman" w:hAnsi="Times New Roman"/>
          <w:sz w:val="18"/>
          <w:szCs w:val="18"/>
          <w:b w:val="1"/>
          <w:bCs w:val="1"/>
          <w:i w:val="1"/>
          <w:iCs w:val="1"/>
          <w:color w:val="auto"/>
        </w:rPr>
        <w:t>Payor</w:t>
      </w:r>
      <w:r>
        <w:rPr>
          <w:rFonts w:ascii="Times New Roman" w:cs="Times New Roman" w:eastAsia="Times New Roman" w:hAnsi="Times New Roman"/>
          <w:sz w:val="18"/>
          <w:szCs w:val="18"/>
          <w:color w:val="auto"/>
        </w:rPr>
        <w:t>”) is required under applicable Tax Law to pay to a Tax Authority a Tax that another Party (the “</w:t>
      </w:r>
      <w:r>
        <w:rPr>
          <w:rFonts w:ascii="Times New Roman" w:cs="Times New Roman" w:eastAsia="Times New Roman" w:hAnsi="Times New Roman"/>
          <w:sz w:val="18"/>
          <w:szCs w:val="18"/>
          <w:b w:val="1"/>
          <w:bCs w:val="1"/>
          <w:i w:val="1"/>
          <w:i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is liable for under this Agreement, including in the case of any adjustment pursuant to a Final Determination with respect to any Tax,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Required Party shall reimburse the Payor within ten (10) Business Days of delivery by the Payor to the Required Party of an invoice for the amount due, accompanied by evidence of payment and a statement detailing the Taxes paid and describing in reasonable detail the particulars relating thereto. Except as otherwise provided in the following sentence, the Required Party shall also pay to the Payor any reasonable third-party costs and expenses related to the foregoing (including reasonable attorneys’ fees and expenses) within ten (10) Business Days after the Payor’s written demand therefor, accompanied by evidence of payment and a statement detailing the amounts paid and describing in reasonable detail the particulars relating thereto. If and to the extent any Specified Separation Taxes are determined regarding the failure of the Intended Tax Treatment, the Party allocated responsibility for Tax-Related Losses associated with such Specified Separation Taxes under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this Agreement shall pay such Tax-Related Losses to Illumina (if such responsible Party is GRAIL) or GRAIL (if such responsible Party is Illumina) within ten (10) Business Days after written demand therefor, accompanied by evidence of payment and a statement detailing the amounts paid and describing in reasonable detail the particulars relating thereto. Notwithstanding the foregoing, if Illumina or GRAIL disputes in good faith the fact or the amount of its obligation hereunder, then no payment of the amount in dispute shall be required until any such good faith dispute is resolved;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amount not paid by the due date otherwise provided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bear interest from such due date computed at the Interest Rate with respect to such due date or the maximum rate permitted by Law, whichever is less.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8" w:right="479" w:bottom="1440" w:gutter="0" w:footer="0" w:header="0"/>
        </w:sectPr>
      </w:pPr>
    </w:p>
    <w:bookmarkStart w:id="102" w:name="page103"/>
    <w:bookmarkEnd w:id="102"/>
    <w:p>
      <w:pPr>
        <w:jc w:val="both"/>
        <w:ind w:right="100" w:firstLine="987"/>
        <w:spacing w:after="0" w:line="289" w:lineRule="auto"/>
        <w:tabs>
          <w:tab w:leader="none" w:pos="1246" w:val="left"/>
        </w:tabs>
        <w:numPr>
          <w:ilvl w:val="0"/>
          <w:numId w:val="8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indemnification payments under this Agreement shall be made by Illumina directly to GRAIL and by GRAIL directly to Illumina;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 the Parties mutually agree for administrative convenience with respect to any such indemnification payment, any member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Illumina Group, on the one hand, may make such indemnification payment to any member of the GRAIL Group, on the other hand, and vice versa.</w:t>
      </w:r>
    </w:p>
    <w:p>
      <w:pPr>
        <w:spacing w:after="0" w:line="15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 Tax Refunds. </w:t>
      </w:r>
      <w:r>
        <w:rPr>
          <w:rFonts w:ascii="Times New Roman" w:cs="Times New Roman" w:eastAsia="Times New Roman" w:hAnsi="Times New Roman"/>
          <w:sz w:val="18"/>
          <w:szCs w:val="18"/>
          <w:color w:val="auto"/>
        </w:rPr>
        <w:t>Illumina shall be entitled to any refund (and any interest thereon received from the applicable Tax Authority)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Taxes for which Illumina is liable hereunder and any other payment from a Tax Authority in respect of a Tax Return that Illumina is required to file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GRAIL shall be entitled to any refund (and any interest thereon received from the applicable Tax Authority) of Taxes for which GRAIL is liable hereunder and any other payment from a Tax Authority in respect of a Tax Return that GRAIL is required to file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a Party that receives a refund or other amount pays over to the other Party such refund or other amount in accordance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Party entitled to such refund or other amount shall, upon request of the Party that received such refund or other amount, repay such refund or other amount to the Party that received such refund or other amount in the event that the Party that received such refund or other amount is required to repay such refund or other amount to the applicable Tax Authority.</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6. Intended Tax Treatment.</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6.01. Restrictions on Members of the GRAIL Group.</w:t>
      </w:r>
    </w:p>
    <w:p>
      <w:pPr>
        <w:spacing w:after="0" w:line="227" w:lineRule="exact"/>
        <w:rPr>
          <w:sz w:val="20"/>
          <w:szCs w:val="20"/>
          <w:color w:val="auto"/>
        </w:rPr>
      </w:pPr>
    </w:p>
    <w:p>
      <w:pPr>
        <w:jc w:val="both"/>
        <w:ind w:right="60" w:firstLine="987"/>
        <w:spacing w:after="0" w:line="266" w:lineRule="auto"/>
        <w:tabs>
          <w:tab w:leader="none" w:pos="1246" w:val="left"/>
        </w:tabs>
        <w:numPr>
          <w:ilvl w:val="0"/>
          <w:numId w:val="8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GRAIL will not, and will not permit any other member of the GRAIL Group to, take or fail to take, as applicable, (i) any action where such action or failure to act would be inconsistent with or cause to be untrue any statement, information, covenant or representation in the Tax Materials or (ii) any action where such action or failure to act could reasonably be expected to adversely affect any Intended Tax Treatment.</w:t>
      </w:r>
    </w:p>
    <w:p>
      <w:pPr>
        <w:spacing w:after="0" w:line="175" w:lineRule="exact"/>
        <w:rPr>
          <w:rFonts w:ascii="Times New Roman" w:cs="Times New Roman" w:eastAsia="Times New Roman" w:hAnsi="Times New Roman"/>
          <w:sz w:val="18"/>
          <w:szCs w:val="18"/>
          <w:i w:val="1"/>
          <w:iCs w:val="1"/>
          <w:color w:val="auto"/>
        </w:rPr>
      </w:pPr>
    </w:p>
    <w:p>
      <w:pPr>
        <w:ind w:left="1240" w:hanging="253"/>
        <w:spacing w:after="0"/>
        <w:tabs>
          <w:tab w:leader="none" w:pos="1240" w:val="left"/>
        </w:tabs>
        <w:numPr>
          <w:ilvl w:val="0"/>
          <w:numId w:val="8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GRAIL and each other member of the GRAIL Group agrees that, from the Distribution Date until the first Business Day after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two-year anniversary of the Distribution Date:</w:t>
      </w:r>
    </w:p>
    <w:p>
      <w:pPr>
        <w:spacing w:after="0" w:line="99" w:lineRule="exact"/>
        <w:rPr>
          <w:sz w:val="20"/>
          <w:szCs w:val="20"/>
          <w:color w:val="auto"/>
        </w:rPr>
      </w:pPr>
    </w:p>
    <w:p>
      <w:pPr>
        <w:ind w:left="1600" w:hanging="212"/>
        <w:spacing w:after="0"/>
        <w:tabs>
          <w:tab w:leader="none" w:pos="16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GRAIL will continue and cause to be continued the GRAIL ATB by the GRAIL SAG;</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76" w:lineRule="auto"/>
        <w:tabs>
          <w:tab w:leader="none" w:pos="1646"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GRAIL will not enter into any Proposed Acquisition Transaction or, to the extent GRAIL or any other member of the GRAIL Group has the right to prohibit any Proposed Acquisition Transaction, permit any Proposed Acquisition Transaction to occur (whether by</w:t>
      </w:r>
    </w:p>
    <w:p>
      <w:pPr>
        <w:ind w:left="980" w:right="40" w:firstLine="7"/>
        <w:spacing w:after="0" w:line="253" w:lineRule="auto"/>
        <w:tabs>
          <w:tab w:leader="none" w:pos="127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redeeming rights under a shareholder rights plan, (B) finding a tender offer to be a “permitted offer” under any such plan or otherwise causing any such plan to be inapplicable or neutralized with respect to any Proposed Acquisition Transaction, (C) approving any Proposed Acquisition Transaction, whether for purposes of Section 203 of the General Corporation Law of the State of Delaware or any similar corporate statute, any “fair price” or other provision of the charter or bylaws of GRAIL, (D) amending its certificate of incorporation to declassify its board of directors or approving any such amendment or (E) otherwise);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03" w:name="page104"/>
    <w:bookmarkEnd w:id="103"/>
    <w:p>
      <w:pPr>
        <w:ind w:left="980" w:right="100" w:firstLine="408"/>
        <w:spacing w:after="0" w:line="282" w:lineRule="auto"/>
        <w:tabs>
          <w:tab w:leader="none" w:pos="16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GRAIL will not, nor will it agree to, merge, consolidate or amalgamate with any other Person, unless, in the case of a merger or consolidation, GRAIL is the survivor of the merger or consolidation;</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54" w:lineRule="auto"/>
        <w:tabs>
          <w:tab w:leader="none" w:pos="16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GRAIL will not in a single transaction or series of transactions sell, transfer or otherwise dispose of (including any transaction treated for U.S. federal Income Tax purposes as a sale, transfer or disposition), or permit any other member of the GRAIL Group to sell, transfer or otherwise dispose of, thirty percent (30%) or more of the gross assets of the GRAIL ATB (such percentage to be measured based on fair market value as of the Distribution Date), in each case other than (A) sales, transfers or other dispositions of assets in the ordinary course of business, (B) any cash paid to acquire assets from an unrelated Person in an arm’s-length transaction, (C) any assets transferred to a Person that is disregarded as an entity separate from the transferor for U.S. federal Income Tax purposes, (D) any mandatory or optional repayment (or pre-payment) of any indebtedness of GRAIL or any member of the GRAIL Group or (E) any sales, transfers or other dispositions of assets within the GRAIL SAG;</w:t>
      </w:r>
    </w:p>
    <w:p>
      <w:pPr>
        <w:spacing w:after="0" w:line="83" w:lineRule="exact"/>
        <w:rPr>
          <w:rFonts w:ascii="Times New Roman" w:cs="Times New Roman" w:eastAsia="Times New Roman" w:hAnsi="Times New Roman"/>
          <w:sz w:val="18"/>
          <w:szCs w:val="18"/>
          <w:color w:val="auto"/>
        </w:rPr>
      </w:pPr>
    </w:p>
    <w:p>
      <w:pPr>
        <w:ind w:left="980" w:firstLine="408"/>
        <w:spacing w:after="0" w:line="258" w:lineRule="auto"/>
        <w:tabs>
          <w:tab w:leader="none" w:pos="16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GRAIL will not redeem or otherwise repurchase (directly or through an Affiliate) any stock, or rights to acquire stock, of GRAIL, except (A) to the extent such repurchases are Specified Repurchases or Redemptions (without regard to the proviso in the definition of “Specified Repurchases or Redemptions”), provided that there is no plan or intention that the aggregate amount of stock repurchases will equal or exceed 20 percent of the outstanding stock of GRAIL, (B) to the extent reasonably necessary to pay the total tax liability arising from the vesting of a GRAIL Equity Award, or (C) through a net exercise of a GRAIL Equity Award;</w:t>
      </w:r>
    </w:p>
    <w:p>
      <w:pPr>
        <w:spacing w:after="0" w:line="75"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GRAIL will not amend, or permit any other member of the GRAIL Group to amend, its certificate of incorporation (or other organizational documents), or take any other action, whether through a stockholder vote or otherwise, affecting the voting rights of Capital Stock of GRAIL (including, without limitation, through the conversion of one class of Capital Stock of GRAIL into another class of Capital Stock of GRAIL); and</w:t>
      </w:r>
    </w:p>
    <w:p>
      <w:pPr>
        <w:spacing w:after="0" w:line="71" w:lineRule="exact"/>
        <w:rPr>
          <w:rFonts w:ascii="Times New Roman" w:cs="Times New Roman" w:eastAsia="Times New Roman" w:hAnsi="Times New Roman"/>
          <w:sz w:val="18"/>
          <w:szCs w:val="18"/>
          <w:color w:val="auto"/>
        </w:rPr>
      </w:pPr>
    </w:p>
    <w:p>
      <w:pPr>
        <w:jc w:val="both"/>
        <w:ind w:left="980" w:firstLine="408"/>
        <w:spacing w:after="0" w:line="261" w:lineRule="auto"/>
        <w:tabs>
          <w:tab w:leader="none" w:pos="17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GRAIL will not take, or permit any other member of the GRAIL Group to take, any other action or actions (including any action or transaction that would be reasonably likely to be inconsistent with any representation made in the Tax Materials) which in the aggregate (and taking into account any other transactions described in this subparagraph (b)) would reasonably be expected to result in a failure to preserve any Intended Tax Treatment;</w:t>
      </w:r>
    </w:p>
    <w:p>
      <w:pPr>
        <w:spacing w:after="0" w:line="178"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 in each case, prior to taking any such action set forth in the foregoing clauses (i) through (vii), (A) Illumina shall have obtained a Post-Distribution Ruling, (B) Illumina shall have obtained an Unqualified Tax Opinion in form and substance satisfactory to Illumina in its reasonable discretion or (C) Illumina shall have waived the requirement to obtain such Post-Distribution Ruling or Unqualified Tax Opinion. In determining whether any Post-Distribution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04" w:name="page105"/>
    <w:bookmarkEnd w:id="10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Ruling or Unqualified Tax Opinion is in form and substance satisfactory to Illumina in its reasonable discretion, Illumina (I) may consider, among other factors, the appropriateness of any underlying assumptions and management’s representations used as a basis for such Post-Distribution Ruling or Unqualified Tax Opinion and Illumina’s views on the substantive merits of the legal analysis contained therein, and (II) must exercise such discretion in good faith solely to preserve the Intended Tax Treatment.</w:t>
      </w:r>
    </w:p>
    <w:p>
      <w:pPr>
        <w:spacing w:after="0" w:line="17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Section 6.02. Restrictions on Members of the Illumina Group</w:t>
      </w:r>
      <w:r>
        <w:rPr>
          <w:rFonts w:ascii="Times New Roman" w:cs="Times New Roman" w:eastAsia="Times New Roman" w:hAnsi="Times New Roman"/>
          <w:sz w:val="18"/>
          <w:szCs w:val="18"/>
          <w:color w:val="auto"/>
        </w:rPr>
        <w:t>. Illumina will not, and will not permit any other member of the Illumina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to, take or fail to take, as applicable, any action where such action or failure to act would be inconsistent with or cause to be untrue any statement, information, covenant or representation in the Tax Materials. Illumina agrees that it will not take or fail to take, or permit any member of the Illumina Group, as the case may be, to take or fail to take, any action where such action or failure to act could reasonably be expected to adversely affect any Intended Tax Treatment.</w:t>
      </w:r>
    </w:p>
    <w:p>
      <w:pPr>
        <w:spacing w:after="0" w:line="18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Section 6.03. Tax Opinions</w:t>
      </w:r>
      <w:r>
        <w:rPr>
          <w:rFonts w:ascii="Times New Roman" w:cs="Times New Roman" w:eastAsia="Times New Roman" w:hAnsi="Times New Roman"/>
          <w:sz w:val="18"/>
          <w:szCs w:val="18"/>
          <w:color w:val="auto"/>
        </w:rPr>
        <w:t>. The Parties shall use their best efforts to cause the Illumina Tax Opinion to be issued, including by executing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Representation Letters reasonably requested in connection with the Illumina Tax Opinion;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Party shall have been provided with a reasonable opportunity to review, comment and consent to the content of any Representation Letter to be executed by it (such consent not to be unreasonably withheld, conditioned or delayed).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6.04. Procedures Regarding Opinions and Post-Distribution Rulings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80" w:firstLine="987"/>
        <w:spacing w:after="0" w:line="253" w:lineRule="auto"/>
        <w:tabs>
          <w:tab w:leader="none" w:pos="1246" w:val="left"/>
        </w:tabs>
        <w:numPr>
          <w:ilvl w:val="0"/>
          <w:numId w:val="9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If GRAIL notifies Illumina that it desires to take one of the actions described in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of this Agreement (a “</w:t>
      </w:r>
      <w:r>
        <w:rPr>
          <w:rFonts w:ascii="Times New Roman" w:cs="Times New Roman" w:eastAsia="Times New Roman" w:hAnsi="Times New Roman"/>
          <w:sz w:val="18"/>
          <w:szCs w:val="18"/>
          <w:b w:val="1"/>
          <w:bCs w:val="1"/>
          <w:i w:val="1"/>
          <w:iCs w:val="1"/>
          <w:color w:val="auto"/>
        </w:rPr>
        <w:t>Notified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Action</w:t>
      </w:r>
      <w:r>
        <w:rPr>
          <w:rFonts w:ascii="Times New Roman" w:cs="Times New Roman" w:eastAsia="Times New Roman" w:hAnsi="Times New Roman"/>
          <w:sz w:val="18"/>
          <w:szCs w:val="18"/>
          <w:color w:val="auto"/>
        </w:rPr>
        <w:t>”), Illumina shall cooperate with GRAIL in good faith and use its commercially reasonable efforts to seek to obtain a Post-Distribution Ruling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Unqualified Tax Opinion for the purpose of permitting GRAIL to take the Notified Action unless Illumina shall have waived the requirement (in Illumina’s sole discretion) to obtain such Post-Distribution Ruling or Unqualified Tax Opinion. If such a Post-Distribution Ruling is to be sought, Illumina shall apply for such Post-Distribution Ruling, and Illumina and GRAIL shall jointly control the process of obtaining such Post-Distribution Ruling. In no event shall Illumina be required to file any request for a Post-Distribution Ruling under this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unless GRAIL represents that all information and representations, if any, relating to any member of the GRAIL Group, contained in such request documents are (subject to any qualifications therein) true, correct and complete and obtains certification from any counterparty to any Proposed Acquisition Transaction that all information and representations relating to such counterparty in such request documents are (subject to any qualifications therein) true, correct and complete. GRAIL shall reimburse Illumina for all reasonable costs and expenses incurred by the Illumina Group in connection with such cooperation within ten (10) Business Days after receiving an invoice from Illumina therefor, accompanied by evidence of payment and a statement detailing the amounts paid and describing in reasonable detail the particulars relating thereto.</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05" w:name="page106"/>
    <w:bookmarkEnd w:id="105"/>
    <w:p>
      <w:pPr>
        <w:ind w:left="-20" w:right="40" w:firstLine="987"/>
        <w:spacing w:after="0" w:line="255" w:lineRule="auto"/>
        <w:tabs>
          <w:tab w:leader="none" w:pos="1226" w:val="left"/>
        </w:tabs>
        <w:numPr>
          <w:ilvl w:val="0"/>
          <w:numId w:val="9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Illumina shall have the right to obtain a Post-Distribution Ruling or tax opinion at any time in its sole and absolute discretion. If Illumina determines to obtain such a Post-Distribution Ruling or tax opinion, Illumina shall have exclusive control over the process and GRAIL shall (and shall cause its Affiliates to) cooperate with Illumina and take any and all actions reasonably requested by Illumina in connection with obtaining the Post-Distribution Ruling or tax opinion (including, without limitation, by making any reasonable representation or covenant or providing any materials or information requested by the IRS or any Tax Advisor). Illumina shall reimburse GRAIL for all reasonable costs and expenses incurred by the GRAIL Group in connection with such cooperation within ten (10) Business Days after receiving an invoice from GRAIL therefor, accompanied by evidence of payment and a statement detailing the amounts paid and describing in reasonable detail the particulars relating thereto.</w:t>
      </w:r>
    </w:p>
    <w:p>
      <w:pPr>
        <w:spacing w:after="0" w:line="188" w:lineRule="exact"/>
        <w:rPr>
          <w:rFonts w:ascii="Times New Roman" w:cs="Times New Roman" w:eastAsia="Times New Roman" w:hAnsi="Times New Roman"/>
          <w:sz w:val="18"/>
          <w:szCs w:val="18"/>
          <w:i w:val="1"/>
          <w:iCs w:val="1"/>
          <w:color w:val="auto"/>
        </w:rPr>
      </w:pPr>
    </w:p>
    <w:p>
      <w:pPr>
        <w:ind w:left="-20" w:firstLine="987"/>
        <w:spacing w:after="0" w:line="261" w:lineRule="auto"/>
        <w:tabs>
          <w:tab w:leader="none" w:pos="1216" w:val="left"/>
        </w:tabs>
        <w:numPr>
          <w:ilvl w:val="0"/>
          <w:numId w:val="9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Following the Effective Time, GRAIL shall not, nor shall GRAIL permit any of its Affiliates to, seek any guidance from the IRS or any other Tax Authority (whether written, verbal or otherwise) at any time concerning the Separation (including the impact of any transaction on any Intended Tax Treatment) or a Pre-Distribution Period without obtaining Illumina’s prior written consent, such consent not to be unreasonably withheld, conditioned or delayed.</w:t>
      </w:r>
    </w:p>
    <w:p>
      <w:pPr>
        <w:spacing w:after="0" w:line="17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Section 6.05. Liability for Specified Separation Taxes and Tax-Related Losses.</w:t>
      </w:r>
    </w:p>
    <w:p>
      <w:pPr>
        <w:spacing w:after="0" w:line="227" w:lineRule="exact"/>
        <w:rPr>
          <w:sz w:val="20"/>
          <w:szCs w:val="20"/>
          <w:color w:val="auto"/>
        </w:rPr>
      </w:pPr>
    </w:p>
    <w:p>
      <w:pPr>
        <w:ind w:left="-20" w:right="480" w:firstLine="987"/>
        <w:spacing w:after="0" w:line="282" w:lineRule="auto"/>
        <w:tabs>
          <w:tab w:leader="none" w:pos="1226" w:val="left"/>
        </w:tabs>
        <w:numPr>
          <w:ilvl w:val="0"/>
          <w:numId w:val="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event that Specified Separation Taxes become due and payable to a Tax Authority pursuant to a Final Determination, then, notwithstanding anything to the contrary in this Agreement:</w:t>
      </w:r>
    </w:p>
    <w:p>
      <w:pPr>
        <w:spacing w:after="0" w:line="53" w:lineRule="exact"/>
        <w:rPr>
          <w:rFonts w:ascii="Times New Roman" w:cs="Times New Roman" w:eastAsia="Times New Roman" w:hAnsi="Times New Roman"/>
          <w:sz w:val="18"/>
          <w:szCs w:val="18"/>
          <w:i w:val="1"/>
          <w:iCs w:val="1"/>
          <w:color w:val="auto"/>
        </w:rPr>
      </w:pPr>
    </w:p>
    <w:p>
      <w:pPr>
        <w:ind w:left="960" w:right="160" w:firstLine="408"/>
        <w:spacing w:after="0" w:line="282" w:lineRule="auto"/>
        <w:tabs>
          <w:tab w:leader="none" w:pos="157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Specified Separation Taxes are attributable to a GRAIL Disqualifying Act, then GRAIL shall be allocated such Specified Separation Taxes and corresponding Tax-Related Losses;</w:t>
      </w:r>
    </w:p>
    <w:p>
      <w:pPr>
        <w:spacing w:after="0" w:line="53" w:lineRule="exact"/>
        <w:rPr>
          <w:rFonts w:ascii="Times New Roman" w:cs="Times New Roman" w:eastAsia="Times New Roman" w:hAnsi="Times New Roman"/>
          <w:sz w:val="18"/>
          <w:szCs w:val="18"/>
          <w:color w:val="auto"/>
        </w:rPr>
      </w:pPr>
    </w:p>
    <w:p>
      <w:pPr>
        <w:ind w:left="960" w:right="620" w:firstLine="408"/>
        <w:spacing w:after="0" w:line="282" w:lineRule="auto"/>
        <w:tabs>
          <w:tab w:leader="none" w:pos="162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Specified Separation Taxes are attributable to an Illumina Disqualifying Act, then Illumina shall be allocated such Specified Separation Taxes and corresponding Tax-Related Losses;</w:t>
      </w:r>
    </w:p>
    <w:p>
      <w:pPr>
        <w:spacing w:after="0" w:line="53" w:lineRule="exact"/>
        <w:rPr>
          <w:rFonts w:ascii="Times New Roman" w:cs="Times New Roman" w:eastAsia="Times New Roman" w:hAnsi="Times New Roman"/>
          <w:sz w:val="18"/>
          <w:szCs w:val="18"/>
          <w:color w:val="auto"/>
        </w:rPr>
      </w:pPr>
    </w:p>
    <w:p>
      <w:pPr>
        <w:jc w:val="both"/>
        <w:ind w:left="960" w:right="160" w:firstLine="408"/>
        <w:spacing w:after="0" w:line="261" w:lineRule="auto"/>
        <w:tabs>
          <w:tab w:leader="none" w:pos="167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Specified Separation Taxes are attributable to both a GRAIL Disqualifying Act and an Illumina Disqualifying Act, then such Specified Separation Taxes and corresponding Tax-Related Losses shall be allocated between Illumina and GRAIL in proportion to the relative contribution of the members of the Illumina Group, one the one hand, and the members of the GRAIL Group, on the other hand, to the circumstances giving rise to such Specified Separation Taxes; and</w:t>
      </w:r>
    </w:p>
    <w:p>
      <w:pPr>
        <w:spacing w:after="0" w:line="71" w:lineRule="exact"/>
        <w:rPr>
          <w:rFonts w:ascii="Times New Roman" w:cs="Times New Roman" w:eastAsia="Times New Roman" w:hAnsi="Times New Roman"/>
          <w:sz w:val="18"/>
          <w:szCs w:val="18"/>
          <w:color w:val="auto"/>
        </w:rPr>
      </w:pPr>
    </w:p>
    <w:p>
      <w:pPr>
        <w:ind w:left="960" w:right="280" w:firstLine="408"/>
        <w:spacing w:after="0" w:line="282" w:lineRule="auto"/>
        <w:tabs>
          <w:tab w:leader="none" w:pos="166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Specified Separation Taxes are not attributable to either a GRAIL Disqualifying Act or an Illumina Disqualifying Act, then Illumina shall be allocated such Specified Separation Taxes and corresponding Tax-Related Losses.</w:t>
      </w:r>
    </w:p>
    <w:p>
      <w:pPr>
        <w:spacing w:after="0" w:line="161"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26" w:val="left"/>
        </w:tabs>
        <w:numPr>
          <w:ilvl w:val="0"/>
          <w:numId w:val="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GRAIL shall pay Illumina the amount of any Specified Separation Taxes for which GRAIL is responsible under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as a result of a Final Determination no later than two (2) Business Days after the date such Specified Separation Taxes are determined as a result of a Final Determination to be due.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70" w:right="459" w:bottom="1440" w:gutter="0" w:footer="0" w:header="0"/>
        </w:sectPr>
      </w:pPr>
    </w:p>
    <w:bookmarkStart w:id="106" w:name="page107"/>
    <w:bookmarkEnd w:id="106"/>
    <w:p>
      <w:pPr>
        <w:ind w:left="4" w:right="6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6.06. Planned Acquisitions</w:t>
      </w:r>
      <w:r>
        <w:rPr>
          <w:rFonts w:ascii="Times New Roman" w:cs="Times New Roman" w:eastAsia="Times New Roman" w:hAnsi="Times New Roman"/>
          <w:sz w:val="18"/>
          <w:szCs w:val="18"/>
          <w:color w:val="auto"/>
        </w:rPr>
        <w:t>. Illumina hereby represents and warrants to GRAIL that (i) the Planned Acquisitions have not and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result in an acquisition of more than 27.6% of either the total combined value or voting power of all outstanding shares of Capital Stock of GRAIL determined as of the Distribution Date, and (ii) other than the Planned Acquisitions, there have not been any direct or indirect acquisitions of Capital Stock of GRAIL that may be treated as part of a “plan” or “series of related transactions” with the Distribution for purposes of Section 355(e) of the Code.</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Section 7. Assistance and Cooperation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Section 7.01. Assistance and Cooperation.</w:t>
      </w:r>
    </w:p>
    <w:p>
      <w:pPr>
        <w:spacing w:after="0" w:line="227" w:lineRule="exact"/>
        <w:rPr>
          <w:sz w:val="20"/>
          <w:szCs w:val="20"/>
          <w:color w:val="auto"/>
        </w:rPr>
      </w:pPr>
    </w:p>
    <w:p>
      <w:pPr>
        <w:ind w:left="4" w:right="120" w:firstLine="987"/>
        <w:spacing w:after="0" w:line="276" w:lineRule="auto"/>
        <w:tabs>
          <w:tab w:leader="none" w:pos="1250" w:val="left"/>
        </w:tabs>
        <w:numPr>
          <w:ilvl w:val="1"/>
          <w:numId w:val="9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Parties shall cooperate (and cause their respective Affiliates to cooperate) with each other and with each other’s agents, including accounting firms and legal counsel, as reasonably requested in connection with Tax matters relating to the Parties and their Affiliates, including</w:t>
      </w:r>
    </w:p>
    <w:p>
      <w:pPr>
        <w:ind w:left="4" w:hanging="4"/>
        <w:spacing w:after="0" w:line="252" w:lineRule="auto"/>
        <w:tabs>
          <w:tab w:leader="none" w:pos="2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preparation and filing of Tax Returns, (ii) determining the liability for and amount of any Taxes due (including estimated Taxes) or the right to and amount of any refund of Taxes, (iii) examinations of Tax Returns and (iv) any administrative or judicial proceeding in respect of Taxes assessed or proposed to be assessed. Such cooperation shall include making all information and documents in their possession relating to any other Party and its Affiliates reasonably available to such other Party as provided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Each of the Parties shall also make available to any other Party, as reasonably requested and available, personnel (including officers, directors, employees and agents of the Parties or their respective Affiliates) responsible for preparing, maintaining, and interpreting information and documents relevant to Taxes, and personnel reasonably required as witnesses or for purposes of providing information or documents in connection with any administrative or judicial proceedings relating to Taxes.</w:t>
      </w:r>
    </w:p>
    <w:p>
      <w:pPr>
        <w:spacing w:after="0" w:line="188"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9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Any information or documents provided under this Agreement shall be kept confidential by the Party receiving the information or documents, except to the extent otherwise necessary in connection with the filing of Tax Returns or in connection with any administrative or judicial proceedings relating to Taxes. In addition, in the event that Illumina determines that the provision of any information or documents to GRAIL or any GRAIL Affiliate, or GRAIL determines that the provision of any information or documents to Illumina or any Illumina Affiliate, could be commercially detrimental, violate any Law or agreement or waive any Privilege, the Parties shall use commercially reasonable efforts to permit each other’s compliance with its obligations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 a manner that avoids any such harm or consequence.</w:t>
      </w:r>
    </w:p>
    <w:p>
      <w:pPr>
        <w:spacing w:after="0" w:line="185" w:lineRule="exact"/>
        <w:rPr>
          <w:rFonts w:ascii="Times New Roman" w:cs="Times New Roman" w:eastAsia="Times New Roman" w:hAnsi="Times New Roman"/>
          <w:sz w:val="18"/>
          <w:szCs w:val="18"/>
          <w:i w:val="1"/>
          <w:iCs w:val="1"/>
          <w:color w:val="auto"/>
        </w:rPr>
      </w:pPr>
    </w:p>
    <w:p>
      <w:pPr>
        <w:ind w:left="4" w:right="20" w:firstLine="987"/>
        <w:spacing w:after="0" w:line="273" w:lineRule="auto"/>
        <w:tabs>
          <w:tab w:leader="none" w:pos="1240" w:val="left"/>
        </w:tabs>
        <w:numPr>
          <w:ilvl w:val="1"/>
          <w:numId w:val="9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Tax Return Information</w:t>
      </w:r>
      <w:r>
        <w:rPr>
          <w:rFonts w:ascii="Times New Roman" w:cs="Times New Roman" w:eastAsia="Times New Roman" w:hAnsi="Times New Roman"/>
          <w:sz w:val="17"/>
          <w:szCs w:val="17"/>
          <w:color w:val="auto"/>
        </w:rPr>
        <w:t>. Each of Illumina and GRAIL, and each member of their respective Groups, acknowledges that time is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essence in relation to any request for information, assistance or cooperation made pursuant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Each of Illumina and GRAIL, and each member of their respective Groups, acknowledges that failure to conform to the reasonable deadlines set by the Party making such request could cause irreparable harm. Each Party shall provide to the other Party information and documents relating to its Group reasonably required by the other Party to prepare Tax Returns, including any pro forma returns required by the Responsible Party for purposes of preparing such Tax Returns. Any information or documents the Responsible Party requires to prepare such Tax Returns shall be provided in such form as the Responsible Party reasonably requests and at or prior to the time reasonably specified by the Responsible Party so as to enable the Responsible Party to file such Tax Returns on a timely basis.</w:t>
      </w:r>
    </w:p>
    <w:p>
      <w:pPr>
        <w:spacing w:after="0" w:line="10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68" w:right="479" w:bottom="1440" w:gutter="0" w:footer="0" w:header="0"/>
        </w:sectPr>
      </w:pPr>
    </w:p>
    <w:bookmarkStart w:id="107" w:name="page108"/>
    <w:bookmarkEnd w:id="107"/>
    <w:p>
      <w:pPr>
        <w:ind w:left="4" w:firstLine="987"/>
        <w:spacing w:after="0" w:line="255" w:lineRule="auto"/>
        <w:tabs>
          <w:tab w:leader="none" w:pos="1250" w:val="left"/>
        </w:tabs>
        <w:numPr>
          <w:ilvl w:val="0"/>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Reliance by Illumina</w:t>
      </w:r>
      <w:r>
        <w:rPr>
          <w:rFonts w:ascii="Times New Roman" w:cs="Times New Roman" w:eastAsia="Times New Roman" w:hAnsi="Times New Roman"/>
          <w:sz w:val="18"/>
          <w:szCs w:val="18"/>
          <w:color w:val="auto"/>
        </w:rPr>
        <w:t>. If any member of the GRAIL Group supplies information to a member of the Illumina Group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Tax liability and an officer of a member of the Illumina Group signs a statement or other document under penalties of perjury in reliance upon the accuracy of such information, then upon the written request of such member of the Illumina Group identifying the information being so relied upon, the chief financial officer of GRAIL (or any officer of GRAIL as designated by the chief financial officer of GRAIL) shall certify in writing that to his or her knowledge (based upon consultation with appropriate employees) the information so supplied is accurate and complete. GRAIL agrees to indemnify and hold harmless each member of the Illumina Group and its directors, officers and employees from and against any fine, penalty or other cost or expense of any kind attributable to a member of the GRAIL Group having supplied,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 member of the Illumina Group with inaccurate or incomplete information in connection with a Tax liability.</w:t>
      </w:r>
    </w:p>
    <w:p>
      <w:pPr>
        <w:spacing w:after="0" w:line="184" w:lineRule="exact"/>
        <w:rPr>
          <w:rFonts w:ascii="Times New Roman" w:cs="Times New Roman" w:eastAsia="Times New Roman" w:hAnsi="Times New Roman"/>
          <w:sz w:val="18"/>
          <w:szCs w:val="18"/>
          <w:i w:val="1"/>
          <w:iCs w:val="1"/>
          <w:color w:val="auto"/>
        </w:rPr>
      </w:pPr>
    </w:p>
    <w:p>
      <w:pPr>
        <w:ind w:left="4" w:right="20" w:firstLine="987"/>
        <w:spacing w:after="0" w:line="255" w:lineRule="auto"/>
        <w:tabs>
          <w:tab w:leader="none" w:pos="1240" w:val="left"/>
        </w:tabs>
        <w:numPr>
          <w:ilvl w:val="0"/>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Reliance by GRAIL</w:t>
      </w:r>
      <w:r>
        <w:rPr>
          <w:rFonts w:ascii="Times New Roman" w:cs="Times New Roman" w:eastAsia="Times New Roman" w:hAnsi="Times New Roman"/>
          <w:sz w:val="18"/>
          <w:szCs w:val="18"/>
          <w:color w:val="auto"/>
        </w:rPr>
        <w:t>. If any member of the Illumina Group supplies information to a member of the GRAIL Group in connection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Tax liability and an officer of a member of the GRAIL Group signs a statement or other document under penalties of perjury in reliance upon the accuracy of such information, then upon the written request of such member of the GRAIL Group identifying the information being so relied upon, the chief financial officer of Illumina (or any officer of Illumina as designated by the chief financial officer of Illumina) shall certify in writing that to his or her knowledge (based upon consultation with appropriate employees) the information so supplied is accurate and complete. Illumina agrees to indemnify and hold harmless each member of the GRAIL Group and its directors, officers and employees from and against any fine, penalty or other cost or expense of any kind attributable to a member of the Illumina Group having supplied,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 member of the GRAIL Group with inaccurate or incomplete information in connection with a Tax liability.</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Section 8. Tax Records.</w:t>
      </w:r>
    </w:p>
    <w:p>
      <w:pPr>
        <w:spacing w:after="0" w:line="227" w:lineRule="exact"/>
        <w:rPr>
          <w:sz w:val="20"/>
          <w:szCs w:val="20"/>
          <w:color w:val="auto"/>
        </w:rPr>
      </w:pPr>
    </w:p>
    <w:p>
      <w:pPr>
        <w:ind w:left="4" w:right="180" w:firstLine="991"/>
        <w:spacing w:after="0" w:line="256" w:lineRule="auto"/>
        <w:rPr>
          <w:sz w:val="20"/>
          <w:szCs w:val="20"/>
          <w:color w:val="auto"/>
        </w:rPr>
      </w:pPr>
      <w:r>
        <w:rPr>
          <w:rFonts w:ascii="Times New Roman" w:cs="Times New Roman" w:eastAsia="Times New Roman" w:hAnsi="Times New Roman"/>
          <w:sz w:val="18"/>
          <w:szCs w:val="18"/>
          <w:i w:val="1"/>
          <w:iCs w:val="1"/>
          <w:color w:val="auto"/>
        </w:rPr>
        <w:t>Section 8.01. Retention of Tax Records</w:t>
      </w:r>
      <w:r>
        <w:rPr>
          <w:rFonts w:ascii="Times New Roman" w:cs="Times New Roman" w:eastAsia="Times New Roman" w:hAnsi="Times New Roman"/>
          <w:sz w:val="18"/>
          <w:szCs w:val="18"/>
          <w:color w:val="auto"/>
        </w:rPr>
        <w:t>. Each of Illumina and GRAIL shall preserve and keep all Tax Records exclusively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activities of its Group for Pre-Distribution Periods, and Illumina shall preserve and keep all other Tax Records relating to Taxes of the Illumina and GRAIL Groups for Pre-Distribution Periods, for so long as the contents thereof may be or become material in the administration of any matter under the Code or other applicable Tax Law, but in any event until the later of (i) the expiration of any applicable statutes of limitations, or</w:t>
      </w:r>
    </w:p>
    <w:p>
      <w:pPr>
        <w:spacing w:after="0" w:line="1" w:lineRule="exact"/>
        <w:rPr>
          <w:sz w:val="20"/>
          <w:szCs w:val="20"/>
          <w:color w:val="auto"/>
        </w:rPr>
      </w:pPr>
    </w:p>
    <w:p>
      <w:pPr>
        <w:ind w:left="4" w:right="40" w:hanging="4"/>
        <w:spacing w:after="0" w:line="253" w:lineRule="auto"/>
        <w:tabs>
          <w:tab w:leader="none" w:pos="26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years after the Distribution Date (such later date, the “</w:t>
      </w:r>
      <w:r>
        <w:rPr>
          <w:rFonts w:ascii="Times New Roman" w:cs="Times New Roman" w:eastAsia="Times New Roman" w:hAnsi="Times New Roman"/>
          <w:sz w:val="18"/>
          <w:szCs w:val="18"/>
          <w:b w:val="1"/>
          <w:bCs w:val="1"/>
          <w:i w:val="1"/>
          <w:iCs w:val="1"/>
          <w:color w:val="auto"/>
        </w:rPr>
        <w:t>Retention Date</w:t>
      </w:r>
      <w:r>
        <w:rPr>
          <w:rFonts w:ascii="Times New Roman" w:cs="Times New Roman" w:eastAsia="Times New Roman" w:hAnsi="Times New Roman"/>
          <w:sz w:val="18"/>
          <w:szCs w:val="18"/>
          <w:color w:val="auto"/>
        </w:rPr>
        <w:t xml:space="preserve">”). After the Retention Date, each of Illumina and GRAIL may dispose of such Tax Records at any time prior to receiving written notice from the other Party that such other Party will take possession of such Tax Records. If, prior to the Retention Date, (a) Illumina or GRAIL reasonably determines that any Tax Records which it would otherwise be required to preserve and keep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are no longer material in the administration of any matter under the Code or other applicable Tax Law, then such first Party may dispose of such Tax Records upon sixty (60) Business Days’ prior notice to the other Party unless such Party receives</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68" w:right="499" w:bottom="1440" w:gutter="0" w:footer="0" w:header="0"/>
        </w:sectPr>
      </w:pPr>
    </w:p>
    <w:bookmarkStart w:id="108" w:name="page109"/>
    <w:bookmarkEnd w:id="108"/>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prior written notice from such other Party that it will take possession of such Tax Records. Any notice of an intent to dispose given pursuant to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include a list of the Tax Records to be disposed of describing in reasonable detail each file, book, or other record accumulation being disposed. A Party providing timely written notice that it intends to take possession of Tax Records pursuant to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have the opportunity, at its cost and expense, to copy or remove, within sixty (60) Business Days of providing such notification, all or any part of such Tax Records. If, at any time prior to the Retention Date, a Party or any of its Affiliates determines to decommission or otherwise discontinue any computer program or information technology system used to access or store any Tax Records, then such program or system may be decommissioned or discontinued upon ninety (90) Business Days’ prior notice to the other Party and the other Party shall have the opportunity, at its cost and expense, to copy, within such ninety (90) Business Day period, all or any part of the underlying data relating to the Tax Records accessed by or stored on such program or system.</w:t>
      </w:r>
    </w:p>
    <w:p>
      <w:pPr>
        <w:spacing w:after="0" w:line="186"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i w:val="1"/>
          <w:iCs w:val="1"/>
          <w:color w:val="auto"/>
        </w:rPr>
        <w:t>Section 8.02. Access to Tax Records</w:t>
      </w:r>
      <w:r>
        <w:rPr>
          <w:rFonts w:ascii="Times New Roman" w:cs="Times New Roman" w:eastAsia="Times New Roman" w:hAnsi="Times New Roman"/>
          <w:sz w:val="18"/>
          <w:szCs w:val="18"/>
          <w:color w:val="auto"/>
        </w:rPr>
        <w:t>. The Parties and their respective Affiliates shall make available to each other for inspection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copying during normal business hours upon reasonable notice all Tax Records (and, for the avoidance of doubt, any pertinent underlying data accessed or stored on any computer program or information technology system) in their possession pertaining to (i) in the case of any Tax Return of the Illumina Group, the portion of such return that relates to Taxes for which the GRAIL Group may be liable pursuant to this Agreement, if any, or (ii) in the case of any Tax Return of the GRAIL Group, the portion of such return that relates to Taxes for which the Illumina Group may be liable pursuant to this Agreement, if any, and shall permit the other Party and its Affiliates, authorized agents and representatives and any representative of a Tax Authority or other Tax auditor direct access, at the cost and expense of the requesting Party, during normal business hours upon reasonable notice to any computer program or information technology system used to access or store any Tax Records, in each case to the extent reasonably required by the other Party in connection with the preparation of Tax Returns or financial accounting statements, audits, litigation, or the resolution of items under this Agreement.</w:t>
      </w:r>
    </w:p>
    <w:p>
      <w:pPr>
        <w:spacing w:after="0" w:line="188"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Section 8.03. Preservation of Privilege</w:t>
      </w:r>
      <w:r>
        <w:rPr>
          <w:rFonts w:ascii="Times New Roman" w:cs="Times New Roman" w:eastAsia="Times New Roman" w:hAnsi="Times New Roman"/>
          <w:sz w:val="18"/>
          <w:szCs w:val="18"/>
          <w:color w:val="auto"/>
        </w:rPr>
        <w:t>. The Parties and their respective Affiliates shall not provide access to, copies of,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to any Person any documentation relating to Taxes existing prior to the Distribution Date to which Privilege may reasonably be asserted without the prior written consent of the other Party, such consent not to be unreasonably withheld, conditioned or delayed.</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9. Tax Contests.</w:t>
      </w:r>
    </w:p>
    <w:p>
      <w:pPr>
        <w:spacing w:after="0" w:line="227"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i w:val="1"/>
          <w:iCs w:val="1"/>
          <w:color w:val="auto"/>
        </w:rPr>
        <w:t>Section 9.01. Notice</w:t>
      </w:r>
      <w:r>
        <w:rPr>
          <w:rFonts w:ascii="Times New Roman" w:cs="Times New Roman" w:eastAsia="Times New Roman" w:hAnsi="Times New Roman"/>
          <w:sz w:val="18"/>
          <w:szCs w:val="18"/>
          <w:color w:val="auto"/>
        </w:rPr>
        <w:t>. Each Party shall provide prompt notice to the other Party of any written communication from a Tax Authority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any pending Tax audit, assessment or proceeding or other Tax Contest of which it becomes aware (i) related to Taxes for Tax Periods for which the other Party may reasonably be expected to be required to indemnify the receiving Party hereunder or for which the receiving Party may be required to indemnify the other Party hereunder, (ii) relating to a GRAIL Separate Return that could reasonably be expected to materially adversely affect any member of the Illumina Group or (iii) otherwise relating to the Intended Tax Treatment or the Separation (including the resolution of any Tax Contest relating thereto). Such notice shall attach copies of the pertinent portion of any written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09" w:name="page110"/>
    <w:bookmarkEnd w:id="10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communication from a Tax Authority and contain factual information (to the extent known) describing any asserted Tax liability in reasonable detail and shall be accompanied by copies of any notice and other documents received from any Tax Authority in respect of any such matters. A failure by an indemnified Party to give notice as provided in this Section 9.01 shall not relieve the indemnifying Party’s indemnification obligations under this Agreement, except to the extent that the Indemnifying Party is actually prejudiced by such failure.</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9.02. Control of Tax Contests.</w:t>
      </w:r>
    </w:p>
    <w:p>
      <w:pPr>
        <w:spacing w:after="0" w:line="225" w:lineRule="exact"/>
        <w:rPr>
          <w:sz w:val="20"/>
          <w:szCs w:val="20"/>
          <w:color w:val="auto"/>
        </w:rPr>
      </w:pPr>
    </w:p>
    <w:p>
      <w:pPr>
        <w:ind w:firstLine="987"/>
        <w:spacing w:after="0" w:line="261" w:lineRule="auto"/>
        <w:tabs>
          <w:tab w:leader="none" w:pos="1246" w:val="left"/>
        </w:tabs>
        <w:numPr>
          <w:ilvl w:val="0"/>
          <w:numId w:val="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Illumina Control</w:t>
      </w:r>
      <w:r>
        <w:rPr>
          <w:rFonts w:ascii="Times New Roman" w:cs="Times New Roman" w:eastAsia="Times New Roman" w:hAnsi="Times New Roman"/>
          <w:sz w:val="18"/>
          <w:szCs w:val="18"/>
          <w:color w:val="auto"/>
        </w:rPr>
        <w:t>. Notwithstanding anything in this Agreement to the contrary, Illumina shall have the exclusive right to control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Tax Contest with respect to any Tax matters relating to (i) a Joint Return, (ii) an Illumina Separate Return, (iii) Specified Separation Taxes and (iv) Other Separation Taxes. Subject to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 Illumina shall have absolute discretion with respect to any decisions to be made, or the nature of any action to be taken, with respect to any such Tax Contest.</w:t>
      </w:r>
    </w:p>
    <w:p>
      <w:pPr>
        <w:spacing w:after="0" w:line="179" w:lineRule="exact"/>
        <w:rPr>
          <w:rFonts w:ascii="Times New Roman" w:cs="Times New Roman" w:eastAsia="Times New Roman" w:hAnsi="Times New Roman"/>
          <w:sz w:val="18"/>
          <w:szCs w:val="18"/>
          <w:i w:val="1"/>
          <w:iCs w:val="1"/>
          <w:color w:val="auto"/>
        </w:rPr>
      </w:pPr>
    </w:p>
    <w:p>
      <w:pPr>
        <w:ind w:right="80" w:firstLine="987"/>
        <w:spacing w:after="0" w:line="267" w:lineRule="auto"/>
        <w:tabs>
          <w:tab w:leader="none" w:pos="1246" w:val="left"/>
        </w:tabs>
        <w:numPr>
          <w:ilvl w:val="0"/>
          <w:numId w:val="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GRAIL Control. </w:t>
      </w:r>
      <w:r>
        <w:rPr>
          <w:rFonts w:ascii="Times New Roman" w:cs="Times New Roman" w:eastAsia="Times New Roman" w:hAnsi="Times New Roman"/>
          <w:sz w:val="18"/>
          <w:szCs w:val="18"/>
          <w:color w:val="auto"/>
        </w:rPr>
        <w:t>Except as otherwise provided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GRAIL shall have the right to control any Tax Contest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any Tax matters relating to any GRAIL Separate Return. Subject to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 xml:space="preserve"> of this Agreement, GRAIL shall have absolute discretion with respect to any decisions to be made, or the nature of any action to be taken, with respect to any such Tax Contest.</w:t>
      </w:r>
    </w:p>
    <w:p>
      <w:pPr>
        <w:spacing w:after="0" w:line="173" w:lineRule="exact"/>
        <w:rPr>
          <w:rFonts w:ascii="Times New Roman" w:cs="Times New Roman" w:eastAsia="Times New Roman" w:hAnsi="Times New Roman"/>
          <w:sz w:val="18"/>
          <w:szCs w:val="18"/>
          <w:i w:val="1"/>
          <w:iCs w:val="1"/>
          <w:color w:val="auto"/>
        </w:rPr>
      </w:pPr>
    </w:p>
    <w:p>
      <w:pPr>
        <w:ind w:right="40" w:firstLine="987"/>
        <w:spacing w:after="0" w:line="252" w:lineRule="auto"/>
        <w:tabs>
          <w:tab w:leader="none" w:pos="1236" w:val="left"/>
        </w:tabs>
        <w:numPr>
          <w:ilvl w:val="0"/>
          <w:numId w:val="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Settlement Rights</w:t>
      </w:r>
      <w:r>
        <w:rPr>
          <w:rFonts w:ascii="Times New Roman" w:cs="Times New Roman" w:eastAsia="Times New Roman" w:hAnsi="Times New Roman"/>
          <w:sz w:val="18"/>
          <w:szCs w:val="18"/>
          <w:color w:val="auto"/>
        </w:rPr>
        <w:t>. The Controlling Party shall have the sole right to contest, litigate, compromise and settle any Tax Contest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obtaining the prior consent of the Non-Controlling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Tax Contest (i) could reasonably be expected to give rise to a claim for indemnity by the Controlling Party or its Affiliates against the Non-Controlling Party or its Affiliates under this Agreement, or (ii) could reasonably be expected to materially adversely affect any member of the other Party’s Group, then the Controlling Party shall not settle any such Tax Contest without the Non-Controlling Party’s prior written consent (which consent may not be unreasonably withheld, conditioned, or delayed). Subject to </w:t>
      </w:r>
      <w:r>
        <w:rPr>
          <w:rFonts w:ascii="Times New Roman" w:cs="Times New Roman" w:eastAsia="Times New Roman" w:hAnsi="Times New Roman"/>
          <w:sz w:val="18"/>
          <w:szCs w:val="18"/>
          <w:u w:val="single" w:color="auto"/>
          <w:color w:val="auto"/>
        </w:rPr>
        <w:t>Section 9.02(e)</w:t>
      </w:r>
      <w:r>
        <w:rPr>
          <w:rFonts w:ascii="Times New Roman" w:cs="Times New Roman" w:eastAsia="Times New Roman" w:hAnsi="Times New Roman"/>
          <w:sz w:val="18"/>
          <w:szCs w:val="18"/>
          <w:color w:val="auto"/>
        </w:rPr>
        <w:t xml:space="preserve"> of this Agreement, and unless waived by the Parties in writing, in connection with any potential adjustment in a Tax Contest as a result of which adjustment the Non-Controlling Party may reasonably be expected to become liable to make any indemnification payment to the Controlling Party under this Agreement: (I) the Controlling Party shall keep the Non-Controlling Party reasonably informed in a timely manner of all actions taken or proposed to be taken by the Controlling Party with respect to such potential adjustment in such Tax Contest; (II) the Controlling Party shall timely provide the Non-Controlling Party copies of any written materials relating to such potential adjustment in such Tax Contest received from any Tax Authority; (III) the Controlling Party shall timely provide the Non-Controlling Party with copies of the relevant portions of any correspondence or filings submitted to any Tax Authority or judicial authority in connection with such potential adjustment in such Tax Contest; (IV) the Controlling Party shall consult with the Non-Controlling Party and offer the Non-Controlling Party a reasonable opportunity to comment before submitting any written materials prepared or furnished in connection with such potential adjustment in such Tax Contest; and (V) the Controlling Party shall defend such Tax Contest diligently and in good faith. The failure of the Controlling Party to take any action specified in the preceding sentence with respect to the Non-Controlling Party shall not relieve the Non-Controlling Party of any liability or obligation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10" w:name="page111"/>
    <w:bookmarkEnd w:id="110"/>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it may have to the Controlling Party under this Agreement except to the extent that the Non-Controlling Party was actually and materially harmed by such failure, and in no event shall such failure relieve the Non-Controlling Party from any other liability or obligation which it may have to the Controlling Party. In the case of any Tax Contest described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Controlling Party</w:t>
      </w:r>
      <w:r>
        <w:rPr>
          <w:rFonts w:ascii="Times New Roman" w:cs="Times New Roman" w:eastAsia="Times New Roman" w:hAnsi="Times New Roman"/>
          <w:sz w:val="18"/>
          <w:szCs w:val="18"/>
          <w:color w:val="auto"/>
        </w:rPr>
        <w:t>” means the Party entitled to control the Tax Contest under such Section and “</w:t>
      </w:r>
      <w:r>
        <w:rPr>
          <w:rFonts w:ascii="Times New Roman" w:cs="Times New Roman" w:eastAsia="Times New Roman" w:hAnsi="Times New Roman"/>
          <w:sz w:val="18"/>
          <w:szCs w:val="18"/>
          <w:b w:val="1"/>
          <w:bCs w:val="1"/>
          <w:i w:val="1"/>
          <w:iCs w:val="1"/>
          <w:color w:val="auto"/>
        </w:rPr>
        <w:t>Non-Controlling Party</w:t>
      </w:r>
      <w:r>
        <w:rPr>
          <w:rFonts w:ascii="Times New Roman" w:cs="Times New Roman" w:eastAsia="Times New Roman" w:hAnsi="Times New Roman"/>
          <w:sz w:val="18"/>
          <w:szCs w:val="18"/>
          <w:color w:val="auto"/>
        </w:rPr>
        <w:t>” means (x) Illumina if GRAIL is the Controlling Party and (y) GRAIL if Illumina is the Controlling Party.</w:t>
      </w:r>
    </w:p>
    <w:p>
      <w:pPr>
        <w:spacing w:after="0" w:line="181" w:lineRule="exact"/>
        <w:rPr>
          <w:sz w:val="20"/>
          <w:szCs w:val="20"/>
          <w:color w:val="auto"/>
        </w:rPr>
      </w:pPr>
    </w:p>
    <w:p>
      <w:pPr>
        <w:ind w:firstLine="987"/>
        <w:spacing w:after="0" w:line="254" w:lineRule="auto"/>
        <w:tabs>
          <w:tab w:leader="none" w:pos="1246" w:val="left"/>
        </w:tabs>
        <w:numPr>
          <w:ilvl w:val="0"/>
          <w:numId w:val="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 Contest Participation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9.02(e)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 and unless waived by the Parties in writing, the 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shall provide the Non-Controlling Party with written notice reasonably in advance of, and the Non-Controlling Party shall have the right to attend, any formally scheduled meetings with Tax Authorities or hearings or proceedings before any judicial authorities in connection with any potential adjustment in a Tax Contest (i) pursuant to which the Non-Controlling Party may reasonably be expected to become liable to make any indemnification payment to the Controlling Party under this Agreement or (ii) that is with respect to a GRAIL Separate Return that could reasonably be expected to materially adversely affect any member of the Illumina Group. The failure of the Controlling Party to provide any notice specified in this</w:t>
      </w:r>
    </w:p>
    <w:p>
      <w:pPr>
        <w:spacing w:after="0" w:line="1" w:lineRule="exact"/>
        <w:rPr>
          <w:rFonts w:ascii="Times New Roman" w:cs="Times New Roman" w:eastAsia="Times New Roman" w:hAnsi="Times New Roman"/>
          <w:sz w:val="18"/>
          <w:szCs w:val="18"/>
          <w:i w:val="1"/>
          <w:iCs w:val="1"/>
          <w:color w:val="auto"/>
        </w:rPr>
      </w:pPr>
    </w:p>
    <w:p>
      <w:pPr>
        <w:ind w:right="18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 xml:space="preserve"> to the Non-Controlling Party shall not relieve the Non-Controlling Party of any liability or obligation which it may have to the Controlling Party under this Agreement except to the extent that the Non-Controlling Party was actually harmed by such failure, and in no event shall such failure relieve the Non-Controlling Party from any other liability or obligation which it may have to the Controlling Party.</w:t>
      </w:r>
    </w:p>
    <w:p>
      <w:pPr>
        <w:spacing w:after="0" w:line="183" w:lineRule="exact"/>
        <w:rPr>
          <w:rFonts w:ascii="Times New Roman" w:cs="Times New Roman" w:eastAsia="Times New Roman" w:hAnsi="Times New Roman"/>
          <w:sz w:val="18"/>
          <w:szCs w:val="18"/>
          <w:i w:val="1"/>
          <w:iCs w:val="1"/>
          <w:color w:val="auto"/>
        </w:rPr>
      </w:pPr>
    </w:p>
    <w:p>
      <w:pPr>
        <w:ind w:right="140" w:firstLine="987"/>
        <w:spacing w:after="0" w:line="261" w:lineRule="auto"/>
        <w:tabs>
          <w:tab w:leader="none" w:pos="1236" w:val="left"/>
        </w:tabs>
        <w:numPr>
          <w:ilvl w:val="0"/>
          <w:numId w:val="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Joint Returns</w:t>
      </w:r>
      <w:r>
        <w:rPr>
          <w:rFonts w:ascii="Times New Roman" w:cs="Times New Roman" w:eastAsia="Times New Roman" w:hAnsi="Times New Roman"/>
          <w:sz w:val="18"/>
          <w:szCs w:val="18"/>
          <w:color w:val="auto"/>
        </w:rPr>
        <w:t>. Notwithstanding anything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contrary, in the case of a Tax Contest related to a Joint Return,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rights of GRAIL and its Affiliates under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 xml:space="preserve"> of this Agreement shall be limited in scope to the portion of such Tax Contest relating to Taxes for which GRAIL may reasonably be expected to become liable to make any indemnification payment to Illumina under this Agreement.</w:t>
      </w:r>
    </w:p>
    <w:p>
      <w:pPr>
        <w:spacing w:after="0" w:line="179" w:lineRule="exact"/>
        <w:rPr>
          <w:rFonts w:ascii="Times New Roman" w:cs="Times New Roman" w:eastAsia="Times New Roman" w:hAnsi="Times New Roman"/>
          <w:sz w:val="18"/>
          <w:szCs w:val="18"/>
          <w:i w:val="1"/>
          <w:iCs w:val="1"/>
          <w:color w:val="auto"/>
        </w:rPr>
      </w:pPr>
    </w:p>
    <w:p>
      <w:pPr>
        <w:ind w:right="20" w:firstLine="987"/>
        <w:spacing w:after="0" w:line="258" w:lineRule="auto"/>
        <w:tabs>
          <w:tab w:leader="none" w:pos="1206" w:val="left"/>
        </w:tabs>
        <w:numPr>
          <w:ilvl w:val="0"/>
          <w:numId w:val="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Power of Attorney</w:t>
      </w:r>
      <w:r>
        <w:rPr>
          <w:rFonts w:ascii="Times New Roman" w:cs="Times New Roman" w:eastAsia="Times New Roman" w:hAnsi="Times New Roman"/>
          <w:sz w:val="18"/>
          <w:szCs w:val="18"/>
          <w:color w:val="auto"/>
        </w:rPr>
        <w:t>. Each member of the GRAIL Group shall execute and deliver to Illumina (or such member of the Illumina Group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Illumina shall designate) any power of attorney or other similar document reasonably requested by Illumina (or such designee) in connection with any Tax Contest (as to which Illumina is the Controlling Party) described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Each member of the Illumina Group shall execute and deliver to GRAIL (or such member of the GRAIL Group as GRAIL shall designate) any power of attorney or other similar document reasonably requested by GRAIL (or such designee) in connection with any Tax Contest (as to which GRAIL is the Controlling Party) described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4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10. Survival of Obligations</w:t>
      </w:r>
      <w:r>
        <w:rPr>
          <w:rFonts w:ascii="Times New Roman" w:cs="Times New Roman" w:eastAsia="Times New Roman" w:hAnsi="Times New Roman"/>
          <w:sz w:val="18"/>
          <w:szCs w:val="18"/>
          <w:color w:val="auto"/>
        </w:rPr>
        <w:t>. The representations, warranties, covenants and agreements set forth in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 and absolute and shall remain in effect without limitation as to time.</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40" w:top="270" w:right="519" w:bottom="1440" w:gutter="0" w:footer="0" w:header="0"/>
        </w:sectPr>
      </w:pPr>
    </w:p>
    <w:bookmarkStart w:id="111" w:name="page112"/>
    <w:bookmarkEnd w:id="111"/>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 Tax Treatment of Payments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i w:val="1"/>
          <w:iCs w:val="1"/>
          <w:color w:val="auto"/>
        </w:rPr>
        <w:t>Section 11.01. General Rule</w:t>
      </w:r>
      <w:r>
        <w:rPr>
          <w:rFonts w:ascii="Times New Roman" w:cs="Times New Roman" w:eastAsia="Times New Roman" w:hAnsi="Times New Roman"/>
          <w:sz w:val="18"/>
          <w:szCs w:val="18"/>
          <w:color w:val="auto"/>
        </w:rPr>
        <w:t>. Unless otherwise required by a Final Determination, the Parties will treat any payment made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3.2 of the Separation Agreement or any indemnity payment made pursuant to this Agreement, the Separation Agreement or any Ancillary Agreement as an adjustment to the Disposal Funding contributed in the Contribution (and with respect to aggregate amounts in excess of the Disposal Funding, if any, a non-taxable distribution) or a capital contribution, as the case may be, made immediately prior to the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payment that is made or received by a Person other than Illumina or GRAIL, as the case may be, shall be treated as if made or received by the payor or the recipient as agent for Illumina or GRAIL, in each case as appropriate.</w:t>
      </w:r>
    </w:p>
    <w:p>
      <w:pPr>
        <w:spacing w:after="0" w:line="18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i w:val="1"/>
          <w:iCs w:val="1"/>
          <w:color w:val="auto"/>
        </w:rPr>
        <w:t>Section 11.02. Interest</w:t>
      </w:r>
      <w:r>
        <w:rPr>
          <w:rFonts w:ascii="Times New Roman" w:cs="Times New Roman" w:eastAsia="Times New Roman" w:hAnsi="Times New Roman"/>
          <w:sz w:val="18"/>
          <w:szCs w:val="18"/>
          <w:color w:val="auto"/>
        </w:rPr>
        <w:t>. Notwithstanding anything in Section 12 or otherwise herein or in the Separation Agreement to the contrary,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one Party makes a payment of interest to the other Party under this Agreement with respect to the period from the date that the Party receiving the interest payment made a payment of Tax to a Tax Authority to the date that the Party making the interest payment reimbursed the Party receiving the interest payment for such Tax payment, (I) the interest payment shall be treated as interest expense to the Party making such payment (deductible to the extent provided by Law) and as interest income by the Party receiving such payment (includible in income to the extent provided by Law) and (II) the amount of the payment shall not be adjusted to take into account any associated Tax Benefit to the Party making such payment or increase in Tax to the Party receiving such payment.</w:t>
      </w:r>
    </w:p>
    <w:p>
      <w:pPr>
        <w:spacing w:after="0" w:line="181"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Section 12. Indemnification Payments</w:t>
      </w:r>
      <w:r>
        <w:rPr>
          <w:rFonts w:ascii="Times New Roman" w:cs="Times New Roman" w:eastAsia="Times New Roman" w:hAnsi="Times New Roman"/>
          <w:sz w:val="18"/>
          <w:szCs w:val="18"/>
          <w:color w:val="auto"/>
        </w:rPr>
        <w:t>. Any indemnity payment made under this Agreement, the Separation Agreement or any Ancillary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that is not governed by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shall be (i) increased as necessary so that after making all payments in respect to Taxes imposed on or attributable to such indemnity payment, the recipient Party receives an amount equal to the sum it would have received had no such Taxes been imposed, and (ii) reduced to take into account any Tax Benefit actually realized by the indemnified Party resulting from the incurrence of the liability, obligation, loss or payment in respect of which the indemnity payment is made.</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13. General Provisions.</w:t>
      </w:r>
    </w:p>
    <w:p>
      <w:pPr>
        <w:spacing w:after="0" w:line="227"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Section 13.01. Complete Agreement</w:t>
      </w:r>
      <w:r>
        <w:rPr>
          <w:rFonts w:ascii="Times New Roman" w:cs="Times New Roman" w:eastAsia="Times New Roman" w:hAnsi="Times New Roman"/>
          <w:sz w:val="18"/>
          <w:szCs w:val="18"/>
          <w:color w:val="auto"/>
        </w:rPr>
        <w:t>. This Agreement, the Separation Agreement, the Ancillary Agreements and the exhibits, annexes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with respect to such subject matter other than those set forth or referred to herein or therein.</w:t>
      </w:r>
    </w:p>
    <w:p>
      <w:pPr>
        <w:spacing w:after="0" w:line="180"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Section 13.02. Counterparts</w:t>
      </w:r>
      <w:r>
        <w:rPr>
          <w:rFonts w:ascii="Times New Roman" w:cs="Times New Roman" w:eastAsia="Times New Roman" w:hAnsi="Times New Roman"/>
          <w:sz w:val="18"/>
          <w:szCs w:val="18"/>
          <w:color w:val="auto"/>
        </w:rPr>
        <w:t>. This Agreement may be executed in one or more counterparts, all of which shall be considered one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agreement, and shall become effective when one or more counterparts have been signed by each Party and delivered to each other Party. The exchange of a fully executed Agreement (in counterparts or otherwise) by facsimile, electronic mail (including .pdf, docusign or other electronic signature) or other transmission method shall be deemed to have been duly and validly delivered and shall be sufficient to bind the parties to the terms and conditions of this Agreement.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6" w:right="439" w:bottom="1440" w:gutter="0" w:footer="0" w:header="0"/>
        </w:sectPr>
      </w:pPr>
    </w:p>
    <w:bookmarkStart w:id="112" w:name="page113"/>
    <w:bookmarkEnd w:id="112"/>
    <w:p>
      <w:pPr>
        <w:jc w:val="both"/>
        <w:ind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13.03. Notices</w:t>
      </w:r>
      <w:r>
        <w:rPr>
          <w:rFonts w:ascii="Times New Roman" w:cs="Times New Roman" w:eastAsia="Times New Roman" w:hAnsi="Times New Roman"/>
          <w:sz w:val="18"/>
          <w:szCs w:val="18"/>
          <w:color w:val="auto"/>
        </w:rPr>
        <w:t>. All notices, requests, claims, demands or other communications under this Agreement shall be in writing and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 given or made (and shall be deemed to have been duly given or made upon receipt) by delivery in person, by overnight courier service, by email with receipt confirmed,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to Illumina,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Illumina,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5200 Illumina Way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Diego, CA 92122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Scott Kreil</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skreil@illumina.com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1420" w:right="7160" w:firstLine="8"/>
        <w:spacing w:after="0" w:line="253" w:lineRule="auto"/>
        <w:tabs>
          <w:tab w:leader="none" w:pos="17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Ninth Avenue New York, NY 10001 Attention: Ronald E. Creamer Jr. Email: rcreamer@cravath.com</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to GRAIL, to:</w:t>
      </w:r>
    </w:p>
    <w:p>
      <w:pPr>
        <w:spacing w:after="0" w:line="1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GRAIL, LLC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1525 O’Brien Drive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Attention:  Bob Ragusa</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Aaron Freidin</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Abram Barth</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Don Lang</w:t>
      </w:r>
    </w:p>
    <w:p>
      <w:pPr>
        <w:spacing w:after="0" w:line="99" w:lineRule="exact"/>
        <w:rPr>
          <w:sz w:val="20"/>
          <w:szCs w:val="20"/>
          <w:color w:val="auto"/>
        </w:rPr>
      </w:pPr>
    </w:p>
    <w:p>
      <w:pPr>
        <w:ind w:left="1440"/>
        <w:spacing w:after="0"/>
        <w:tabs>
          <w:tab w:leader="none" w:pos="2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bragusa@grailbio.com</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afreidin@grailbio.com</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abarth@grailbio.com</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dlang@grailbio.com</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355 South Grand Avenue, Suite 100</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Attention:  W. Alex Voxman</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Andrew Clark</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Ross McAloon</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Alexa Berlin</w:t>
      </w:r>
    </w:p>
    <w:p>
      <w:pPr>
        <w:spacing w:after="0" w:line="99" w:lineRule="exact"/>
        <w:rPr>
          <w:sz w:val="20"/>
          <w:szCs w:val="20"/>
          <w:color w:val="auto"/>
        </w:rPr>
      </w:pPr>
    </w:p>
    <w:p>
      <w:pPr>
        <w:ind w:left="1440"/>
        <w:spacing w:after="0"/>
        <w:tabs>
          <w:tab w:leader="none" w:pos="2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alex.voxman@lw.com</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andrew.clark@lw.com</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ross.mcaloon@lw.com</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alexa.berlin@lw.com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Any Party may, by notice to the other Party, change the address and contact person to which any such notices are to be given.</w:t>
      </w:r>
    </w:p>
    <w:p>
      <w:pPr>
        <w:spacing w:after="0" w:line="223" w:lineRule="exact"/>
        <w:rPr>
          <w:sz w:val="20"/>
          <w:szCs w:val="20"/>
          <w:color w:val="auto"/>
        </w:rPr>
      </w:pPr>
    </w:p>
    <w:p>
      <w:pPr>
        <w:jc w:val="both"/>
        <w:ind w:right="32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Section 13.04. Waivers of Default</w:t>
      </w:r>
      <w:r>
        <w:rPr>
          <w:rFonts w:ascii="Times New Roman" w:cs="Times New Roman" w:eastAsia="Times New Roman" w:hAnsi="Times New Roman"/>
          <w:sz w:val="18"/>
          <w:szCs w:val="18"/>
          <w:color w:val="auto"/>
        </w:rPr>
        <w:t>. Waiver by a Party of any default by the other Party of any provision of this Agreement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0" w:lineRule="exact"/>
        <w:rPr>
          <w:sz w:val="20"/>
          <w:szCs w:val="20"/>
          <w:color w:val="auto"/>
        </w:rPr>
      </w:pPr>
    </w:p>
    <w:p>
      <w:pPr>
        <w:ind w:right="24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Section 13.05. Amendments</w:t>
      </w:r>
      <w:r>
        <w:rPr>
          <w:rFonts w:ascii="Times New Roman" w:cs="Times New Roman" w:eastAsia="Times New Roman" w:hAnsi="Times New Roman"/>
          <w:sz w:val="18"/>
          <w:szCs w:val="18"/>
          <w:color w:val="auto"/>
        </w:rPr>
        <w:t>. No provisions of this Agreement shall be deemed waived, amended, supplemented or modified by a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such waiver, amendment, supplement or modification is in writing and signed by the authorized representative of the Party against whom it sought to enforce such waiver, amendment, supplement or modification is sought to be enforced.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68" w:right="499" w:bottom="1440" w:gutter="0" w:footer="0" w:header="0"/>
        </w:sectPr>
      </w:pPr>
    </w:p>
    <w:bookmarkStart w:id="113" w:name="page114"/>
    <w:bookmarkEnd w:id="113"/>
    <w:p>
      <w:pPr>
        <w:ind w:firstLine="991"/>
        <w:spacing w:after="0" w:line="273"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13.06. Assignability</w:t>
      </w:r>
      <w:r>
        <w:rPr>
          <w:rFonts w:ascii="Times New Roman" w:cs="Times New Roman" w:eastAsia="Times New Roman" w:hAnsi="Times New Roman"/>
          <w:sz w:val="17"/>
          <w:szCs w:val="17"/>
          <w:color w:val="auto"/>
        </w:rPr>
        <w:t>. This Agreement shall be binding upon and inure to the benefit of the other Party or the other parties hereto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thereto, respectively, and their respective successors and permitted assigns;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Party or party hereto may assign its respective rights or delegate its respective obligations under this Agreement without the express prior written consent of the other Party or other parties thereto, as applicable. Notwithstanding the foregoing, no such consent shall be required for the assignment of a party’s rights and obligations under this Agreement in whole in connection with a change of control of a Party so long as the resulting, surviving or transferee Person assumes all the obligations of the relevant party thereto by operation of Law or pursuant to an agreement in form and substance reasonably satisfactory to the other Party. Nothing herein is intended to, or shall be construed to, prohibit either Party or any member of its Group from being party to or undertaking a change of control.</w:t>
      </w:r>
    </w:p>
    <w:p>
      <w:pPr>
        <w:spacing w:after="0" w:line="171" w:lineRule="exact"/>
        <w:rPr>
          <w:sz w:val="20"/>
          <w:szCs w:val="20"/>
          <w:color w:val="auto"/>
        </w:rPr>
      </w:pPr>
    </w:p>
    <w:p>
      <w:pPr>
        <w:ind w:right="5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Section 13.07. Subsidiaries</w:t>
      </w:r>
      <w:r>
        <w:rPr>
          <w:rFonts w:ascii="Times New Roman" w:cs="Times New Roman" w:eastAsia="Times New Roman" w:hAnsi="Times New Roman"/>
          <w:sz w:val="18"/>
          <w:szCs w:val="18"/>
          <w:color w:val="auto"/>
        </w:rPr>
        <w:t>. Each of the Parties shall cause to be performed, and hereby guarantees the performance of, all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and obligations set forth herein to be performed by any entity that is a Subsidiary of such Party after the Effective Time.</w:t>
      </w:r>
    </w:p>
    <w:p>
      <w:pPr>
        <w:spacing w:after="0" w:line="158" w:lineRule="exact"/>
        <w:rPr>
          <w:sz w:val="20"/>
          <w:szCs w:val="20"/>
          <w:color w:val="auto"/>
        </w:rPr>
      </w:pPr>
    </w:p>
    <w:p>
      <w:pPr>
        <w:ind w:right="4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Section 13.08. Headings</w:t>
      </w:r>
      <w:r>
        <w:rPr>
          <w:rFonts w:ascii="Times New Roman" w:cs="Times New Roman" w:eastAsia="Times New Roman" w:hAnsi="Times New Roman"/>
          <w:sz w:val="18"/>
          <w:szCs w:val="18"/>
          <w:color w:val="auto"/>
        </w:rPr>
        <w:t>. The article, section and paragraph headings and the table of contents contained herein are for reference purposes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and shall not affect in any way the meaning or interpretation of this Agreement.</w:t>
      </w:r>
    </w:p>
    <w:p>
      <w:pPr>
        <w:spacing w:after="0" w:line="158" w:lineRule="exact"/>
        <w:rPr>
          <w:sz w:val="20"/>
          <w:szCs w:val="20"/>
          <w:color w:val="auto"/>
        </w:rPr>
      </w:pPr>
    </w:p>
    <w:p>
      <w:pPr>
        <w:ind w:right="4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Section 13.09. Governing Law</w:t>
      </w:r>
      <w:r>
        <w:rPr>
          <w:rFonts w:ascii="Times New Roman" w:cs="Times New Roman" w:eastAsia="Times New Roman" w:hAnsi="Times New Roman"/>
          <w:sz w:val="18"/>
          <w:szCs w:val="18"/>
          <w:color w:val="auto"/>
        </w:rPr>
        <w:t>. This Agreement shall be governed by and construed in accordance with the Laws of the State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contracts made and to be performed in the state of Delaware.</w:t>
      </w:r>
    </w:p>
    <w:p>
      <w:pPr>
        <w:spacing w:after="0" w:line="158"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i w:val="1"/>
          <w:iCs w:val="1"/>
          <w:color w:val="auto"/>
        </w:rPr>
        <w:t>Section 13.10. Waiver of Jury Trial</w:t>
      </w:r>
      <w:r>
        <w:rPr>
          <w:rFonts w:ascii="Times New Roman" w:cs="Times New Roman" w:eastAsia="Times New Roman" w:hAnsi="Times New Roman"/>
          <w:sz w:val="18"/>
          <w:szCs w:val="18"/>
          <w:color w:val="auto"/>
        </w:rPr>
        <w:t>. EACH PARTY ACKNOWLEDGES AND AGREES THAT ANY CONTROVERSY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 UNDER THIS AGREEMENT OR THE ANCILLARY AGREEMENTS IS LIKELY TO INVOLVE COMPLICATED AND DIFFICULT ISSUES, AND THEREFORE IT HEREBY IRREVOCABLY AND UNCONDITIONALLY WAIVES ANY RIGHT IT MAY HAVE TO A TRIAL BY JURY IN RESPECT OF ANY LITIGATION DIRECTLY OR INDIRECTLY BASED UPON, RELATING TO OR ARISING FROM THIS AGREEMENT AND ANY OF THE ANCILLARY AGREEMENTS OR THE TRANSACTIONS CONTEMPLATED HEREBY OR THEREBY. EACH PARTY CERTIFIES AND ACKNOWLEDGES THAT (I) NO REPRESENTATIVE, AGENT OR ATTORNEY OF ANY OTHER PARTY HAS REPRESENTED, EXPRESSLY OR OTHERWISE, THAT SUCH OTHER PARTY WOULD NOT, IN THE EVENT OF LITIGATION, SEEK TO ENFORCE SUCH WAIVER, (II) IT UNDERSTANDS AND HAS CONSIDERED THE IMPLICATIONS OF SUCH WAIVER, (III) IT MAKES SUCH WAIVER VOLUNTARILY AND (IV) IT HAS BEEN INDUCED TO ENTER INTO THIS AGREEMENT BY, AMONG OTHER THINGS, THE MUTUAL WAIVERS AND CERTIFICATIONS IN THIS SECTION 13.10.</w:t>
      </w:r>
    </w:p>
    <w:p>
      <w:pPr>
        <w:spacing w:after="0" w:line="18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Section 13.11. Specific Performance</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Separation Agreement, in the event of any actual or threatened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or breach of, any of the terms, conditions and provisions of this Agreement, the Party or Parties who are, or are to be, thereby aggrieved shall have the right to specific performance and injunctive or other equitable relief (on an interim or permanent basis) in respect of its or their rights under this Agreement, in addition</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68" w:right="499" w:bottom="1440" w:gutter="0" w:footer="0" w:header="0"/>
        </w:sectPr>
      </w:pPr>
    </w:p>
    <w:bookmarkStart w:id="114" w:name="page115"/>
    <w:bookmarkEnd w:id="11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78"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Section 13.12. Severability</w:t>
      </w:r>
      <w:r>
        <w:rPr>
          <w:rFonts w:ascii="Times New Roman" w:cs="Times New Roman" w:eastAsia="Times New Roman" w:hAnsi="Times New Roman"/>
          <w:sz w:val="18"/>
          <w:szCs w:val="18"/>
          <w:color w:val="auto"/>
        </w:rPr>
        <w:t>. If any provision of this Agreement or the application thereof to any Person or circumstance is determined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13.13. Payment Terms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40" w:firstLine="987"/>
        <w:spacing w:after="0" w:line="261" w:lineRule="auto"/>
        <w:tabs>
          <w:tab w:leader="none" w:pos="1246" w:val="left"/>
        </w:tabs>
        <w:numPr>
          <w:ilvl w:val="0"/>
          <w:numId w:val="10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Except as otherwise expressly provided to the contrary in this Agreement, any amount to be paid or reimbursed by a Party (where applicable, or a member of such Party’s Group) to the other Party (where applicable, or a member of such other Party’s Group) under this Agreement shall be paid or reimbursed hereunder within thirty (30) Business Days after presentation of an invoice or a written demand therefor, in either case setting forth, or accompanied by, reasonable documentation or other reasonable explanation supporting such amount.</w:t>
      </w:r>
    </w:p>
    <w:p>
      <w:pPr>
        <w:spacing w:after="0" w:line="179" w:lineRule="exact"/>
        <w:rPr>
          <w:rFonts w:ascii="Times New Roman" w:cs="Times New Roman" w:eastAsia="Times New Roman" w:hAnsi="Times New Roman"/>
          <w:sz w:val="18"/>
          <w:szCs w:val="18"/>
          <w:i w:val="1"/>
          <w:iCs w:val="1"/>
          <w:color w:val="auto"/>
        </w:rPr>
      </w:pPr>
    </w:p>
    <w:p>
      <w:pPr>
        <w:ind w:firstLine="987"/>
        <w:spacing w:after="0" w:line="258" w:lineRule="auto"/>
        <w:tabs>
          <w:tab w:leader="none" w:pos="1246" w:val="left"/>
        </w:tabs>
        <w:numPr>
          <w:ilvl w:val="0"/>
          <w:numId w:val="10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Except as expressly provided to the contrary in this Agreement, any amount not paid when due pursuant to this Agreement (and any amount billed or otherwise invoiced or demanded and properly payable that is not paid within thirty (30) Business Days of such bill, invoice or other demand) shall bear interest at a rate per annum equal to the Interest Rate with respect to the due date of such payment or the maximum rate permitted by Law, whichever is less, calculated for the actual number of days elapsed, accrued from the date on which such payment was due up to the date of the actual receipt of payment.</w:t>
      </w:r>
    </w:p>
    <w:p>
      <w:pPr>
        <w:spacing w:after="0" w:line="183" w:lineRule="exact"/>
        <w:rPr>
          <w:rFonts w:ascii="Times New Roman" w:cs="Times New Roman" w:eastAsia="Times New Roman" w:hAnsi="Times New Roman"/>
          <w:sz w:val="18"/>
          <w:szCs w:val="18"/>
          <w:i w:val="1"/>
          <w:iCs w:val="1"/>
          <w:color w:val="auto"/>
        </w:rPr>
      </w:pPr>
    </w:p>
    <w:p>
      <w:pPr>
        <w:ind w:firstLine="987"/>
        <w:spacing w:after="0" w:line="256" w:lineRule="auto"/>
        <w:tabs>
          <w:tab w:leader="none" w:pos="1236" w:val="left"/>
        </w:tabs>
        <w:numPr>
          <w:ilvl w:val="0"/>
          <w:numId w:val="10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Without the consent of the Party receiving any payment under this Agreement specifying otherwise, all payments to be made by either Illumina or GRAIL under this Agreement shall be made in U.S. dollars. Except as expressly provided herein, any amount which is not expressed in U.S. dollars shall be converted into U.S. dollars by using the exchange rate published on Bloomberg at 5:00 pm, Eastern time, on the day before the relevant date, or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such date if not so published on Bloomberg. Except as expressly provided herein, in the event that any Tax indemnity payment required to be made hereunder may be denominated in a currency other than U.S. dollars, the amount of such payment shall be converted into U.S. dollars on the date in which notice of the claim is given to the indemnifying Party.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115" w:name="page116"/>
    <w:bookmarkEnd w:id="115"/>
    <w:p>
      <w:pPr>
        <w:ind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13.14. No Admission of Liability</w:t>
      </w:r>
      <w:r>
        <w:rPr>
          <w:rFonts w:ascii="Times New Roman" w:cs="Times New Roman" w:eastAsia="Times New Roman" w:hAnsi="Times New Roman"/>
          <w:sz w:val="18"/>
          <w:szCs w:val="18"/>
          <w:color w:val="auto"/>
        </w:rPr>
        <w:t>. The allocation of assets and liabilities herein is solely for the purpose of allocating such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between Illumina and GRAIL and is not intended as an admission of liability or responsibility for any alleged liabilities vis-à -vis any Third Party, including with respect to the liabilities of any non-wholly owned subsidiary of Illumina or GRAIL.</w:t>
      </w:r>
    </w:p>
    <w:p>
      <w:pPr>
        <w:spacing w:after="0" w:line="17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60"/>
          </w:cols>
          <w:pgMar w:left="440" w:top="268" w:right="6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as of the day and year first above written.</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ILLUMINA, INC.</w:t>
      </w:r>
    </w:p>
    <w:p>
      <w:pPr>
        <w:spacing w:after="0" w:line="229" w:lineRule="exact"/>
        <w:rPr>
          <w:sz w:val="20"/>
          <w:szCs w:val="20"/>
          <w:color w:val="auto"/>
        </w:rPr>
      </w:pPr>
    </w:p>
    <w:tbl>
      <w:tblPr>
        <w:tblLayout w:type="fixed"/>
        <w:tblInd w:w="2960" w:type="dxa"/>
        <w:tblCellMar>
          <w:top w:w="0" w:type="dxa"/>
          <w:left w:w="0" w:type="dxa"/>
          <w:bottom w:w="0" w:type="dxa"/>
          <w:right w:w="0" w:type="dxa"/>
        </w:tblCellMar>
      </w:tblPr>
      <w:tr>
        <w:trPr>
          <w:trHeight w:val="234"/>
        </w:trPr>
        <w:tc>
          <w:tcPr>
            <w:tcW w:w="3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Scott Kreil</w:t>
            </w:r>
          </w:p>
        </w:tc>
      </w:tr>
      <w:tr>
        <w:trPr>
          <w:trHeight w:val="191"/>
        </w:trPr>
        <w:tc>
          <w:tcPr>
            <w:tcW w:w="3200" w:type="dxa"/>
            <w:vAlign w:val="bottom"/>
          </w:tcPr>
          <w:p>
            <w:pPr>
              <w:ind w:left="26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Scott Kreil</w:t>
            </w:r>
          </w:p>
        </w:tc>
      </w:tr>
      <w:tr>
        <w:trPr>
          <w:trHeight w:val="234"/>
        </w:trPr>
        <w:tc>
          <w:tcPr>
            <w:tcW w:w="3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Tax</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Tax Matters Agreement]</w:t>
            </w:r>
          </w:p>
        </w:tc>
        <w:tc>
          <w:tcPr>
            <w:tcW w:w="3880" w:type="dxa"/>
            <w:vAlign w:val="bottom"/>
          </w:tcPr>
          <w:p>
            <w:pPr>
              <w:spacing w:after="0"/>
              <w:rPr>
                <w:sz w:val="24"/>
                <w:szCs w:val="24"/>
                <w:color w:val="auto"/>
              </w:rPr>
            </w:pPr>
          </w:p>
        </w:tc>
      </w:tr>
    </w:tbl>
    <w:p>
      <w:pPr>
        <w:sectPr>
          <w:pgSz w:w="11900" w:h="16838" w:orient="portrait"/>
          <w:cols w:equalWidth="0" w:num="1">
            <w:col w:w="10040"/>
          </w:cols>
          <w:pgMar w:left="1420" w:top="270"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as of the day and year first above written.</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GRAIL, LLC</w:t>
      </w:r>
    </w:p>
    <w:p>
      <w:pPr>
        <w:spacing w:after="0" w:line="229" w:lineRule="exact"/>
        <w:rPr>
          <w:sz w:val="20"/>
          <w:szCs w:val="20"/>
          <w:color w:val="auto"/>
        </w:rPr>
      </w:pPr>
    </w:p>
    <w:tbl>
      <w:tblPr>
        <w:tblLayout w:type="fixed"/>
        <w:tblInd w:w="2960" w:type="dxa"/>
        <w:tblCellMar>
          <w:top w:w="0" w:type="dxa"/>
          <w:left w:w="0" w:type="dxa"/>
          <w:bottom w:w="0" w:type="dxa"/>
          <w:right w:w="0" w:type="dxa"/>
        </w:tblCellMar>
      </w:tblPr>
      <w:tr>
        <w:trPr>
          <w:trHeight w:val="234"/>
        </w:trPr>
        <w:tc>
          <w:tcPr>
            <w:tcW w:w="3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Robert Ragusa</w:t>
            </w:r>
          </w:p>
        </w:tc>
      </w:tr>
      <w:tr>
        <w:trPr>
          <w:trHeight w:val="191"/>
        </w:trPr>
        <w:tc>
          <w:tcPr>
            <w:tcW w:w="3200" w:type="dxa"/>
            <w:vAlign w:val="bottom"/>
          </w:tcPr>
          <w:p>
            <w:pPr>
              <w:ind w:left="26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Robert Ragusa</w:t>
            </w:r>
          </w:p>
        </w:tc>
      </w:tr>
      <w:tr>
        <w:trPr>
          <w:trHeight w:val="234"/>
        </w:trPr>
        <w:tc>
          <w:tcPr>
            <w:tcW w:w="3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Tax Matters Agreement]</w:t>
            </w:r>
          </w:p>
        </w:tc>
        <w:tc>
          <w:tcPr>
            <w:tcW w:w="3880" w:type="dxa"/>
            <w:vAlign w:val="bottom"/>
          </w:tcPr>
          <w:p>
            <w:pPr>
              <w:spacing w:after="0"/>
              <w:rPr>
                <w:sz w:val="24"/>
                <w:szCs w:val="24"/>
                <w:color w:val="auto"/>
              </w:rPr>
            </w:pPr>
          </w:p>
        </w:tc>
      </w:tr>
    </w:tbl>
    <w:p>
      <w:pPr>
        <w:sectPr>
          <w:pgSz w:w="11900" w:h="16838" w:orient="portrait"/>
          <w:cols w:equalWidth="0" w:num="1">
            <w:col w:w="10040"/>
          </w:cols>
          <w:pgMar w:left="1420" w:top="270" w:right="4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Intended Tax Treatment</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Intended Tax Treatment</w:t>
      </w:r>
      <w:r>
        <w:rPr>
          <w:rFonts w:ascii="Times New Roman" w:cs="Times New Roman" w:eastAsia="Times New Roman" w:hAnsi="Times New Roman"/>
          <w:sz w:val="18"/>
          <w:szCs w:val="18"/>
          <w:color w:val="auto"/>
        </w:rPr>
        <w:t>” means the following U.S. federal income Tax consequences in connection with the Contribution, the Distribution, and certain related transactions:</w:t>
      </w:r>
    </w:p>
    <w:p>
      <w:pPr>
        <w:spacing w:after="0" w:line="64" w:lineRule="exact"/>
        <w:rPr>
          <w:sz w:val="20"/>
          <w:szCs w:val="20"/>
          <w:color w:val="auto"/>
        </w:rPr>
      </w:pPr>
    </w:p>
    <w:p>
      <w:pPr>
        <w:ind w:left="960" w:right="220" w:hanging="532"/>
        <w:spacing w:after="0" w:line="282"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 of the Contribution and Distribution, taken together, as a “reorganization” under Section 355(a) and 368(a)(1)(D) of the Code;</w:t>
      </w:r>
    </w:p>
    <w:p>
      <w:pPr>
        <w:spacing w:after="0" w:line="67" w:lineRule="exact"/>
        <w:rPr>
          <w:rFonts w:ascii="Times New Roman" w:cs="Times New Roman" w:eastAsia="Times New Roman" w:hAnsi="Times New Roman"/>
          <w:sz w:val="18"/>
          <w:szCs w:val="18"/>
          <w:color w:val="auto"/>
        </w:rPr>
      </w:pPr>
    </w:p>
    <w:p>
      <w:pPr>
        <w:ind w:left="960" w:right="200" w:hanging="532"/>
        <w:spacing w:after="0" w:line="266"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 of the Distribution as a transaction in which the GRAIL Capital Stock distributed to holders of Illumina Capital Stock is “qualified property” for purposes of Sections 355 and 361(a) of the Code (and neither Section 355(d) nor Section 355(e) of the Code causes such GRAIL Capital Stock to be treated as other than “qualified property” for such purposes);</w:t>
      </w:r>
    </w:p>
    <w:p>
      <w:pPr>
        <w:spacing w:after="0" w:line="81"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nonrecognition of income, gain, or loss by Illumina or GRAIL on the Contribution and the Distribution under Sections 355, 361, and/or 1032 of the Code, as applicable;</w:t>
      </w:r>
    </w:p>
    <w:p>
      <w:pPr>
        <w:spacing w:after="0" w:line="67" w:lineRule="exact"/>
        <w:rPr>
          <w:rFonts w:ascii="Times New Roman" w:cs="Times New Roman" w:eastAsia="Times New Roman" w:hAnsi="Times New Roman"/>
          <w:sz w:val="18"/>
          <w:szCs w:val="18"/>
          <w:color w:val="auto"/>
        </w:rPr>
      </w:pPr>
    </w:p>
    <w:p>
      <w:pPr>
        <w:ind w:left="960" w:right="540" w:hanging="532"/>
        <w:spacing w:after="0" w:line="282"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nonrecognition of income, gain, or loss by holder of Illumina Capital Stock upon the receipt of GRAIL Capital Stock in the Distribution (except with respect of cash in lieu of fractional shares of GRAIL Capital Stock, if any) under Section 355 of the Code.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66" w:right="4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GRAIL ATB</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GRAIL ATB</w:t>
      </w:r>
      <w:r>
        <w:rPr>
          <w:rFonts w:ascii="Times New Roman" w:cs="Times New Roman" w:eastAsia="Times New Roman" w:hAnsi="Times New Roman"/>
          <w:sz w:val="18"/>
          <w:szCs w:val="18"/>
          <w:color w:val="auto"/>
        </w:rPr>
        <w:t>” means the multi-cancer early detection testing business conducted by GRAIL, LLC and GRAIL UK immediately before the Distribution and since at least August 18, 2021, the date upon which Illumina completed its acquisition of GRAIL, LLC. The GRAIL ATB includes the business of developing, manufacturing, marketing and selling, distributing, and performing Galleri-branded multi-cancer early detection tests.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66" w:right="4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EMPLOYEE MATTERS AGREEMENT</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ILLUMINA,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GRAIL, LLC</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(to be converted into GRAIL, INC.)</w:t>
      </w:r>
    </w:p>
    <w:p>
      <w:pPr>
        <w:spacing w:after="0" w:line="20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Dated as of June 21, 2024</w:t>
      </w:r>
    </w:p>
    <w:p>
      <w:pPr>
        <w:sectPr>
          <w:pgSz w:w="11900" w:h="16838" w:orient="portrait"/>
          <w:cols w:equalWidth="0" w:num="1">
            <w:col w:w="10020"/>
          </w:cols>
          <w:pgMar w:left="1440" w:top="117" w:right="4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964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r>
      <w:tr>
        <w:trPr>
          <w:trHeight w:val="391"/>
        </w:trPr>
        <w:tc>
          <w:tcPr>
            <w:tcW w:w="102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20" w:type="dxa"/>
            <w:vAlign w:val="bottom"/>
          </w:tcPr>
          <w:p>
            <w:pPr>
              <w:spacing w:after="0"/>
              <w:rPr>
                <w:sz w:val="24"/>
                <w:szCs w:val="24"/>
                <w:color w:val="auto"/>
              </w:rPr>
            </w:pPr>
          </w:p>
        </w:tc>
        <w:tc>
          <w:tcPr>
            <w:tcW w:w="96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I</w:t>
            </w:r>
          </w:p>
        </w:tc>
        <w:tc>
          <w:tcPr>
            <w:tcW w:w="300" w:type="dxa"/>
            <w:vAlign w:val="bottom"/>
          </w:tcPr>
          <w:p>
            <w:pPr>
              <w:spacing w:after="0"/>
              <w:rPr>
                <w:sz w:val="24"/>
                <w:szCs w:val="24"/>
                <w:color w:val="auto"/>
              </w:rPr>
            </w:pPr>
          </w:p>
        </w:tc>
      </w:tr>
      <w:tr>
        <w:trPr>
          <w:trHeight w:val="324"/>
        </w:trPr>
        <w:tc>
          <w:tcPr>
            <w:tcW w:w="1020" w:type="dxa"/>
            <w:vAlign w:val="bottom"/>
          </w:tcPr>
          <w:p>
            <w:pPr>
              <w:spacing w:after="0"/>
              <w:rPr>
                <w:sz w:val="24"/>
                <w:szCs w:val="24"/>
                <w:color w:val="auto"/>
              </w:rPr>
            </w:pPr>
          </w:p>
        </w:tc>
        <w:tc>
          <w:tcPr>
            <w:tcW w:w="96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Definitions and Interpretation</w:t>
            </w:r>
          </w:p>
        </w:tc>
        <w:tc>
          <w:tcPr>
            <w:tcW w:w="300" w:type="dxa"/>
            <w:vAlign w:val="bottom"/>
          </w:tcPr>
          <w:p>
            <w:pPr>
              <w:spacing w:after="0"/>
              <w:rPr>
                <w:sz w:val="24"/>
                <w:szCs w:val="24"/>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References; Interpretation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020" w:type="dxa"/>
            <w:vAlign w:val="bottom"/>
          </w:tcPr>
          <w:p>
            <w:pPr>
              <w:spacing w:after="0"/>
              <w:rPr>
                <w:sz w:val="24"/>
                <w:szCs w:val="24"/>
                <w:color w:val="auto"/>
              </w:rPr>
            </w:pPr>
          </w:p>
        </w:tc>
        <w:tc>
          <w:tcPr>
            <w:tcW w:w="96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ARTICLE II</w:t>
            </w:r>
          </w:p>
        </w:tc>
        <w:tc>
          <w:tcPr>
            <w:tcW w:w="300" w:type="dxa"/>
            <w:vAlign w:val="bottom"/>
          </w:tcPr>
          <w:p>
            <w:pPr>
              <w:spacing w:after="0"/>
              <w:rPr>
                <w:sz w:val="24"/>
                <w:szCs w:val="24"/>
                <w:color w:val="auto"/>
              </w:rPr>
            </w:pPr>
          </w:p>
        </w:tc>
      </w:tr>
      <w:tr>
        <w:trPr>
          <w:trHeight w:val="324"/>
        </w:trPr>
        <w:tc>
          <w:tcPr>
            <w:tcW w:w="1020" w:type="dxa"/>
            <w:vAlign w:val="bottom"/>
          </w:tcPr>
          <w:p>
            <w:pPr>
              <w:spacing w:after="0"/>
              <w:rPr>
                <w:sz w:val="24"/>
                <w:szCs w:val="24"/>
                <w:color w:val="auto"/>
              </w:rPr>
            </w:pPr>
          </w:p>
        </w:tc>
        <w:tc>
          <w:tcPr>
            <w:tcW w:w="96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General Principles</w:t>
            </w:r>
          </w:p>
        </w:tc>
        <w:tc>
          <w:tcPr>
            <w:tcW w:w="300" w:type="dxa"/>
            <w:vAlign w:val="bottom"/>
          </w:tcPr>
          <w:p>
            <w:pPr>
              <w:spacing w:after="0"/>
              <w:rPr>
                <w:sz w:val="24"/>
                <w:szCs w:val="24"/>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Nature of Liabilities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Assumption and Retention of Liabilities Generally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Collective Bargaining Agreements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and Consultation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Non-Acceleration; Non-Termination of Employment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Transfer of Assets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020" w:type="dxa"/>
            <w:vAlign w:val="bottom"/>
          </w:tcPr>
          <w:p>
            <w:pPr>
              <w:spacing w:after="0"/>
              <w:rPr>
                <w:sz w:val="24"/>
                <w:szCs w:val="24"/>
                <w:color w:val="auto"/>
              </w:rPr>
            </w:pPr>
          </w:p>
        </w:tc>
        <w:tc>
          <w:tcPr>
            <w:tcW w:w="96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ARTICLE III</w:t>
            </w:r>
          </w:p>
        </w:tc>
        <w:tc>
          <w:tcPr>
            <w:tcW w:w="300" w:type="dxa"/>
            <w:vAlign w:val="bottom"/>
          </w:tcPr>
          <w:p>
            <w:pPr>
              <w:spacing w:after="0"/>
              <w:rPr>
                <w:sz w:val="24"/>
                <w:szCs w:val="24"/>
                <w:color w:val="auto"/>
              </w:rPr>
            </w:pPr>
          </w:p>
        </w:tc>
      </w:tr>
      <w:tr>
        <w:trPr>
          <w:trHeight w:val="324"/>
        </w:trPr>
        <w:tc>
          <w:tcPr>
            <w:tcW w:w="1020" w:type="dxa"/>
            <w:vAlign w:val="bottom"/>
          </w:tcPr>
          <w:p>
            <w:pPr>
              <w:spacing w:after="0"/>
              <w:rPr>
                <w:sz w:val="24"/>
                <w:szCs w:val="24"/>
                <w:color w:val="auto"/>
              </w:rPr>
            </w:pPr>
          </w:p>
        </w:tc>
        <w:tc>
          <w:tcPr>
            <w:tcW w:w="96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Equity Incentive Awards</w:t>
            </w:r>
          </w:p>
        </w:tc>
        <w:tc>
          <w:tcPr>
            <w:tcW w:w="300" w:type="dxa"/>
            <w:vAlign w:val="bottom"/>
          </w:tcPr>
          <w:p>
            <w:pPr>
              <w:spacing w:after="0"/>
              <w:rPr>
                <w:sz w:val="24"/>
                <w:szCs w:val="24"/>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GRAIL Stock Plan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GRAIL LTIP Award Valuation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Illumina RSU Conversion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GRAIL RSU Conversion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 Awards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Miscellaneous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020" w:type="dxa"/>
            <w:vAlign w:val="bottom"/>
          </w:tcPr>
          <w:p>
            <w:pPr>
              <w:spacing w:after="0"/>
              <w:rPr>
                <w:sz w:val="24"/>
                <w:szCs w:val="24"/>
                <w:color w:val="auto"/>
              </w:rPr>
            </w:pPr>
          </w:p>
        </w:tc>
        <w:tc>
          <w:tcPr>
            <w:tcW w:w="96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ARTICLE IV</w:t>
            </w:r>
          </w:p>
        </w:tc>
        <w:tc>
          <w:tcPr>
            <w:tcW w:w="300" w:type="dxa"/>
            <w:vAlign w:val="bottom"/>
          </w:tcPr>
          <w:p>
            <w:pPr>
              <w:spacing w:after="0"/>
              <w:rPr>
                <w:sz w:val="24"/>
                <w:szCs w:val="24"/>
                <w:color w:val="auto"/>
              </w:rPr>
            </w:pPr>
          </w:p>
        </w:tc>
      </w:tr>
      <w:tr>
        <w:trPr>
          <w:trHeight w:val="324"/>
        </w:trPr>
        <w:tc>
          <w:tcPr>
            <w:tcW w:w="1020" w:type="dxa"/>
            <w:vAlign w:val="bottom"/>
          </w:tcPr>
          <w:p>
            <w:pPr>
              <w:spacing w:after="0"/>
              <w:rPr>
                <w:sz w:val="24"/>
                <w:szCs w:val="24"/>
                <w:color w:val="auto"/>
              </w:rPr>
            </w:pPr>
          </w:p>
        </w:tc>
        <w:tc>
          <w:tcPr>
            <w:tcW w:w="96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Non-Qualified Deferred Compensation</w:t>
            </w:r>
          </w:p>
        </w:tc>
        <w:tc>
          <w:tcPr>
            <w:tcW w:w="300" w:type="dxa"/>
            <w:vAlign w:val="bottom"/>
          </w:tcPr>
          <w:p>
            <w:pPr>
              <w:spacing w:after="0"/>
              <w:rPr>
                <w:sz w:val="24"/>
                <w:szCs w:val="24"/>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Illumina Non-Qualified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Separations from Service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020" w:type="dxa"/>
            <w:vAlign w:val="bottom"/>
          </w:tcPr>
          <w:p>
            <w:pPr>
              <w:spacing w:after="0"/>
              <w:rPr>
                <w:sz w:val="24"/>
                <w:szCs w:val="24"/>
                <w:color w:val="auto"/>
              </w:rPr>
            </w:pPr>
          </w:p>
        </w:tc>
        <w:tc>
          <w:tcPr>
            <w:tcW w:w="96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ARTICLE V</w:t>
            </w:r>
          </w:p>
        </w:tc>
        <w:tc>
          <w:tcPr>
            <w:tcW w:w="300" w:type="dxa"/>
            <w:vAlign w:val="bottom"/>
          </w:tcPr>
          <w:p>
            <w:pPr>
              <w:spacing w:after="0"/>
              <w:rPr>
                <w:sz w:val="24"/>
                <w:szCs w:val="24"/>
                <w:color w:val="auto"/>
              </w:rPr>
            </w:pPr>
          </w:p>
        </w:tc>
      </w:tr>
      <w:tr>
        <w:trPr>
          <w:trHeight w:val="324"/>
        </w:trPr>
        <w:tc>
          <w:tcPr>
            <w:tcW w:w="1020" w:type="dxa"/>
            <w:vAlign w:val="bottom"/>
          </w:tcPr>
          <w:p>
            <w:pPr>
              <w:spacing w:after="0"/>
              <w:rPr>
                <w:sz w:val="24"/>
                <w:szCs w:val="24"/>
                <w:color w:val="auto"/>
              </w:rPr>
            </w:pPr>
          </w:p>
        </w:tc>
        <w:tc>
          <w:tcPr>
            <w:tcW w:w="96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Additional Matters</w:t>
            </w:r>
          </w:p>
        </w:tc>
        <w:tc>
          <w:tcPr>
            <w:tcW w:w="300" w:type="dxa"/>
            <w:vAlign w:val="bottom"/>
          </w:tcPr>
          <w:p>
            <w:pPr>
              <w:spacing w:after="0"/>
              <w:rPr>
                <w:sz w:val="24"/>
                <w:szCs w:val="24"/>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Code Section 409A</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Deductions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ARTICLE VI</w:t>
            </w:r>
          </w:p>
        </w:tc>
        <w:tc>
          <w:tcPr>
            <w:tcW w:w="2320" w:type="dxa"/>
            <w:vAlign w:val="bottom"/>
          </w:tcPr>
          <w:p>
            <w:pPr>
              <w:spacing w:after="0"/>
              <w:rPr>
                <w:sz w:val="20"/>
                <w:szCs w:val="20"/>
                <w:color w:val="auto"/>
              </w:rPr>
            </w:pPr>
          </w:p>
        </w:tc>
      </w:tr>
      <w:tr>
        <w:trPr>
          <w:trHeight w:val="324"/>
        </w:trPr>
        <w:tc>
          <w:tcPr>
            <w:tcW w:w="1060" w:type="dxa"/>
            <w:vAlign w:val="bottom"/>
          </w:tcPr>
          <w:p>
            <w:pPr>
              <w:spacing w:after="0"/>
              <w:rPr>
                <w:sz w:val="24"/>
                <w:szCs w:val="24"/>
                <w:color w:val="auto"/>
              </w:rPr>
            </w:pPr>
          </w:p>
        </w:tc>
        <w:tc>
          <w:tcPr>
            <w:tcW w:w="7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General And Administrative</w:t>
            </w:r>
          </w:p>
        </w:tc>
        <w:tc>
          <w:tcPr>
            <w:tcW w:w="2320" w:type="dxa"/>
            <w:vAlign w:val="bottom"/>
          </w:tcPr>
          <w:p>
            <w:pPr>
              <w:spacing w:after="0"/>
              <w:rPr>
                <w:sz w:val="24"/>
                <w:szCs w:val="24"/>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on Employment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Third Parties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Access to Employees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Beneficiary Designation/Release of Information/Right to Reimbursement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Acceleration of Benefits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Benefits Administration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060" w:type="dxa"/>
            <w:vAlign w:val="bottom"/>
          </w:tcPr>
          <w:p>
            <w:pPr>
              <w:spacing w:after="0"/>
              <w:rPr>
                <w:sz w:val="24"/>
                <w:szCs w:val="24"/>
                <w:color w:val="auto"/>
              </w:rPr>
            </w:pPr>
          </w:p>
        </w:tc>
        <w:tc>
          <w:tcPr>
            <w:tcW w:w="7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ARTICLE VII</w:t>
            </w:r>
          </w:p>
        </w:tc>
        <w:tc>
          <w:tcPr>
            <w:tcW w:w="232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7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Miscellaneous</w:t>
            </w:r>
          </w:p>
        </w:tc>
        <w:tc>
          <w:tcPr>
            <w:tcW w:w="2320" w:type="dxa"/>
            <w:vAlign w:val="bottom"/>
          </w:tcPr>
          <w:p>
            <w:pPr>
              <w:spacing w:after="0"/>
              <w:rPr>
                <w:sz w:val="24"/>
                <w:szCs w:val="24"/>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 Power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Specific Performance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Successors and Assigns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Interpretation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Duplication; No Double Recovery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Waiver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Admission of Liability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Incorporation by Reference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MATTERS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EMPLOYEE MATTERS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21, 2024, by and between Illumina, Inc.,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w:t>
      </w:r>
      <w:r>
        <w:rPr>
          <w:rFonts w:ascii="Times New Roman" w:cs="Times New Roman" w:eastAsia="Times New Roman" w:hAnsi="Times New Roman"/>
          <w:sz w:val="18"/>
          <w:szCs w:val="18"/>
          <w:u w:val="single" w:color="auto"/>
          <w:color w:val="auto"/>
        </w:rPr>
        <w:t>Illumina</w:t>
      </w:r>
      <w:r>
        <w:rPr>
          <w:rFonts w:ascii="Times New Roman" w:cs="Times New Roman" w:eastAsia="Times New Roman" w:hAnsi="Times New Roman"/>
          <w:sz w:val="18"/>
          <w:szCs w:val="18"/>
          <w:color w:val="auto"/>
        </w:rPr>
        <w:t>”), and GRAIL, LLC, a wholly owned subsidiary of Illumina and a Delaware limited liability company (“</w:t>
      </w:r>
      <w:r>
        <w:rPr>
          <w:rFonts w:ascii="Times New Roman" w:cs="Times New Roman" w:eastAsia="Times New Roman" w:hAnsi="Times New Roman"/>
          <w:sz w:val="18"/>
          <w:szCs w:val="18"/>
          <w:u w:val="single" w:color="auto"/>
          <w:color w:val="auto"/>
        </w:rPr>
        <w:t>GRAIL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to be converted to a corporation and renamed GRAIL, Inc. prior to the Distribution (“</w:t>
      </w:r>
      <w:r>
        <w:rPr>
          <w:rFonts w:ascii="Times New Roman" w:cs="Times New Roman" w:eastAsia="Times New Roman" w:hAnsi="Times New Roman"/>
          <w:sz w:val="18"/>
          <w:szCs w:val="18"/>
          <w:u w:val="single" w:color="auto"/>
          <w:color w:val="auto"/>
        </w:rPr>
        <w:t>GRAIL</w:t>
      </w:r>
      <w:r>
        <w:rPr>
          <w:rFonts w:ascii="Times New Roman" w:cs="Times New Roman" w:eastAsia="Times New Roman" w:hAnsi="Times New Roman"/>
          <w:sz w:val="18"/>
          <w:szCs w:val="18"/>
          <w:color w:val="auto"/>
        </w:rPr>
        <w:t>”). Illumina and GRAIL are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sometimes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1"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Illumina, acting together with its Subsidiaries, currently conducts the Illumina Business and GRAIL, acting together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currently conducts the GRAIL Business;</w:t>
      </w:r>
    </w:p>
    <w:p>
      <w:pPr>
        <w:spacing w:after="0" w:line="15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Illumina and GRAIL have entered into a Separation and Distribution Agreement, dated as of June 21, 2024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Separation will be consummated;</w:t>
      </w:r>
    </w:p>
    <w:p>
      <w:pPr>
        <w:spacing w:after="0" w:line="155"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Separation Agreement, Illumina and GRAIL have agreed to enter into this Agreement for the purpose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allocating between them Assets, Liabilities and responsibilities with respect to certain employee matters and employee compensation and benefit plans and programs and to address certain other employment-related matters.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agreements, provisions and covenants contained in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Parties hereby agree as 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Definitions and Interpretation</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As used in this Agreement, the following terms shall have the following meanings. All capitalized terms used but not defined herein shall have the meanings assigned to them in the Separation Agreement, unless otherwise indicated.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Cash-Based Incentive Award Agreement</w:t>
      </w:r>
      <w:r>
        <w:rPr>
          <w:rFonts w:ascii="Times New Roman" w:cs="Times New Roman" w:eastAsia="Times New Roman" w:hAnsi="Times New Roman"/>
          <w:sz w:val="18"/>
          <w:szCs w:val="18"/>
          <w:color w:val="auto"/>
        </w:rPr>
        <w:t>” means each award agreement evidencing a grant of a GRAIL 2024 Cash-Based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Award Value</w:t>
      </w:r>
      <w:r>
        <w:rPr>
          <w:rFonts w:ascii="Times New Roman" w:cs="Times New Roman" w:eastAsia="Times New Roman" w:hAnsi="Times New Roman"/>
          <w:sz w:val="18"/>
          <w:szCs w:val="18"/>
          <w:color w:val="auto"/>
        </w:rPr>
        <w:t>” shall have the meaning ascribed to it in the applicable LTIP Award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ectPr>
          <w:pgSz w:w="11900" w:h="16838" w:orient="portrait"/>
          <w:cols w:equalWidth="0" w:num="1">
            <w:col w:w="10980"/>
          </w:cols>
          <w:pgMar w:left="440" w:top="270" w:right="479" w:bottom="1440" w:gutter="0" w:footer="0" w:header="0"/>
        </w:sectPr>
      </w:pPr>
    </w:p>
    <w:bookmarkStart w:id="124" w:name="page125"/>
    <w:bookmarkEnd w:id="12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Baseline Equity Value</w:t>
      </w:r>
      <w:r>
        <w:rPr>
          <w:rFonts w:ascii="Times New Roman" w:cs="Times New Roman" w:eastAsia="Times New Roman" w:hAnsi="Times New Roman"/>
          <w:sz w:val="18"/>
          <w:szCs w:val="18"/>
          <w:color w:val="auto"/>
        </w:rPr>
        <w:t>” shall have the meaning ascribed to it in the applicable LTIP Award Agreement.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Arrangement</w:t>
      </w:r>
      <w:r>
        <w:rPr>
          <w:rFonts w:ascii="Times New Roman" w:cs="Times New Roman" w:eastAsia="Times New Roman" w:hAnsi="Times New Roman"/>
          <w:sz w:val="18"/>
          <w:szCs w:val="18"/>
          <w:color w:val="auto"/>
        </w:rPr>
        <w:t>” shall mean any compensation or employee benefit plan, program, policy, agreement or other arrangement, whether or not an “employee benefit plan” (within the meaning of Section 3(3) of ERISA, and whether or not subject to ERISA), including any Welfare Plan and any other compensation or benefit plan, program, policy, agreement or arrangement providing cash- or equity-based compensation or incentives, vacation, paid or unpaid leave, severance, retention, change in control, termination, deferred compensation, individual employment or consulting, supplemental income, retirement, post-retirement or other fringe compensation or benefits (whether or not taxable) or employee loans, but excluding workers’ compensation plans, programs, policies, agreements and arrangements.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shall mean all agreements with the collective bargaining representatives, employee representatives, trade unions, labor or management organizations, groups of employees, or works councils or similar representative bodies of GRAIL Employees, including all national or sector specific collective agreements which are applicable to GRAIL Employees, in each case in effect immediately prior to the Effective Time, that set forth terms and conditions of employment of GRAIL Employees, and all modifications of, or amendments to, such agreements and any rules, procedures, awards or decisions of competent jurisdiction interpreting or applying such agreements.</w:t>
      </w:r>
    </w:p>
    <w:p>
      <w:pPr>
        <w:spacing w:after="0" w:line="183"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GRAIL Awards</w:t>
      </w:r>
      <w:r>
        <w:rPr>
          <w:rFonts w:ascii="Times New Roman" w:cs="Times New Roman" w:eastAsia="Times New Roman" w:hAnsi="Times New Roman"/>
          <w:sz w:val="18"/>
          <w:szCs w:val="18"/>
          <w:color w:val="auto"/>
        </w:rPr>
        <w:t>” shall mean the Converted GRAIL RSUs, the Converted GRAIL 2024 Cash-Based Incentive Awards and the Converted GRAIL Options.</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Representative</w:t>
      </w:r>
      <w:r>
        <w:rPr>
          <w:rFonts w:ascii="Times New Roman" w:cs="Times New Roman" w:eastAsia="Times New Roman" w:hAnsi="Times New Roman"/>
          <w:sz w:val="18"/>
          <w:szCs w:val="18"/>
          <w:color w:val="auto"/>
        </w:rPr>
        <w:t>” shall mean any works council, employee representative, trade union, labor or management organization, group of employees or similar representative body for GRAIL Employees.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Value</w:t>
      </w:r>
      <w:r>
        <w:rPr>
          <w:rFonts w:ascii="Times New Roman" w:cs="Times New Roman" w:eastAsia="Times New Roman" w:hAnsi="Times New Roman"/>
          <w:sz w:val="18"/>
          <w:szCs w:val="18"/>
          <w:color w:val="auto"/>
        </w:rPr>
        <w:t>” shall have the meaning ascribed to it in the applicable LTIP Award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Value Percentage Change</w:t>
      </w:r>
      <w:r>
        <w:rPr>
          <w:rFonts w:ascii="Times New Roman" w:cs="Times New Roman" w:eastAsia="Times New Roman" w:hAnsi="Times New Roman"/>
          <w:sz w:val="18"/>
          <w:szCs w:val="18"/>
          <w:color w:val="auto"/>
        </w:rPr>
        <w:t>” shall have the meaning ascribed to it in the applicable LTIP Award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 as amended.</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2024 Cash-Based Incentive Award</w:t>
      </w:r>
      <w:r>
        <w:rPr>
          <w:rFonts w:ascii="Times New Roman" w:cs="Times New Roman" w:eastAsia="Times New Roman" w:hAnsi="Times New Roman"/>
          <w:sz w:val="18"/>
          <w:szCs w:val="18"/>
          <w:color w:val="auto"/>
        </w:rPr>
        <w:t>” means each cash-based incentive award granted by any member of the GRAIL Group on or after March 31, 2024, as agreed between Illumina and GRAIL, which for the avoidance of doubt, shall not include any award identified as an “equity appreciation award”.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25" w:name="page126"/>
    <w:bookmarkEnd w:id="125"/>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GRAIL Benefit Arrangement</w:t>
      </w:r>
      <w:r>
        <w:rPr>
          <w:rFonts w:ascii="Times New Roman" w:cs="Times New Roman" w:eastAsia="Times New Roman" w:hAnsi="Times New Roman"/>
          <w:sz w:val="18"/>
          <w:szCs w:val="18"/>
          <w:color w:val="auto"/>
        </w:rPr>
        <w:t>” shall mean any Benefit Arrangement that is (a) sponsored, maintained or contributed to, or required to be sponsored, maintained or contributed to, by any member of the GRAIL Group, excluding any Benefit Arrangement that is sponsored or maintained by a member of the Illumina Group, or (b) an Individual Agreement to which a member of the GRAIL Group is a party (including for clarity, each GRAIL LTIP Award and each GRAIL 2024 Cash-Based Incentive Award).</w:t>
      </w:r>
    </w:p>
    <w:p>
      <w:pPr>
        <w:spacing w:after="0" w:line="180"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Conversion Price</w:t>
      </w:r>
      <w:r>
        <w:rPr>
          <w:rFonts w:ascii="Times New Roman" w:cs="Times New Roman" w:eastAsia="Times New Roman" w:hAnsi="Times New Roman"/>
          <w:sz w:val="18"/>
          <w:szCs w:val="18"/>
          <w:color w:val="auto"/>
        </w:rPr>
        <w:t>” shall mean the average of the volume weighted average per share price of GRAIL Stock on the first four trading days immediately following the Distribution Date, as reported by Bloomberg L.P.</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RSU Conversion Ratio</w:t>
      </w:r>
      <w:r>
        <w:rPr>
          <w:rFonts w:ascii="Times New Roman" w:cs="Times New Roman" w:eastAsia="Times New Roman" w:hAnsi="Times New Roman"/>
          <w:sz w:val="18"/>
          <w:szCs w:val="18"/>
          <w:color w:val="auto"/>
        </w:rPr>
        <w:t>” shall mean the Illumina RSU Conversion Price divided by the GRAIL Conversion Price.</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Employee</w:t>
      </w:r>
      <w:r>
        <w:rPr>
          <w:rFonts w:ascii="Times New Roman" w:cs="Times New Roman" w:eastAsia="Times New Roman" w:hAnsi="Times New Roman"/>
          <w:sz w:val="18"/>
          <w:szCs w:val="18"/>
          <w:color w:val="auto"/>
        </w:rPr>
        <w:t>” shall mean each individual who is employed by a member of the GRAIL Group as of immediately prior to the Effective Time, regardless of whether any such employee is actively at work or is not actively at work as a result of disability or illness, a leave of absence (including military leave with unemployment rights under federal Law and leave under the Family and Medical Leave Act of 1993), vacation, personal day or similar short- or long-term absence.</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Former Employee</w:t>
      </w:r>
      <w:r>
        <w:rPr>
          <w:rFonts w:ascii="Times New Roman" w:cs="Times New Roman" w:eastAsia="Times New Roman" w:hAnsi="Times New Roman"/>
          <w:sz w:val="18"/>
          <w:szCs w:val="18"/>
          <w:color w:val="auto"/>
        </w:rPr>
        <w:t>” means each individual who, as of immediately prior to the Effective Time, is not an employee of a member of the GRAIL Group or a member of the Illumina Group, but who was previously employed by a member of the GRAIL Group.</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LTIP Award</w:t>
      </w:r>
      <w:r>
        <w:rPr>
          <w:rFonts w:ascii="Times New Roman" w:cs="Times New Roman" w:eastAsia="Times New Roman" w:hAnsi="Times New Roman"/>
          <w:sz w:val="18"/>
          <w:szCs w:val="18"/>
          <w:color w:val="auto"/>
        </w:rPr>
        <w:t>” means each cash-based equity appreciation award granted by any member of the GRAIL Group.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GRAIL Option Conversion Ratio</w:t>
      </w:r>
      <w:r>
        <w:rPr>
          <w:rFonts w:ascii="Times New Roman" w:cs="Times New Roman" w:eastAsia="Times New Roman" w:hAnsi="Times New Roman"/>
          <w:sz w:val="18"/>
          <w:szCs w:val="18"/>
          <w:color w:val="auto"/>
        </w:rPr>
        <w:t>” shall mean the Illumina Option Conversion Price divided by the GRAIL Conversion Price.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shall have the meaning ascribed to it in the applicable LTIP Award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Benefit Arrangement</w:t>
      </w:r>
      <w:r>
        <w:rPr>
          <w:rFonts w:ascii="Times New Roman" w:cs="Times New Roman" w:eastAsia="Times New Roman" w:hAnsi="Times New Roman"/>
          <w:sz w:val="18"/>
          <w:szCs w:val="18"/>
          <w:color w:val="auto"/>
        </w:rPr>
        <w:t>” shall mean any Benefit Arrangement that is (a) sponsored, maintained or contributed to, or required to be sponsored, maintained or contributed to, by any member of the Illumina Group, in each case, excluding any Benefit Arrangement that is sponsored or maintained by a member of the GRAIL Group or (b) an Individual Agreement to which a member of the Illumina Group is a party.</w:t>
      </w:r>
    </w:p>
    <w:p>
      <w:pPr>
        <w:spacing w:after="0" w:line="176"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Employee</w:t>
      </w:r>
      <w:r>
        <w:rPr>
          <w:rFonts w:ascii="Times New Roman" w:cs="Times New Roman" w:eastAsia="Times New Roman" w:hAnsi="Times New Roman"/>
          <w:sz w:val="18"/>
          <w:szCs w:val="18"/>
          <w:color w:val="auto"/>
        </w:rPr>
        <w:t>” shall mean each individual who is employed by a member of the Illumina Group as of immediately prior to the Effective Time, regardless of whether any such employee is actively at work or is not actively at work as a result of disability or illness, a leave of absence (including military leave with unemployment rights under federal Law and leave under the Family and Medical Leave Act of 1993), vacation, personal day or similar short- or long-term absence.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6" w:name="page127"/>
    <w:bookmarkEnd w:id="126"/>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Illumina Former Employee</w:t>
      </w:r>
      <w:r>
        <w:rPr>
          <w:rFonts w:ascii="Times New Roman" w:cs="Times New Roman" w:eastAsia="Times New Roman" w:hAnsi="Times New Roman"/>
          <w:sz w:val="18"/>
          <w:szCs w:val="18"/>
          <w:color w:val="auto"/>
        </w:rPr>
        <w:t>” means each individual who, as of immediately prior to the Effective Time, is not an employee of a member of the GRAIL Group or a member of the Illumina Group, but who was previously employed by a member of the Illumina Group.</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LTIP</w:t>
      </w:r>
      <w:r>
        <w:rPr>
          <w:rFonts w:ascii="Times New Roman" w:cs="Times New Roman" w:eastAsia="Times New Roman" w:hAnsi="Times New Roman"/>
          <w:sz w:val="18"/>
          <w:szCs w:val="18"/>
          <w:color w:val="auto"/>
        </w:rPr>
        <w:t>” shall mean the Illumina, Inc. Amended and Restated 2015 Stock and Incentive Plan or any prior version of such equity plan in existence at the time the applicable GRAIL LTIP Award was granted.</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Non-Qualified Plan</w:t>
      </w:r>
      <w:r>
        <w:rPr>
          <w:rFonts w:ascii="Times New Roman" w:cs="Times New Roman" w:eastAsia="Times New Roman" w:hAnsi="Times New Roman"/>
          <w:sz w:val="18"/>
          <w:szCs w:val="18"/>
          <w:color w:val="auto"/>
        </w:rPr>
        <w:t>” shall mean each nonqualified deferred compensation plan or arrangement, including any such plan that is an excess defined benefit or defined contribution plan, that is an Illumina Benefit Arrangement.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Option Award</w:t>
      </w:r>
      <w:r>
        <w:rPr>
          <w:rFonts w:ascii="Times New Roman" w:cs="Times New Roman" w:eastAsia="Times New Roman" w:hAnsi="Times New Roman"/>
          <w:sz w:val="18"/>
          <w:szCs w:val="18"/>
          <w:color w:val="auto"/>
        </w:rPr>
        <w:t>” shall mean an option to purchase shares of Illumina Stock granted under the Illumina LTIP.</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Option Conversion Price</w:t>
      </w:r>
      <w:r>
        <w:rPr>
          <w:rFonts w:ascii="Times New Roman" w:cs="Times New Roman" w:eastAsia="Times New Roman" w:hAnsi="Times New Roman"/>
          <w:sz w:val="18"/>
          <w:szCs w:val="18"/>
          <w:color w:val="auto"/>
        </w:rPr>
        <w:t>” shall mean the average of the volume weighted average per share price of Illumina Stock trading “regular way with due bills” during the four trading days immediately preceding the Distribution Date, as reported by Bloomberg L.P.</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Illumina RSU Conversion Price</w:t>
      </w:r>
      <w:r>
        <w:rPr>
          <w:rFonts w:ascii="Times New Roman" w:cs="Times New Roman" w:eastAsia="Times New Roman" w:hAnsi="Times New Roman"/>
          <w:sz w:val="18"/>
          <w:szCs w:val="18"/>
          <w:color w:val="auto"/>
        </w:rPr>
        <w:t>” shall mean the closing price of Illumina Stock on the date of the Illumina RSU Conversion.</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Individual Agreement</w:t>
      </w:r>
      <w:r>
        <w:rPr>
          <w:rFonts w:ascii="Times New Roman" w:cs="Times New Roman" w:eastAsia="Times New Roman" w:hAnsi="Times New Roman"/>
          <w:sz w:val="18"/>
          <w:szCs w:val="18"/>
          <w:color w:val="auto"/>
        </w:rPr>
        <w:t>” shall mean a Benefit Arrangement that is an individual employment contract or other similar agreement between, on the one hand, any member of the Illumina Group or any member of the GRAIL Group and, on the other hand, any Illumina Employee, Illumina Former Employe, GRAIL Employee, or GRAIL Former Employee.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LTIP Award Agreement</w:t>
      </w:r>
      <w:r>
        <w:rPr>
          <w:rFonts w:ascii="Times New Roman" w:cs="Times New Roman" w:eastAsia="Times New Roman" w:hAnsi="Times New Roman"/>
          <w:sz w:val="18"/>
          <w:szCs w:val="18"/>
          <w:color w:val="auto"/>
        </w:rPr>
        <w:t>” means each award agreement evidencing a GRAIL LTIP Award grant.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Measurement Date</w:t>
      </w:r>
      <w:r>
        <w:rPr>
          <w:rFonts w:ascii="Times New Roman" w:cs="Times New Roman" w:eastAsia="Times New Roman" w:hAnsi="Times New Roman"/>
          <w:sz w:val="18"/>
          <w:szCs w:val="18"/>
          <w:color w:val="auto"/>
        </w:rPr>
        <w:t>” shall have the meaning ascribed to it in the applicable LTIP Award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have the meanings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shall have the meaning set forth in the Recitals.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70" w:right="539" w:bottom="1440" w:gutter="0" w:footer="0" w:header="0"/>
        </w:sectPr>
      </w:pPr>
    </w:p>
    <w:bookmarkStart w:id="127" w:name="page128"/>
    <w:bookmarkEnd w:id="127"/>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Welfare Plan</w:t>
      </w:r>
      <w:r>
        <w:rPr>
          <w:rFonts w:ascii="Times New Roman" w:cs="Times New Roman" w:eastAsia="Times New Roman" w:hAnsi="Times New Roman"/>
          <w:sz w:val="18"/>
          <w:szCs w:val="18"/>
          <w:color w:val="auto"/>
        </w:rPr>
        <w:t>” shall mean, where applicable, a “welfare plan” (as defined in Section 3(1) of ERISA and in 29 C.F.R. §2510.3-1) or a “cafeteria plan” under Section 125 of the Code, and any benefits offered thereunder, and any other plan offering health benefits (including medical, prescription drug, dental, vision and mental health and substance use disorder), disability benefits, or life, accidental death and disability, pre-tax premium conversion benefits, dependent care assistance programs, employee assistance programs, contribution funding toward a health savings account, flexible spending accounts, tuition reimbursement or adoption assistance programs or cashable credits.</w:t>
      </w:r>
    </w:p>
    <w:p>
      <w:pPr>
        <w:spacing w:after="0" w:line="183"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References; Interpretation.</w:t>
      </w:r>
      <w:r>
        <w:rPr>
          <w:rFonts w:ascii="Times New Roman" w:cs="Times New Roman" w:eastAsia="Times New Roman" w:hAnsi="Times New Roman"/>
          <w:sz w:val="18"/>
          <w:szCs w:val="18"/>
          <w:color w:val="auto"/>
        </w:rPr>
        <w:t xml:space="preserve"> References in this Agreement to any gender include references to all genders, and references to the singular include references to the plural and vice versa. Unless the context otherwise requires, the words “include”, “includes” and “including” when used in this Agreement shall be deemed to be followed by the phrase “without limitation.” Unless the context otherwise requires, references in this Agreement to Articles, Sections, Annexes, Exhibits and Schedules shall be deemed references to Articles and Sections of, and Annexes, Exhibits and Schedules to, this Agreement. Unless the context otherwise requires, the words “hereof”, “hereby” and “herein” and words of similar meaning when used in this Agreement refer to this Agreement in its entirety and not to any particular Article, Section or provision of this Agreement. The words “written request” when used in this Agreement shall include email.</w:t>
      </w:r>
    </w:p>
    <w:p>
      <w:pPr>
        <w:spacing w:after="0" w:line="18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Reference in this Agreement to any time shall be to New York City, New York time unless otherwise expressly provided herein. Unless the context requires otherwise, references in this Agreement to “Illumina” shall also be deemed to refer to the applicable member(s) of the Illumina Group, references to “GRAIL” shall also be deemed to refer to the applicable member(s) of the GRAIL Group and, in connection therewith, any references to actions or omissions to be taken, or refrained from being taken, as the case may be, by Illumina or GRAIL shall be deemed to require Illumina or GRAIL, as the case may be, to cause the applicable members of the Illumina Group or the GRAIL Group, respectively, to take, or refrain from taking, any such 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Principles</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Nature of Liabilities.</w:t>
      </w:r>
      <w:r>
        <w:rPr>
          <w:rFonts w:ascii="Times New Roman" w:cs="Times New Roman" w:eastAsia="Times New Roman" w:hAnsi="Times New Roman"/>
          <w:sz w:val="18"/>
          <w:szCs w:val="18"/>
          <w:color w:val="auto"/>
        </w:rPr>
        <w:t xml:space="preserve"> All Liabilities assumed or retained by a member of the Illumina Group under this Agreement shall be Illumina Liabilities. All Liabilities assumed or retained by a member of the GRAIL Group under this Agreement shall be GRAIL Liabilities.</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Assumption and Retention of Liabilities Generally.</w:t>
      </w:r>
      <w:r>
        <w:rPr>
          <w:rFonts w:ascii="Times New Roman" w:cs="Times New Roman" w:eastAsia="Times New Roman" w:hAnsi="Times New Roman"/>
          <w:sz w:val="18"/>
          <w:szCs w:val="18"/>
          <w:color w:val="auto"/>
        </w:rPr>
        <w:t xml:space="preserve"> (a) From and after the Effective Time, except as otherwise provided in this Agreement, Illumina shall, or shall cause one or more members of the Illumina Group to, accept, assume (or, as applicable, retain) and perform, discharge and fulfill: (i) all Liabilities under all Illumina Benefit Arrangements, whenever incurred; (ii) all Liabilities with respect to the employment, service, termination of employment or termination of service of all Illumina Employees and their respective dependents and beneficiaries (and any alternate payees in respect thereof), whenever incurred; (iii) all Liabilities with respect to all Illumina Former Employees and their respective dependents and beneficiaries (and any alternate payees in respect thereof) to the extent such Liabilities are with respect to employment or service to the Illumina Group or the termination of such employment or service with the Illumina Group, whenever incurred; and (iv) all other Liabilities or obligations expressly assigned to or assumed by a member of the Illumina Group under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28" w:name="page129"/>
    <w:bookmarkEnd w:id="128"/>
    <w:p>
      <w:pPr>
        <w:ind w:right="20" w:firstLine="987"/>
        <w:spacing w:after="0" w:line="254"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and after the Effective Time, except as otherwise provided in this Agreement, GRAIL shall, or shall cause one or more members of the GRAIL Group to, accept, assume (or, as applicable, retain) and perform, discharge and fulfill: (i) all Liabilities under all GRAIL Benefit Arrangements, whenever incurred; (ii) all Liabilities with respect to the employment, service, termination of employment or termination of service of all GRAIL Employees, and their respective dependents and beneficiaries (and any alternate payees in respect thereof), whenever incurred; (iii) all Liabilities with respect to all GRAIL Former Employees and their respective dependents and beneficiaries (and any alternate payees in respect thereof) to the extent such Liabilities are with respect to employment or service to the GRAIL Group or the termination of such employment or service with the GRAIL Group, whenever incurred; and (iv) all other Liabilities or obligations expressly assigned to or assumed by a member of the GRAIL Group under this Agreement.</w:t>
      </w:r>
    </w:p>
    <w:p>
      <w:pPr>
        <w:spacing w:after="0" w:line="191"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promptly reimburse one another, upon reasonable request of the Party requesting reimbursement and the presentation by such Party of such substantiating documentation as the other Party shall reasonably request, for the cost of any obligations or Liabilities satisfied or assumed by the Party requesting reimbursement or its Affiliates that are, or that have been made pursuant to this Agreement, the responsibility of the other Party or any of its Affiliates.</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Collective Bargaining Agreements</w:t>
      </w:r>
      <w:r>
        <w:rPr>
          <w:rFonts w:ascii="Times New Roman" w:cs="Times New Roman" w:eastAsia="Times New Roman" w:hAnsi="Times New Roman"/>
          <w:sz w:val="18"/>
          <w:szCs w:val="18"/>
          <w:color w:val="auto"/>
        </w:rPr>
        <w:t>. Notwithstanding anything in this Agreement to the contrary, Illumina and GRAIL shall, to the extent required by applicable Law, take or cause to be taken all actions that are necessary (if any) for GRAIL or a member of the GRAIL Group to continue to maintain and comply, in each case, as applicable, with any Collective Bargaining Agreements and any pre-existing collective bargaining relationships (in each case including obligations that arise in respect of the period both before and after the date of employment by the GRAIL Group) in respect of any GRAIL Employees based in the United Kingdom and any applicable Employee Representatives. Nothing in this Agreement is intended to alter the provisions of any applicable Collective Bargaining Agreement or modify in any way the obligations of the GRAIL Group to any applicable Employee Representative or any other Person as described in such agreement.</w:t>
      </w:r>
    </w:p>
    <w:p>
      <w:pPr>
        <w:spacing w:after="0" w:line="189"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Information and Consultation.</w:t>
      </w:r>
      <w:r>
        <w:rPr>
          <w:rFonts w:ascii="Times New Roman" w:cs="Times New Roman" w:eastAsia="Times New Roman" w:hAnsi="Times New Roman"/>
          <w:sz w:val="18"/>
          <w:szCs w:val="18"/>
          <w:color w:val="auto"/>
        </w:rPr>
        <w:t xml:space="preserve"> The Parties shall comply with all requirements and obligations to inform, consult or otherwise notify any Illumina Employees or GRAIL Employees or Employee Representatives in relation to the transactions contemplated by this Agreement and the Separation Agreement, whether required pursuant to any Collective Bargaining Agreement or other applicable Law.</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29" w:name="page130"/>
    <w:bookmarkEnd w:id="129"/>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2.5. </w:t>
      </w:r>
      <w:r>
        <w:rPr>
          <w:rFonts w:ascii="Times New Roman" w:cs="Times New Roman" w:eastAsia="Times New Roman" w:hAnsi="Times New Roman"/>
          <w:sz w:val="18"/>
          <w:szCs w:val="18"/>
          <w:u w:val="single" w:color="auto"/>
          <w:color w:val="auto"/>
        </w:rPr>
        <w:t>Non-Acceleration; Non-Termination of Employment.</w:t>
      </w:r>
      <w:r>
        <w:rPr>
          <w:rFonts w:ascii="Times New Roman" w:cs="Times New Roman" w:eastAsia="Times New Roman" w:hAnsi="Times New Roman"/>
          <w:sz w:val="18"/>
          <w:szCs w:val="18"/>
          <w:color w:val="auto"/>
        </w:rPr>
        <w:t xml:space="preserve"> Except as otherwise required by applicable Law (if any), neither this Agreement, the Separation Agreement nor any Ancillary Agreement shall or shall be construed so as to create any right (other than rights to receive Converted GRAIL Awards) or accelerate any entitlement to any compensation or benefit on the part of any GRAIL Employee, GRAIL Former Employee, Illumina Employee or Illumina Former Employee. Without limiting the generality of the foregoing, except as otherwise required by applicable Law, none of the transactions contemplated by or undertaken pursuant to this Agreement, the Separation Agreement or any Ancillary Agreement shall (i) cause any individual to be deemed to have incurred a termination of employment, (ii) have created any entitlement to any severance payments or benefits or the commencement of any compensation or benefits under any GRAIL Benefit Arrangement or Illumina Benefit Arrangement or (iii) constitute or give rise to an “employment loss” or employment separation within the meaning of the federal Worker Adjustment and Retraining Notification Act (WARN) of 1988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any other foreign, federal, state or local Law or other legal requirement addressing mass employment separations.</w:t>
      </w:r>
    </w:p>
    <w:p>
      <w:pPr>
        <w:spacing w:after="0" w:line="194"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No Transfer of Assets.</w:t>
      </w:r>
      <w:r>
        <w:rPr>
          <w:rFonts w:ascii="Times New Roman" w:cs="Times New Roman" w:eastAsia="Times New Roman" w:hAnsi="Times New Roman"/>
          <w:sz w:val="18"/>
          <w:szCs w:val="18"/>
          <w:color w:val="auto"/>
        </w:rPr>
        <w:t xml:space="preserve"> Nothing in this Agreement shall require any member of the Illumina Group or any Illumina Benefit Arrangement to transfer Assets or reserves with respect to the Illumina Benefit Arrangements to any member of the GRAIL Group or any GRAIL Benefit Arrangement or require any member of the GRAIL Group or any GRAIL Benefit Arrangement to transfer Assets or reserves with respect to the GRAIL Benefit Arrangements to any member of the Illumina Group or any Illumina Benefit Arrangement.</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Equity Incentive Awards</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GRAIL Stock Plan.</w:t>
      </w:r>
      <w:r>
        <w:rPr>
          <w:rFonts w:ascii="Times New Roman" w:cs="Times New Roman" w:eastAsia="Times New Roman" w:hAnsi="Times New Roman"/>
          <w:sz w:val="18"/>
          <w:szCs w:val="18"/>
          <w:color w:val="auto"/>
        </w:rPr>
        <w:t xml:space="preserve"> Effective on or before the Distribution Date, subject to the approval of Illumina and the Illumina Board (or any duly authorized committee thereof), GRAIL shall establish and adopt an equity compensation plan for the benefit of the GRAIL Group following the Distribution Date (the “</w:t>
      </w:r>
      <w:r>
        <w:rPr>
          <w:rFonts w:ascii="Times New Roman" w:cs="Times New Roman" w:eastAsia="Times New Roman" w:hAnsi="Times New Roman"/>
          <w:sz w:val="18"/>
          <w:szCs w:val="18"/>
          <w:u w:val="single" w:color="auto"/>
          <w:color w:val="auto"/>
        </w:rPr>
        <w:t>GRAIL Stock Plan</w:t>
      </w:r>
      <w:r>
        <w:rPr>
          <w:rFonts w:ascii="Times New Roman" w:cs="Times New Roman" w:eastAsia="Times New Roman" w:hAnsi="Times New Roman"/>
          <w:sz w:val="18"/>
          <w:szCs w:val="18"/>
          <w:color w:val="auto"/>
        </w:rPr>
        <w:t>”). For the avoidance of doubt, the GRAIL Group shall not be permitted to grant any equity-based incentive compensation awards pursuant to the GRAIL Stock Plan or otherwise prior to the Distribution Date without Illumina’s prior written consent.</w:t>
      </w:r>
    </w:p>
    <w:p>
      <w:pPr>
        <w:spacing w:after="0" w:line="183"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GRAIL LTIP Award Valuation</w:t>
      </w:r>
      <w:r>
        <w:rPr>
          <w:rFonts w:ascii="Times New Roman" w:cs="Times New Roman" w:eastAsia="Times New Roman" w:hAnsi="Times New Roman"/>
          <w:sz w:val="18"/>
          <w:szCs w:val="18"/>
          <w:color w:val="auto"/>
        </w:rPr>
        <w:t xml:space="preserve">. Effective as of immediately prior to the Illumina RSU Conversion (as defined below), the Aggregate Award Value for each then outstanding and unvested portion of the GRAIL LTIP Award shall be adjusted in accordance with Section 1(b) of the applicable LTIP Award Agreement, with the Equity Value Percentage Change determined based on (a) an Equity Value that is equal to GRAIL’s average market capitalization determined by reference to the volume weighted average per share price of GRAIL Stock for the four trading days immediately following the Distribution Date, multiplied by the shares of GRAIL Stock outstanding, in each case, as reported by Bloomberg L.P., compared to (b) the Baseline Equity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foregoing, the Baseline Equity Value shall be deemed to be equal to the aggregate equity value of GRAIL as of the applicable Grant Date as reflected in the consolidated financial statements of Illumina and its consolidated Subsidiaries included or</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130" w:name="page131"/>
    <w:bookmarkEnd w:id="130"/>
    <w:p>
      <w:pPr>
        <w:jc w:val="both"/>
        <w:ind w:left="4"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incorporated by reference in the materials filed or furnished, as applicable, with the SEC by Illumina for the fiscal quarter in which such Grant Date occurred. For the avoidance of doubt, the date on which the conversion described in the immediately preceding sentence occurs shall be a Quarterly Measurement Date.</w:t>
      </w:r>
    </w:p>
    <w:p>
      <w:pPr>
        <w:spacing w:after="0" w:line="176" w:lineRule="exact"/>
        <w:rPr>
          <w:sz w:val="20"/>
          <w:szCs w:val="20"/>
          <w:color w:val="auto"/>
        </w:rPr>
      </w:pPr>
    </w:p>
    <w:p>
      <w:pPr>
        <w:ind w:left="4" w:right="1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Illumina RSU Conversion.</w:t>
      </w:r>
      <w:r>
        <w:rPr>
          <w:rFonts w:ascii="Times New Roman" w:cs="Times New Roman" w:eastAsia="Times New Roman" w:hAnsi="Times New Roman"/>
          <w:sz w:val="18"/>
          <w:szCs w:val="18"/>
          <w:color w:val="auto"/>
        </w:rPr>
        <w:t xml:space="preserve"> Effective as of immediately prior to the Distribution, each then outstanding and unvested portion of the GRAIL LTIP Award shall be converted (such conversion, including the proviso below, the “</w:t>
      </w:r>
      <w:r>
        <w:rPr>
          <w:rFonts w:ascii="Times New Roman" w:cs="Times New Roman" w:eastAsia="Times New Roman" w:hAnsi="Times New Roman"/>
          <w:sz w:val="18"/>
          <w:szCs w:val="18"/>
          <w:u w:val="single" w:color="auto"/>
          <w:color w:val="auto"/>
        </w:rPr>
        <w:t>Illumina RSU Conversion</w:t>
      </w:r>
      <w:r>
        <w:rPr>
          <w:rFonts w:ascii="Times New Roman" w:cs="Times New Roman" w:eastAsia="Times New Roman" w:hAnsi="Times New Roman"/>
          <w:sz w:val="18"/>
          <w:szCs w:val="18"/>
          <w:color w:val="auto"/>
        </w:rPr>
        <w:t>”) into an award of restricted stock units with respect to Illumina Stock (each, a “</w:t>
      </w:r>
      <w:r>
        <w:rPr>
          <w:rFonts w:ascii="Times New Roman" w:cs="Times New Roman" w:eastAsia="Times New Roman" w:hAnsi="Times New Roman"/>
          <w:sz w:val="18"/>
          <w:szCs w:val="18"/>
          <w:u w:val="single" w:color="auto"/>
          <w:color w:val="auto"/>
        </w:rPr>
        <w:t>Converted Cash Award</w:t>
      </w:r>
      <w:r>
        <w:rPr>
          <w:rFonts w:ascii="Times New Roman" w:cs="Times New Roman" w:eastAsia="Times New Roman" w:hAnsi="Times New Roman"/>
          <w:sz w:val="18"/>
          <w:szCs w:val="18"/>
          <w:color w:val="auto"/>
        </w:rPr>
        <w:t xml:space="preserve">”) in accordance with Section 2(a) of the applicable LTIP Award Agreement, with the number of shares of Illumina Stock subject to each Converted Cash Award equal to the product of (a) the applicable Aggregate Award Value (as determined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divided by (b) the closing price of Illumina Stock on the date of the Illumina RSU Conversion;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portion of the Converted Cash Award that has a regularly scheduled vesting date (based on the original vesting date set forth in the applicable LTIP Award Agreement without accounting for any accelerated vesting entitlements under any GRAIL Benefit Arrangement) after the Distribution Date but on or before December 31, 2024, the number of shares of Illumina Stock subject to such portion shall be adjusted, to the extent such adjustment would result in an increase, following the conversion described above in order to be equal to (i) one-fourth of the Aggregate Award Value of the applicable GRAIL LTIP Award, determined as of the applicable Grant Date (i.e., without applying any Equity Value Percentage Change since the Grant Date, including that provided for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divided by (ii) the closing price of Illumina Stock on the date of the Illumina RSU Conversion. For the avoidance of doubt, the foregoing calculation shall be rounded up to the nearest whole restricted stock unit.</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GRAIL RSU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70" w:lineRule="auto"/>
        <w:tabs>
          <w:tab w:leader="none" w:pos="12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Converted Cash Award</w:t>
      </w:r>
      <w:r>
        <w:rPr>
          <w:rFonts w:ascii="Times New Roman" w:cs="Times New Roman" w:eastAsia="Times New Roman" w:hAnsi="Times New Roman"/>
          <w:sz w:val="17"/>
          <w:szCs w:val="17"/>
          <w:color w:val="auto"/>
        </w:rPr>
        <w:t>. Effective as of the Distribution, each Converted Cash Award shall be equitably adjusted in accordance with Section 15(a) of the Illumina LTIP by converting such Converted Cash Award into an award of restricted stock units with respect to GRAIL Stock (each, a “</w:t>
      </w:r>
      <w:r>
        <w:rPr>
          <w:rFonts w:ascii="Times New Roman" w:cs="Times New Roman" w:eastAsia="Times New Roman" w:hAnsi="Times New Roman"/>
          <w:sz w:val="17"/>
          <w:szCs w:val="17"/>
          <w:u w:val="single" w:color="auto"/>
          <w:color w:val="auto"/>
        </w:rPr>
        <w:t>Converted GRAIL RSU</w:t>
      </w:r>
      <w:r>
        <w:rPr>
          <w:rFonts w:ascii="Times New Roman" w:cs="Times New Roman" w:eastAsia="Times New Roman" w:hAnsi="Times New Roman"/>
          <w:sz w:val="17"/>
          <w:szCs w:val="17"/>
          <w:color w:val="auto"/>
        </w:rPr>
        <w:t>”), with the number of shares of GRAIL Stock subject to each Converted GRAIL RSU equal to the product, rounded to the nearest whole share, of (a) the number of shares of Illumina Stock subject to such Converted Cash Award as of immediately prior to the Distribution and</w:t>
      </w:r>
    </w:p>
    <w:p>
      <w:pPr>
        <w:spacing w:after="0" w:line="2" w:lineRule="exact"/>
        <w:rPr>
          <w:rFonts w:ascii="Times New Roman" w:cs="Times New Roman" w:eastAsia="Times New Roman" w:hAnsi="Times New Roman"/>
          <w:sz w:val="17"/>
          <w:szCs w:val="17"/>
          <w:color w:val="auto"/>
        </w:rPr>
      </w:pPr>
    </w:p>
    <w:p>
      <w:pPr>
        <w:ind w:left="4" w:right="320" w:hanging="4"/>
        <w:spacing w:after="0" w:line="260" w:lineRule="auto"/>
        <w:tabs>
          <w:tab w:leader="none" w:pos="25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GRAIL RSU Conversion Ratio. All other terms and conditions of the Converted GRAIL RSUs, including vesting and payment timing terms, shall be the terms and conditions that applied to the applicable Converted Cash Award.</w:t>
      </w:r>
    </w:p>
    <w:p>
      <w:pPr>
        <w:spacing w:after="0" w:line="18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GRAIL 2024 Cash-Based Incentive Award</w:t>
      </w:r>
      <w:r>
        <w:rPr>
          <w:rFonts w:ascii="Times New Roman" w:cs="Times New Roman" w:eastAsia="Times New Roman" w:hAnsi="Times New Roman"/>
          <w:sz w:val="18"/>
          <w:szCs w:val="18"/>
          <w:color w:val="auto"/>
        </w:rPr>
        <w:t>. Effective as of the Distribution, each then outstanding and unvested portion of each GRAIL 2024 Cash-Based Incentive Award shall be converted into an award of restricted stock units with respect to GRAIL Stock (each, a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GRAIL 2024 Cash-Based Incentive Award</w:t>
      </w:r>
      <w:r>
        <w:rPr>
          <w:rFonts w:ascii="Times New Roman" w:cs="Times New Roman" w:eastAsia="Times New Roman" w:hAnsi="Times New Roman"/>
          <w:sz w:val="18"/>
          <w:szCs w:val="18"/>
          <w:color w:val="auto"/>
        </w:rPr>
        <w:t>”), with the number of shares of GRAIL Stock subject to each Converted GRAIL 2024 Cash-Based Incentive Award determined in accordance with Section 2 of the applicable 2024 Cash-Based Incentive Award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31" w:name="page132"/>
    <w:bookmarkEnd w:id="131"/>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3.5. </w:t>
      </w:r>
      <w:r>
        <w:rPr>
          <w:rFonts w:ascii="Times New Roman" w:cs="Times New Roman" w:eastAsia="Times New Roman" w:hAnsi="Times New Roman"/>
          <w:sz w:val="18"/>
          <w:szCs w:val="18"/>
          <w:u w:val="single" w:color="auto"/>
          <w:color w:val="auto"/>
        </w:rPr>
        <w:t>Option Awards.</w:t>
      </w:r>
      <w:r>
        <w:rPr>
          <w:rFonts w:ascii="Times New Roman" w:cs="Times New Roman" w:eastAsia="Times New Roman" w:hAnsi="Times New Roman"/>
          <w:sz w:val="18"/>
          <w:szCs w:val="18"/>
          <w:color w:val="auto"/>
        </w:rPr>
        <w:t xml:space="preserve"> Effective as of the Distribution, each Illumina Option Award held as of immediately prior to the Distribution by any GRAIL Employee, whether vested or unvested, shall be converted into an option to purchase shares of GRAIL Stock (a “</w:t>
      </w:r>
      <w:r>
        <w:rPr>
          <w:rFonts w:ascii="Times New Roman" w:cs="Times New Roman" w:eastAsia="Times New Roman" w:hAnsi="Times New Roman"/>
          <w:sz w:val="18"/>
          <w:szCs w:val="18"/>
          <w:u w:val="single" w:color="auto"/>
          <w:color w:val="auto"/>
        </w:rPr>
        <w:t>Converted GRAIL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with the number of shares of GRAIL Stock subject to the Converted GRAIL Option equal to the product, rounded down to the nearest whole share, of (a) the number of shares of Illumina Stock subject to such Illumina Option Award as of immediately prior to the Distribution and (b) the GRAIL Option Conversion Ratio. Each Converted GRAIL Option shall have a per-share exercise price equal to (i) the per-share exercise price of the corresponding Illumina Option Award divided by (ii) the GRAIL Option Conversion Ratio, rounded up to the nearest cent. All other terms and conditions of the Converted GRAIL Options, including vesting terms, shall be the terms and conditions that applied to the applicable Illumina Option Award.</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For the avoidance of doubt, each Converted GRAIL RSU, Converted GRAIL 2024 Cash-Based Incentive Award and Converted GRAIL Option shall take into account (and count as continued employment or service) all employment and service with both Illumina and GRAIL, and their respective Subsidiaries and Affiliates, for purposes of determining when such awards vest and terminate. The GRAIL Group shall be solely responsible for all Liabilities with respect to the GRAIL Stock Plan and the Converted GRAIL RSUs, Converted GRAIL 2024 Cash-Based Incentive Award and Converted GRAIL Options. The Parties shall take all actions reasonably necessary or appropriate so that the GRAIL LTIP Awards, GRAIL 2024 Cash-Based Incentive Awards and the equity-based incentive compensation awards granted under the Illumina LTIP, in each case, outstanding as of immediately prior to the Distribution shall be treated as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The adjustment or conversion of any equity-based incentive compensation award pursuant to </w:t>
      </w:r>
      <w:r>
        <w:rPr>
          <w:rFonts w:ascii="Times New Roman" w:cs="Times New Roman" w:eastAsia="Times New Roman" w:hAnsi="Times New Roman"/>
          <w:sz w:val="18"/>
          <w:szCs w:val="18"/>
          <w:u w:val="single" w:color="auto"/>
          <w:color w:val="auto"/>
        </w:rPr>
        <w:t>Sections 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shall be effectuated in a manner that is intended to preserve the economic value of the award on the Distribution Date (after giving effect to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and to comply with applicable Law and avoid the imposition of any penalty or other taxes on the holders thereof pursuant to Code Section 409A or otherwise, and shall be interpreted in accordance with the foregoing intent for all purposes.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Non-Qualified Deferred Compensation</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Treatment of Illumina Non-Qualified Plans.</w:t>
      </w:r>
      <w:r>
        <w:rPr>
          <w:rFonts w:ascii="Times New Roman" w:cs="Times New Roman" w:eastAsia="Times New Roman" w:hAnsi="Times New Roman"/>
          <w:sz w:val="18"/>
          <w:szCs w:val="18"/>
          <w:color w:val="auto"/>
        </w:rPr>
        <w:t xml:space="preserve"> The Illumina Group shall retain sponsorship of each Illumina Non-Qualified Plan and all Assets and Liabilities arising out of or relating to such Illumina Non-Qualified Plan, including those relating to GRAIL Employees (to the extent accrued and vested under the terms of the applicable plans). Following the Distribution Date, GRAIL shall notify Illumina of any “separation from service” under Section 409A of the Code of the GRAIL Employee who participates in an Illumina Non-Qualified Plan, as promptly as practicable but in no event later than thirty (30) days thereafter, and shall promptly provide to Illumina any other relevant information reasonably requested by Illumina for purposes of administering payments pursuant to the Illumina Non-Qualified Plans to such GRAIL Employee. In the event of a subsequent acquisition, divestiture, spinoff or other corporate transaction involving the GRAIL Group that is not treated as a “separation from service” under an Illumina Non-Qualified Plan, GRAIL shall use commercially reasonable efforts to ensure comparable cooperation from the successor employer.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32" w:name="page133"/>
    <w:bookmarkEnd w:id="132"/>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No Separation from Service.</w:t>
      </w:r>
      <w:r>
        <w:rPr>
          <w:rFonts w:ascii="Times New Roman" w:cs="Times New Roman" w:eastAsia="Times New Roman" w:hAnsi="Times New Roman"/>
          <w:sz w:val="18"/>
          <w:szCs w:val="18"/>
          <w:color w:val="auto"/>
        </w:rPr>
        <w:t xml:space="preserve"> The Parties acknowledge that none of the transactions contemplated by this Agreement, the Separation Agreement or any Ancillary Agreement shall be treated as a “separation from service” for purposes of the Illumina Non-Qualified Plans for any participant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Additional Matters</w:t>
      </w:r>
    </w:p>
    <w:p>
      <w:pPr>
        <w:spacing w:after="0" w:line="225" w:lineRule="exact"/>
        <w:rPr>
          <w:sz w:val="20"/>
          <w:szCs w:val="20"/>
          <w:color w:val="auto"/>
        </w:rPr>
      </w:pPr>
    </w:p>
    <w:p>
      <w:pPr>
        <w:ind w:right="2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xml:space="preserve"> Notwithstanding anything in this Agreement or the Tax Matters Agreement to the contrary, the Parties shall negotiate in good faith regarding the need for any treatment different from that otherwise provided herein with respect to the payment of compensation to ensure that the treatment of such compensation does not cause the imposition of a Tax under Section 409A of the Code. In no event, however, shall any Party be liable to another in respect of any Taxes imposed under, or any other costs or Liabilities relating to, Section 409A of the Code.</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Article VI of the Separation Agreement is hereby incorporated into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Tax Deductions.</w:t>
      </w:r>
      <w:r>
        <w:rPr>
          <w:rFonts w:ascii="Times New Roman" w:cs="Times New Roman" w:eastAsia="Times New Roman" w:hAnsi="Times New Roman"/>
          <w:sz w:val="18"/>
          <w:szCs w:val="18"/>
          <w:color w:val="auto"/>
        </w:rPr>
        <w:t xml:space="preserve"> The Illumina Group shall be solely entitled to claim any income Tax deduction arising after the Effective Time with respect to any payment or benefit under any Illumina Benefit Arrangement. The GRAIL Group shall be solely entitled to claim any income Tax deduction arising after the Effective Time with respect to any payment or benefit under any GRAIL Benefit Arrangement.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Employer Rights.</w:t>
      </w:r>
      <w:r>
        <w:rPr>
          <w:rFonts w:ascii="Times New Roman" w:cs="Times New Roman" w:eastAsia="Times New Roman" w:hAnsi="Times New Roman"/>
          <w:sz w:val="18"/>
          <w:szCs w:val="18"/>
          <w:color w:val="auto"/>
        </w:rPr>
        <w:t xml:space="preserve"> Nothing in this Agreement shall be deemed to be an amendment to any Illumina Benefit Arrangement or GRAIL Benefit Arrangement or to prohibit Illumina, GRAIL, or any member of the Illumina Group or GRAIL Group, as the case may be, from amending, modifying or terminating any Illumina Benefit Arrangement or GRAIL Benefit Arrangement at any time within its sole discretion.</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Effect on Employment.</w:t>
      </w:r>
      <w:r>
        <w:rPr>
          <w:rFonts w:ascii="Times New Roman" w:cs="Times New Roman" w:eastAsia="Times New Roman" w:hAnsi="Times New Roman"/>
          <w:sz w:val="18"/>
          <w:szCs w:val="18"/>
          <w:color w:val="auto"/>
        </w:rPr>
        <w:t xml:space="preserve"> Nothing in this Agreement is intended to or shall confer upon any Illumina Employee, Illumina Former Employe, GRAIL Employee, or GRAIL Former Employee or any other employee or service provider of Illumina, the Illumina Group, GRAIL or the GRAIL Group any right to continued employment, continued service, or any recall or similar rights to any such individual on layoff or any type of approved leave.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3" w:name="page134"/>
    <w:bookmarkEnd w:id="133"/>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6.3. </w:t>
      </w:r>
      <w:r>
        <w:rPr>
          <w:rFonts w:ascii="Times New Roman" w:cs="Times New Roman" w:eastAsia="Times New Roman" w:hAnsi="Times New Roman"/>
          <w:sz w:val="18"/>
          <w:szCs w:val="18"/>
          <w:u w:val="single" w:color="auto"/>
          <w:color w:val="auto"/>
        </w:rPr>
        <w:t>Consent of Third Parties.</w:t>
      </w:r>
      <w:r>
        <w:rPr>
          <w:rFonts w:ascii="Times New Roman" w:cs="Times New Roman" w:eastAsia="Times New Roman" w:hAnsi="Times New Roman"/>
          <w:sz w:val="18"/>
          <w:szCs w:val="18"/>
          <w:color w:val="auto"/>
        </w:rPr>
        <w:t xml:space="preserve"> If any provision of this Agreement is dependent on the consent of any third party and such consent is withheld, the Parties shall use their commercially reasonable efforts to implement the applicable provisions of this Agreement to the fullest extent practicable. If any provision of this Agreement cannot be implemented due to the failure of such third party to consent, the Parties hereto shall negotiate in good faith to implement the provision (as applicable) in a mutually satisfactory manner.</w:t>
      </w:r>
    </w:p>
    <w:p>
      <w:pPr>
        <w:spacing w:after="0" w:line="18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Access to Employees.</w:t>
      </w:r>
      <w:r>
        <w:rPr>
          <w:rFonts w:ascii="Times New Roman" w:cs="Times New Roman" w:eastAsia="Times New Roman" w:hAnsi="Times New Roman"/>
          <w:sz w:val="18"/>
          <w:szCs w:val="18"/>
          <w:color w:val="auto"/>
        </w:rPr>
        <w:t xml:space="preserve"> On and after the Effective Time, Illumina and GRAIL shall, or shall cause each of their respective Affiliates to, make available to each other those of their employees who may reasonably be needed in order to defend or prosecute any legal or administrative action (other than a legal action between Illumina and GRAIL) to which any employee or director of the Illumina Group or the GRAIL Group or any Illumina Benefit Arrangement or GRAIL Benefit Arrangement is a party and which relates to an Illumina Benefit Arrangement or GRAIL Benefit Arrangement. The Party to whom an employee is made available in accordance with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pay or reimburse the other Party for all reasonable expenses which may be incurred by such employee in connection therewith, including all reasonable travel, lodging, and meal expenses, but excluding any amount for such employee’s time spent in connection herewith.</w:t>
      </w:r>
    </w:p>
    <w:p>
      <w:pPr>
        <w:spacing w:after="0" w:line="18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Beneficiary Designation/Release of Information/Right to Reimbursement.</w:t>
      </w:r>
      <w:r>
        <w:rPr>
          <w:rFonts w:ascii="Times New Roman" w:cs="Times New Roman" w:eastAsia="Times New Roman" w:hAnsi="Times New Roman"/>
          <w:sz w:val="18"/>
          <w:szCs w:val="18"/>
          <w:color w:val="auto"/>
        </w:rPr>
        <w:t xml:space="preserve"> To the extent permitted by applicable Law and except as otherwise provided for in this Agreement, all beneficiary designations, authorizations for the release of information and rights to reimbursement made by or relating to GRAIL Employees or GRAIL Former Employees under Illumina Benefit Arrangements shall be transferred to and be in full force and effect under the corresponding GRAIL Benefit Arrangements until such beneficiary designations, authorizations or rights are replaced or revoked by, or no longer apply, to the relevant GRAIL Employee or GRAIL Former Employee.</w:t>
      </w:r>
    </w:p>
    <w:p>
      <w:pPr>
        <w:spacing w:after="0" w:line="183"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is solely for the benefit of the Parties and, except to the extent otherwise expressly provided herein, nothing in this Agreement, express or implied, is intended to confer any rights, benefits, remedies, obligations or Liabilities under this Agreement upon any Person, including any GRAIL Employee, GRAIL Former Employee, Illumina Employee, Illumina Former Employee or other current or former employee, officer, director or contractor of the Illumina Group or GRAIL Group, other than the Parties and their respective successors and assigns.</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No Acceleration of Benefits.</w:t>
      </w:r>
      <w:r>
        <w:rPr>
          <w:rFonts w:ascii="Times New Roman" w:cs="Times New Roman" w:eastAsia="Times New Roman" w:hAnsi="Times New Roman"/>
          <w:sz w:val="18"/>
          <w:szCs w:val="18"/>
          <w:color w:val="auto"/>
        </w:rPr>
        <w:t xml:space="preserve"> Except as otherwise provided in this Agreement, no provision of this Agreement shall be construed to create any right, or accelerate vesting or entitlement, to any compensation or benefit whatsoever on the part of any GRAIL Employee, GRAIL Former Employee, Illumina Employee, Illumina Former Employee or other former, current or future employee of the Illumina Group or GRAIL Group under any Illumina Benefit Arrangement or GRAIL Benefit Arrangement. Without limiting the generality of the foregoing, neither the Separation nor the Distribution shall cause any individual to be deemed to have incurred a termination of employment or to have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34" w:name="page135"/>
    <w:bookmarkEnd w:id="13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created any entitlement to any severance payments or benefits or the commencement of any benefits under any Illumina Benefit Arrangement or GRAIL Benefit Arrangement. Neither the Separation nor the Distribution shall constitute a “change in control” (or term of similar meaning) for purposes of any Illumina Benefit Arrangement or any GRAIL Benefit Arrangement.</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Employee Benefits Administration.</w:t>
      </w:r>
      <w:r>
        <w:rPr>
          <w:rFonts w:ascii="Times New Roman" w:cs="Times New Roman" w:eastAsia="Times New Roman" w:hAnsi="Times New Roman"/>
          <w:sz w:val="18"/>
          <w:szCs w:val="18"/>
          <w:color w:val="auto"/>
        </w:rPr>
        <w:t xml:space="preserve"> At all times following the date hereof, the Parties will cooperate in good faith as necessary to facilitate the administration of employee benefits and the resolution of related employee benefit claims with respect to GRAIL Employees, including with respect to the provision of employee-level information necessary for the other Party to manage, administer, finance and file required reports with respect to such administration.</w:t>
      </w:r>
    </w:p>
    <w:p>
      <w:pPr>
        <w:spacing w:after="0" w:line="3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Entire Agreement; Power.</w:t>
      </w:r>
    </w:p>
    <w:p>
      <w:pPr>
        <w:spacing w:after="0" w:line="225" w:lineRule="exact"/>
        <w:rPr>
          <w:sz w:val="20"/>
          <w:szCs w:val="20"/>
          <w:color w:val="auto"/>
        </w:rPr>
      </w:pPr>
    </w:p>
    <w:p>
      <w:pPr>
        <w:ind w:right="20" w:firstLine="987"/>
        <w:spacing w:after="0" w:line="266"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Separation Agreement, including the Exhibits and Schedules thereto, shall constitute the entire agreement between the Parties with respect to the subject matter hereof and shall supersede all previous negotiations, commitments, course of dealings and writings with respect to such subject matter.</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Illumina represents on behalf of itself and each other member of the Illumina Group, and GRAIL represents on behalf of itself and each other member of the GRAIL Group, as follows:</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59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53" w:lineRule="exact"/>
        <w:rPr>
          <w:rFonts w:ascii="Times New Roman" w:cs="Times New Roman" w:eastAsia="Times New Roman" w:hAnsi="Times New Roman"/>
          <w:sz w:val="18"/>
          <w:szCs w:val="18"/>
          <w:color w:val="auto"/>
        </w:rPr>
      </w:pPr>
    </w:p>
    <w:p>
      <w:pPr>
        <w:ind w:left="980" w:right="600" w:firstLine="408"/>
        <w:spacing w:after="0" w:line="282" w:lineRule="auto"/>
        <w:tabs>
          <w:tab w:leader="none" w:pos="164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or will be duly executed and delivered by it and constitutes or will constitute a valid and binding agreement of it enforceable in accordance with the terms thereof.</w:t>
      </w:r>
    </w:p>
    <w:p>
      <w:pPr>
        <w:spacing w:after="0" w:line="162"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The exchange of a fully executed Agreement (in counterparts or otherwise) by facsimile, electronic mail (including .pdf, docusign or other electronic signature) or other transmission method shall be deemed to have been duly and validly delivered and shall be sufficient to bind the Parties to the terms and conditions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35" w:name="page136"/>
    <w:bookmarkEnd w:id="135"/>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or other communications under this Agreement shall be in writing and shall be given or made (and shall be deemed to have been duly given or made upon receipt) by delivery in person, by overnight courier service, by email with receipt confirmed,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to Illumina,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Illumina,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5200 Illumina Way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Diego, CA 92122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legalnotices@illumina.com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389 9th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Andrew J. Pitts</w:t>
      </w:r>
    </w:p>
    <w:tbl>
      <w:tblPr>
        <w:tblLayout w:type="fixed"/>
        <w:tblInd w:w="142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Ting S. Chen</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Daniel J. Cerqueira</w:t>
            </w:r>
          </w:p>
        </w:tc>
      </w:tr>
      <w:tr>
        <w:trPr>
          <w:trHeight w:val="21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apitts@cravath.com</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tchen@cravath.com</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    dcerqueira@cravath.com</w:t>
            </w: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36" w:name="page137"/>
    <w:bookmarkEnd w:id="136"/>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GRAIL,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GRAIL,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1525 O’Brien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Bob Ragusa</w:t>
      </w:r>
    </w:p>
    <w:tbl>
      <w:tblPr>
        <w:tblLayout w:type="fixed"/>
        <w:tblInd w:w="142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Aaron Freidin</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Abram Barth</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Don Lang</w:t>
            </w:r>
          </w:p>
        </w:tc>
      </w:tr>
      <w:tr>
        <w:trPr>
          <w:trHeight w:val="21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 bragusa@grailbio.com</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afreidin@grailbio.com</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abarth@grailbio.com</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dlang@grailbio.com</w:t>
            </w:r>
          </w:p>
        </w:tc>
      </w:tr>
    </w:tbl>
    <w:p>
      <w:pPr>
        <w:spacing w:after="0" w:line="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355 South Grand Avenue, Suite 100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W. Alex Voxman</w:t>
      </w:r>
    </w:p>
    <w:tbl>
      <w:tblPr>
        <w:tblLayout w:type="fixed"/>
        <w:tblInd w:w="142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Andrew Clark</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Ross McAloon</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Alexa Berlin</w:t>
            </w:r>
          </w:p>
        </w:tc>
      </w:tr>
      <w:tr>
        <w:trPr>
          <w:trHeight w:val="21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alex.voxman@lw.com</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andrew.clark@lw.com</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ross.mcaloon@lw.com</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alexa.berlin@lw.com</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Party may, by notice to the other Party, change the address and contact person to which any such notices are to be given.</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7.4. Waivers.</w:t>
      </w:r>
      <w:r>
        <w:rPr>
          <w:rFonts w:ascii="Times New Roman" w:cs="Times New Roman" w:eastAsia="Times New Roman" w:hAnsi="Times New Roman"/>
          <w:sz w:val="18"/>
          <w:szCs w:val="18"/>
          <w:color w:val="auto"/>
        </w:rPr>
        <w:t xml:space="preserve"> Any consent required or permitted to be given by any Party to the other Party under this Agreement shall be in writing and signed by the Party giving such consent and shall be effective only against such Party.</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7.5. Specific Performance.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9.2 and 9.3</w:t>
      </w:r>
      <w:r>
        <w:rPr>
          <w:rFonts w:ascii="Times New Roman" w:cs="Times New Roman" w:eastAsia="Times New Roman" w:hAnsi="Times New Roman"/>
          <w:sz w:val="18"/>
          <w:szCs w:val="18"/>
          <w:color w:val="auto"/>
        </w:rPr>
        <w:t xml:space="preserve"> of the Separation Agreement,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in respect of its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37" w:name="page138"/>
    <w:bookmarkEnd w:id="137"/>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7.6.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shall not be assignable, in whole or in part, directly or indirectly, by any Party hereto without the prior written consent of the other Party, and any attempt to assign any rights or obligations arising under this Agreement without such consent shall be void. Notwithstanding the foregoing, this Agreement shall be assignable to a bona fide third party in connection with a merger, reorganization, consolidation or the sale of all or substantially all the assets of a party hereto so long as the resulting, surviving or transferee entity assumes all the obligations of the relevant party hereto by operation of Law or pursuant to an agreement in form and substance reasonably satisfactory to the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assignment permitted by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shall release the assigning Party from liability for the full performance of its obligations under this Agreement.</w:t>
      </w:r>
    </w:p>
    <w:p>
      <w:pPr>
        <w:spacing w:after="0" w:line="189"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provisions of this Agreement and the obligations and rights hereunder shall be binding upon, inure to the benefit of and be enforceable by (and against) the Parties and their respective successors and permitted assigns.</w:t>
      </w:r>
    </w:p>
    <w:p>
      <w:pPr>
        <w:spacing w:after="0" w:line="162" w:lineRule="exact"/>
        <w:rPr>
          <w:sz w:val="20"/>
          <w:szCs w:val="20"/>
          <w:color w:val="auto"/>
        </w:rPr>
      </w:pPr>
    </w:p>
    <w:p>
      <w:pPr>
        <w:ind w:right="1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No provisions of this Agreement shall be deemed waived, amended, supplemented or modified by a Party, unless such waiver, amendment, supplement or modification is in writing and signed by the authorized representative of the Party against whom it sought to enforce such waiver, amendment, supplement or modification is sought to be enforced;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at any time prior to the Effective Time, the terms and conditions of this Agreement may be amended, modified or abandoned by and in the sole and absolute discretion of the Illumina Board without the approval of any Person, including GRAIL or Illumina;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such amendment or modification would affect the GRAIL Group adversely in a material respect after the Effective Time, then such amendment or modification shall require the prior written consent of GRAIL.</w:t>
      </w:r>
    </w:p>
    <w:p>
      <w:pPr>
        <w:spacing w:after="0" w:line="189"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 to the extent such Subsidiary remains a Subsidiary of the applicable Party.</w:t>
      </w:r>
    </w:p>
    <w:p>
      <w:pPr>
        <w:spacing w:after="0" w:line="176" w:lineRule="exact"/>
        <w:rPr>
          <w:sz w:val="20"/>
          <w:szCs w:val="20"/>
          <w:color w:val="auto"/>
        </w:rPr>
      </w:pPr>
    </w:p>
    <w:p>
      <w:pPr>
        <w:ind w:right="3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38" w:name="page139"/>
    <w:bookmarkEnd w:id="138"/>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7.12. </w:t>
      </w:r>
      <w:r>
        <w:rPr>
          <w:rFonts w:ascii="Times New Roman" w:cs="Times New Roman" w:eastAsia="Times New Roman" w:hAnsi="Times New Roman"/>
          <w:sz w:val="18"/>
          <w:szCs w:val="18"/>
          <w:u w:val="single" w:color="auto"/>
          <w:color w:val="auto"/>
        </w:rPr>
        <w:t>No Duplication; No Double Recovery.</w:t>
      </w:r>
      <w:r>
        <w:rPr>
          <w:rFonts w:ascii="Times New Roman" w:cs="Times New Roman" w:eastAsia="Times New Roman" w:hAnsi="Times New Roman"/>
          <w:sz w:val="18"/>
          <w:szCs w:val="18"/>
          <w:color w:val="auto"/>
        </w:rPr>
        <w:t xml:space="preserve"> Nothing in this Agreement is intended to confer to or impose upon any Party a duplicative right, entitlement, obligation or recovery with respect to any matter arising out of the same facts and circumstances.</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xml:space="preserve">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xml:space="preserve"> The allocation of Assets and Liabilities herein is solely for the purpose of allocating such Assets and Liabilities between Illumina and GRAIL and is not intended as an admission of liability or responsibility for any alleged Liabilities vis-à -vis any third party, including with respect to the Liabilities of any non-wholly owned subsidiary of Illumina or GRAIL.</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xml:space="preserve"> Sections 9.2 (Negotiation by Senior Executives), 9.3 (Arbitration), 9.5 (Waiver of Jury Trial), 9.9 (Severability), 9.10 (Force Majeure), 9.14 (Headings), 9.15 (Survival of Covenants), 9.16 (Waivers of Default) and 9.19 (Construction) of the Separation Agreement are hereby incorporated into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40" w:top="270" w:right="5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as of the day and year first above written.</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ILLUMINA,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by /s/ Charles Dadswell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17145</wp:posOffset>
            </wp:positionV>
            <wp:extent cx="25457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Charles Dadswell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38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i w:val="1"/>
          <w:iCs w:val="1"/>
          <w:color w:val="auto"/>
        </w:rPr>
        <w:t>[Employee Matters Agreement Signature Page]</w:t>
      </w:r>
    </w:p>
    <w:p>
      <w:pPr>
        <w:sectPr>
          <w:pgSz w:w="11900" w:h="16838" w:orient="portrait"/>
          <w:cols w:equalWidth="0" w:num="1">
            <w:col w:w="9320"/>
          </w:cols>
          <w:pgMar w:left="1420" w:top="270" w:right="1159" w:bottom="1440" w:gutter="0" w:footer="0" w:header="0"/>
        </w:sectPr>
      </w:pPr>
    </w:p>
    <w:bookmarkStart w:id="140" w:name="page141"/>
    <w:bookmarkEnd w:id="14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GRAIL,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by /s/ Robert Ragusa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25457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Robert Ragusa</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[Employee Matters Agreement Signature Page]</w:t>
      </w:r>
    </w:p>
    <w:p>
      <w:pPr>
        <w:sectPr>
          <w:pgSz w:w="11900" w:h="16838" w:orient="portrait"/>
          <w:cols w:equalWidth="0" w:num="1">
            <w:col w:w="9019"/>
          </w:cols>
          <w:pgMar w:left="1440" w:top="486" w:right="1440" w:bottom="1440" w:gutter="0" w:footer="0" w:header="0"/>
        </w:sectPr>
      </w:pPr>
    </w:p>
    <w:bookmarkStart w:id="141" w:name="page142"/>
    <w:bookmarkEnd w:id="141"/>
    <w:p>
      <w:pPr>
        <w:ind w:left="1008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9"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STOCKHOLDER AND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21, 2024, between Illumina, Inc., a Delaware corporation (“</w:t>
      </w:r>
      <w:r>
        <w:rPr>
          <w:rFonts w:ascii="Times New Roman" w:cs="Times New Roman" w:eastAsia="Times New Roman" w:hAnsi="Times New Roman"/>
          <w:sz w:val="18"/>
          <w:szCs w:val="18"/>
          <w:u w:val="single" w:color="auto"/>
          <w:color w:val="auto"/>
        </w:rPr>
        <w:t>Illumina</w:t>
      </w:r>
      <w:r>
        <w:rPr>
          <w:rFonts w:ascii="Times New Roman" w:cs="Times New Roman" w:eastAsia="Times New Roman" w:hAnsi="Times New Roman"/>
          <w:sz w:val="18"/>
          <w:szCs w:val="18"/>
          <w:color w:val="auto"/>
        </w:rPr>
        <w:t>”), and GRAIL, LLC, a Delaware limited liability company (“</w:t>
      </w:r>
      <w:r>
        <w:rPr>
          <w:rFonts w:ascii="Times New Roman" w:cs="Times New Roman" w:eastAsia="Times New Roman" w:hAnsi="Times New Roman"/>
          <w:sz w:val="18"/>
          <w:szCs w:val="18"/>
          <w:u w:val="single" w:color="auto"/>
          <w:color w:val="auto"/>
        </w:rPr>
        <w:t>GRAIL LLC</w:t>
      </w:r>
      <w:r>
        <w:rPr>
          <w:rFonts w:ascii="Times New Roman" w:cs="Times New Roman" w:eastAsia="Times New Roman" w:hAnsi="Times New Roman"/>
          <w:sz w:val="18"/>
          <w:szCs w:val="18"/>
          <w:color w:val="auto"/>
        </w:rPr>
        <w:t>”), to be converted to a corporation and renamed GRAIL,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WHEREAS, Illumina and the Company have entered into a Separation and Distribution Agreement, dated as of June 21, 2024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and certain other ancillary agreements;</w:t>
      </w:r>
    </w:p>
    <w:p>
      <w:pPr>
        <w:spacing w:after="0" w:line="16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WHEREAS, Illumina currently owns the entire limited liability company interest of GRAIL LLC and will own all of the issued and outstanding shares of common stock, par value $0.001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WHEREAS, pursuant to the Separation Agreement, Illumina will distribute a portion of the issued and outstanding shares of Common Stock to holders of shares of Illumina common stock, on a pro rata basis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and retain any shares of Common Stock that are not distributed in the Distribution;</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WHEREAS, following the Distribution, Illumina may (i) sell or transfer any retained shares, including pursuant to one or more offerings or other transactions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(ii) transfer all or a portion of the retained shares to Illumina stockholders as dividends or directly or indirectly in exchange for outstanding shares of Illumina common stock or in exchange for Illumina indebtedness (any such transaction described in this clause (ii), an “</w:t>
      </w:r>
      <w:r>
        <w:rPr>
          <w:rFonts w:ascii="Times New Roman" w:cs="Times New Roman" w:eastAsia="Times New Roman" w:hAnsi="Times New Roman"/>
          <w:sz w:val="18"/>
          <w:szCs w:val="18"/>
          <w:u w:val="single" w:color="auto"/>
          <w:color w:val="auto"/>
        </w:rPr>
        <w:t>Other Disposition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WHEREAS, Illumina desires to grant the Company a proxy to vote the retained shares in proportion to the votes cast by the Company’s other stockholders; and</w:t>
      </w:r>
    </w:p>
    <w:p>
      <w:pPr>
        <w:spacing w:after="0" w:line="162"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WHEREAS, Illumina and the Company desire to make certain arrangements to provide Illumina and its permitted transferees with registration rights with respect to the retained shares.</w:t>
      </w:r>
    </w:p>
    <w:p>
      <w:pPr>
        <w:spacing w:after="0" w:line="16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in this Agreement, the parties, intending to be legally bound, hereby agree as follows:</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Effectiveness of Agreement.</w:t>
      </w:r>
    </w:p>
    <w:p>
      <w:pPr>
        <w:spacing w:after="0" w:line="225"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This Agreement shall become effective upon the effectiveness of the Separation (as defined in the Separation Agreement)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Shares Covered.</w:t>
      </w:r>
      <w:r>
        <w:rPr>
          <w:rFonts w:ascii="Times New Roman" w:cs="Times New Roman" w:eastAsia="Times New Roman" w:hAnsi="Times New Roman"/>
          <w:sz w:val="18"/>
          <w:szCs w:val="18"/>
          <w:color w:val="auto"/>
        </w:rPr>
        <w:t xml:space="preserve"> This Agreement covers all shares of Common Stock that are beneficially owned by Illumina as of the Effective Time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Shares shall include any securities issued or issuable with respect to the Shares by way of a stock dividend or a stock split or in connection with a combination of shares, recapitalization, merger, consolidation or other reorganization.</w:t>
      </w:r>
    </w:p>
    <w:p>
      <w:pPr>
        <w:sectPr>
          <w:pgSz w:w="11900" w:h="16838" w:orient="portrait"/>
          <w:cols w:equalWidth="0" w:num="1">
            <w:col w:w="11020"/>
          </w:cols>
          <w:pgMar w:left="440" w:top="117" w:right="439" w:bottom="1440" w:gutter="0" w:footer="0" w:header="0"/>
        </w:sectPr>
      </w:pPr>
    </w:p>
    <w:bookmarkStart w:id="142" w:name="page143"/>
    <w:bookmarkEnd w:id="14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Illumina and any Permitted Transferees (as defined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are each referred to herein as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and the Holders of Shares proposed to be included in any registration under this Agreement are each referred to herein as a “</w:t>
      </w:r>
      <w:r>
        <w:rPr>
          <w:rFonts w:ascii="Times New Roman" w:cs="Times New Roman" w:eastAsia="Times New Roman" w:hAnsi="Times New Roman"/>
          <w:sz w:val="18"/>
          <w:szCs w:val="18"/>
          <w:u w:val="single" w:color="auto"/>
          <w:color w:val="auto"/>
        </w:rPr>
        <w:t>Selling Holder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collectively as the “</w:t>
      </w:r>
      <w:r>
        <w:rPr>
          <w:rFonts w:ascii="Times New Roman" w:cs="Times New Roman" w:eastAsia="Times New Roman" w:hAnsi="Times New Roman"/>
          <w:sz w:val="18"/>
          <w:szCs w:val="18"/>
          <w:u w:val="single" w:color="auto"/>
          <w:color w:val="auto"/>
        </w:rPr>
        <w:t>Selling Holders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Demand Registration.</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Upon the terms and subject to the conditions set forth herein, upon written notice of any Holder requesting that the Company effect the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of all or a portion of the Shares held by such Holder, which notice shall specify the Shares intended to be disposed of by such Holder and the intended method or methods of disposition of such Shares (which methods may include a Shelf Registration (as such term is defined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Company will, no later than the fifth Business Day (as such term is defined in </w:t>
      </w:r>
      <w:r>
        <w:rPr>
          <w:rFonts w:ascii="Times New Roman" w:cs="Times New Roman" w:eastAsia="Times New Roman" w:hAnsi="Times New Roman"/>
          <w:sz w:val="18"/>
          <w:szCs w:val="18"/>
          <w:u w:val="single" w:color="auto"/>
          <w:color w:val="auto"/>
        </w:rPr>
        <w:t>Section 10.7(g)</w:t>
      </w:r>
      <w:r>
        <w:rPr>
          <w:rFonts w:ascii="Times New Roman" w:cs="Times New Roman" w:eastAsia="Times New Roman" w:hAnsi="Times New Roman"/>
          <w:sz w:val="18"/>
          <w:szCs w:val="18"/>
          <w:color w:val="auto"/>
        </w:rPr>
        <w:t xml:space="preserve">) after receipt of such notice from any Holder, give written notice of the proposed registration to all other Holders, if any, and will use its reasonable best efforts to effect (at the earliest reasonable date) the registration under the Securities Act of such Shares (and the Shares of any other Holders joining in such registration request as specified in a written notice received by the Company within 10 days after receipt of the Company’s written notice of the proposed registration) for disposition in accordance with the intended method or methods of disposition stated in such registration request (each registration request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is sometimes referred to herein as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86" w:lineRule="exact"/>
        <w:rPr>
          <w:sz w:val="20"/>
          <w:szCs w:val="20"/>
          <w:color w:val="auto"/>
        </w:rPr>
      </w:pPr>
    </w:p>
    <w:p>
      <w:pPr>
        <w:ind w:left="440" w:right="180" w:firstLine="419"/>
        <w:spacing w:after="0" w:line="261" w:lineRule="auto"/>
        <w:tabs>
          <w:tab w:leader="none" w:pos="110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registration with respect to any Shares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 in violation of the Separation Agreement, (ii) in violation of any underwriting agreement entered into in connection with any offering effected in accordance with this Agreement (so long as the lock-up period in such underwriting agreement does not exceed 90 days) or (iii) within 60 days after the effective date of a previous registration, other than a Shelf Registration, effected with respect to Shares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time a Demand Registration is requested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Company determines in good faith that (i) such Demand Registration would require the disclosure of material nonpublic information, the disclosure of which would be reasonably likely to have a material adverse effect on the Company, (ii) such Demand Registration would materially impede, delay or interfere with any material financing, acquisition, divestiture, joint venture, merger, consolidation, other business combination, corporate reorganization, tender offer or other material transaction of the Company or (iii) the Company is unable to comply with SEC requirements for effectiveness of such Demand Registration (each of clauses (i) through (iii), a “</w:t>
      </w:r>
      <w:r>
        <w:rPr>
          <w:rFonts w:ascii="Times New Roman" w:cs="Times New Roman" w:eastAsia="Times New Roman" w:hAnsi="Times New Roman"/>
          <w:sz w:val="18"/>
          <w:szCs w:val="18"/>
          <w:u w:val="single" w:color="auto"/>
          <w:color w:val="auto"/>
        </w:rPr>
        <w:t>Disadvantageous Condition</w:t>
      </w:r>
      <w:r>
        <w:rPr>
          <w:rFonts w:ascii="Times New Roman" w:cs="Times New Roman" w:eastAsia="Times New Roman" w:hAnsi="Times New Roman"/>
          <w:sz w:val="18"/>
          <w:szCs w:val="18"/>
          <w:color w:val="auto"/>
        </w:rPr>
        <w:t xml:space="preserve">”), the Company may postpone the filing or effectiveness (but not the preparation) of such registration until the earlier of (A) 7 days after the date on which the Disadvantageous Condition no longer exists or (B) 90 days after the date on which the Company makes such determination that a Disadvantageous Condition exists;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delay a Demand Registration pursuant to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no more than twice during any 12-month period following the Distribution;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postponement rights in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shall not be applicable to the Holders for more than a total of 120 days during any 12-month period;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43" w:name="page144"/>
    <w:bookmarkEnd w:id="143"/>
    <w:p>
      <w:pPr>
        <w:ind w:left="440" w:right="180" w:firstLine="419"/>
        <w:spacing w:after="0" w:line="256" w:lineRule="auto"/>
        <w:tabs>
          <w:tab w:leader="none" w:pos="11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number of Shares originally requested to be registered pursuant to any registration requested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cover Shares with an aggregate Fair Market Value (as defined below) as of the date of the notice delivered to the Company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at least $100,000,000 or such lesser amount that constitutes all Shares owned by the Holders requesting such registration (for purposes of this Agreement,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date, the closing price per share of the Common Stock on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or, if the Common Stock is not listed on Nasdaq, any securities exchange on which such Common Stock is listed or admitted for trading on the trading day immediately preceding such date);</w:t>
      </w:r>
    </w:p>
    <w:p>
      <w:pPr>
        <w:spacing w:after="0" w:line="79"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intended method of disposition is a Demand Registration that is an underwritten offering and the managing underwriters advise the Company in writing that in their opinion the number of Shares requested to be included in such offering exceeds the number of Shares which can be sold in an orderly manner in such offering within a price range acceptable to the Holders of a majority of the Shares initially requesting such registration or without materially adversely affecting the market for the Common Stock, the Company shall include in such registration the number of Shares requested by Holders of a majority of the Shares to be included therein which, in the opinion of such Holders based upon advice of the managing underwriters, can be sold in an orderly manner within the price range of such offering and without materially adversely affecting the market for the Common Stock, in accordance with the following priorities: (x) first, up to the number of Shares requested to be included in such registration by Illumina and its Affiliates (as defined below) and (y) second, up to the number of Shares requested to be included in such registration by Selling Holders other than Illumina and its Affiliates, pro rata among such Selling Holders of such Shares on the basis of the number of Shares requested to be registered by each such Selling Holder; and</w:t>
      </w:r>
    </w:p>
    <w:p>
      <w:pPr>
        <w:spacing w:after="0" w:line="86"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1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more than five Demand Registrations in the aggregate, and no more than three Demand Registrations in any 12-month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effect a Demand Registration within sixty (60) days after the effective date of a previous registration by the Company, other than a Shelf Registration, effected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purposes of this Agreement,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Person (as defined in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means a Person that controls, is controlled by or is under common control with such Person. As used herein, “control” of any entity means the possession, directly or indirectly, of the power to direct or cause the direction of the management or policies of such entity, whether through ownership of voting securities or other interests,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Company and the other members of the GRAIL Group (as defined in the Separation Agreement) shall not be considered Affiliates of Illumina or any of the other members of the Illumina Group (as defined in the Separation Agreement) and (b) Illumina and the other members of the Illumina Group shall not be considered Affiliates of the Company or any of the other members of the GRAIL Group.</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44" w:name="page145"/>
    <w:bookmarkEnd w:id="144"/>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All Registration Expenses (as defined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for any registration requested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(including any registration that is delayed or withdrawn, subject to the provisions of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shall be paid by the Company.</w:t>
      </w:r>
    </w:p>
    <w:p>
      <w:pPr>
        <w:spacing w:after="0" w:line="160"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Selection of Professionals.</w:t>
      </w:r>
      <w:r>
        <w:rPr>
          <w:rFonts w:ascii="Times New Roman" w:cs="Times New Roman" w:eastAsia="Times New Roman" w:hAnsi="Times New Roman"/>
          <w:sz w:val="18"/>
          <w:szCs w:val="18"/>
          <w:color w:val="auto"/>
        </w:rPr>
        <w:t xml:space="preserve"> Illumina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Illumina is participating, or the Holders of a majority of the Shares included in any Demand Registration, in the event Illumina is not participating, shall have the right to select the investment banks and managers to underwrite or otherwise administer the offering and counsel for the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investment banks, managers and counsel shall also be approved by the Company, such approval not to be unreasonably withheld, conditioned or delayed;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the avoidance of doubt, counsel for the Selling Holders may be (but shall not be required to be) the same counsel as counsel for the Company in such offering.</w:t>
      </w:r>
    </w:p>
    <w:p>
      <w:pPr>
        <w:spacing w:after="0" w:line="185" w:lineRule="exact"/>
        <w:rPr>
          <w:sz w:val="20"/>
          <w:szCs w:val="20"/>
          <w:color w:val="auto"/>
        </w:rPr>
      </w:pPr>
    </w:p>
    <w:p>
      <w:pPr>
        <w:jc w:val="both"/>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Third Person Shares.</w:t>
      </w:r>
      <w:r>
        <w:rPr>
          <w:rFonts w:ascii="Times New Roman" w:cs="Times New Roman" w:eastAsia="Times New Roman" w:hAnsi="Times New Roman"/>
          <w:sz w:val="18"/>
          <w:szCs w:val="18"/>
          <w:color w:val="auto"/>
        </w:rPr>
        <w:t xml:space="preserve"> In the case of any offering for cash that is not an Other Disposition, the Company shall have the right to cause the registration of securities for sale for the account of any Person (as defined in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(including the Company) other than the Selling Holders (the “</w:t>
      </w:r>
      <w:r>
        <w:rPr>
          <w:rFonts w:ascii="Times New Roman" w:cs="Times New Roman" w:eastAsia="Times New Roman" w:hAnsi="Times New Roman"/>
          <w:sz w:val="18"/>
          <w:szCs w:val="18"/>
          <w:u w:val="single" w:color="auto"/>
          <w:color w:val="auto"/>
        </w:rPr>
        <w:t>Third Person Shares</w:t>
      </w:r>
      <w:r>
        <w:rPr>
          <w:rFonts w:ascii="Times New Roman" w:cs="Times New Roman" w:eastAsia="Times New Roman" w:hAnsi="Times New Roman"/>
          <w:sz w:val="18"/>
          <w:szCs w:val="18"/>
          <w:color w:val="auto"/>
        </w:rPr>
        <w:t xml:space="preserve">”) in any registration of the Shares requested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so long as the Third Person Shares are disposed of in accordance with the intended method or methods of disposition requested by Holders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a Demand Registration in which the Company proposes to include Third Person Shares is an underwritten offering and the managing underwriters advise the Company in writing that in their opinion the number of Shares and Third Person Shares requested to be included in such offering exceeds the number of Shares and Third Person Shares which can be sold in an orderly manner in such offering within a price range acceptable to the Holders of a majority of the Shares initially requesting such registration or without materially adversely affecting the market for the Common Stock (the “</w:t>
      </w:r>
      <w:r>
        <w:rPr>
          <w:rFonts w:ascii="Times New Roman" w:cs="Times New Roman" w:eastAsia="Times New Roman" w:hAnsi="Times New Roman"/>
          <w:sz w:val="18"/>
          <w:szCs w:val="18"/>
          <w:u w:val="single" w:color="auto"/>
          <w:color w:val="auto"/>
        </w:rPr>
        <w:t>Maximum Number</w:t>
      </w:r>
      <w:r>
        <w:rPr>
          <w:rFonts w:ascii="Times New Roman" w:cs="Times New Roman" w:eastAsia="Times New Roman" w:hAnsi="Times New Roman"/>
          <w:sz w:val="18"/>
          <w:szCs w:val="18"/>
          <w:color w:val="auto"/>
        </w:rPr>
        <w:t>”), the Company shall not include in such registration any Third Person Shares unless all of the Shares initially requested by Holders to be included therein are so included, and then only to the extent of the Maximum Number.</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xml:space="preserve">” shall mean any transferee, whether direct or indirect, of Shares that (a) (i) as of the time of transfer of the Shares to such transferee is, and as of immediately prior to the sale of Shares pursuant to the Demand Registration or Piggyback Registration (as defined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as the case may be, will be, a member of the Illumina Group (as defined in the Separation Agreement), (ii) is a financial intermediary (a “</w:t>
      </w:r>
      <w:r>
        <w:rPr>
          <w:rFonts w:ascii="Times New Roman" w:cs="Times New Roman" w:eastAsia="Times New Roman" w:hAnsi="Times New Roman"/>
          <w:sz w:val="18"/>
          <w:szCs w:val="18"/>
          <w:u w:val="single" w:color="auto"/>
          <w:color w:val="auto"/>
        </w:rPr>
        <w:t>Participating Bank</w:t>
      </w:r>
      <w:r>
        <w:rPr>
          <w:rFonts w:ascii="Times New Roman" w:cs="Times New Roman" w:eastAsia="Times New Roman" w:hAnsi="Times New Roman"/>
          <w:sz w:val="18"/>
          <w:szCs w:val="18"/>
          <w:color w:val="auto"/>
        </w:rPr>
        <w:t xml:space="preserve">”) to whom Illumina or any member of the Illumina Group will transfer Shares in exchange, directly or indirectly, for any equity interest or indebtedness of Illumina or another member of the Illumina Group or (iii) acquires from any member or members of the Illumina Group an aggregate of at least 5% of the issued and outstanding shares of Common Stock as of the time of such acquisition and (b) is designated by Illumina (or a subsequent Holder) in a written notice to the Company. Any Permitted Transferee of the Shares shall be subject to and bound by and benefit from all of the terms and conditions herein applicable to Holders. For the avoidance of doubt, any Permitted Transferee of Shares shall be subject to and bound by and benefit from all of the terms and conditions applicable to Holders generally and not those applicable to Illumina (or any member of the Illumina Group) specifically including, without limitation, the voting provisions contained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 notice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signed by both the transferring Holder and the Permitted Transferees so designated and shall include an undertaking by the Permitted Transferees to comply with the terms and conditions of this Agreement applicable to Holders.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45" w:name="page146"/>
    <w:bookmarkEnd w:id="145"/>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Shelf Registration; Other Disposition.</w:t>
      </w:r>
      <w:r>
        <w:rPr>
          <w:rFonts w:ascii="Times New Roman" w:cs="Times New Roman" w:eastAsia="Times New Roman" w:hAnsi="Times New Roman"/>
          <w:sz w:val="18"/>
          <w:szCs w:val="18"/>
          <w:color w:val="auto"/>
        </w:rPr>
        <w:t xml:space="preserve"> With respect to any Demand Registration, the requesting Holders may, but shall not be required to, request the Company to effect a registration of the Shares (a) at any time after the date hereof when the Company is eligible to register the Shares on Form S-3 (or any successor form), under a registration statement pursuant to Rule 415 under the Securities Act (or any successor rule) (a “</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or (b) in the form of an Other Disposition. The Company shall use its reasonable best efforts to comply with any such request, subject to the terms and conditions of this Agreement.</w:t>
      </w:r>
    </w:p>
    <w:p>
      <w:pPr>
        <w:spacing w:after="0" w:line="183"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SEC Form; Information.</w:t>
      </w:r>
      <w:r>
        <w:rPr>
          <w:rFonts w:ascii="Times New Roman" w:cs="Times New Roman" w:eastAsia="Times New Roman" w:hAnsi="Times New Roman"/>
          <w:sz w:val="17"/>
          <w:szCs w:val="17"/>
          <w:color w:val="auto"/>
        </w:rPr>
        <w:t xml:space="preserve"> The Company shall use its reasonable best efforts to cause Demand Registrations to be registered on Form S-3 (or any successor form), and if the Company is not then eligible under the Securities Act to use Form S-3, such Demand Registrations shall be registered on Form S-1 (or any successor form), or, in the case of an exchange offer, Form S-4 (or any successor form). The Company shall use its reasonable best efforts to become eligible to use Form S-3 and, after becoming eligible to use Form S-3, shall use its reasonable best efforts to remain so eligible. All such Demand Registrations shall comply with the applicable requirements of the Securities Act and the rules and regulations of the U.S.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thereunder, and, together with each prospectus included, filed or otherwise furnished by the Company in connection therewith, the relevant registration statement shall not contain any untrue statement of a material fact or omit to state a material fact required to be stated therein or necessary to make the statements therein not misleading. The Company shall timely file all reports on Forms 10-K, 10-Q and 8-K (or any successor forms), and all material required to be filed, pursuant to the Securities Exchange Act of 1934, as amended (the “</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to the extent that such filing shall be a condition to the initial filing or continued use or effectiveness of any Demand Registration or to the extent required to enable any Holder to sell Shares without registration under the Securities Act within the limitation of the exemptions provided by Rule 144 under the Securities Act (or any similar rule or regulation hereafter promulgated by the SEC). From and after the date hereof through the earlier of</w:t>
      </w:r>
    </w:p>
    <w:p>
      <w:pPr>
        <w:spacing w:after="0" w:line="1" w:lineRule="exact"/>
        <w:rPr>
          <w:sz w:val="20"/>
          <w:szCs w:val="20"/>
          <w:color w:val="auto"/>
        </w:rPr>
      </w:pPr>
    </w:p>
    <w:p>
      <w:pPr>
        <w:ind w:left="4" w:right="40" w:hanging="4"/>
        <w:spacing w:after="0" w:line="253" w:lineRule="auto"/>
        <w:tabs>
          <w:tab w:leader="none" w:pos="24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this Agreement or (b) the date upon which the Illumina Group ceases to own any Shares, the Company shall forthwith upon written request by a Holder (i) furnish to any Holder (A) a written statement by the Company as to whether it has complied with such requirements and, if not, the specifics thereof, (B) a copy of the most recent annual or quarterly report of the Company and (C) such other reports and documents filed by the Company with the SEC and (ii) take such further action as such Holder may reasonably request in availing itself of an exemption for the sale of Shares without registration under the Securities Act.</w:t>
      </w:r>
    </w:p>
    <w:p>
      <w:pPr>
        <w:spacing w:after="0" w:line="187"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xml:space="preserve"> The Company shall not (i) grant to any Persons the right to request the Company to register any equity securities of the Company, or any securities convertible or exchangeable into or exercisable for such securities, whether pursuant to “demand,” “piggyback” or other rights that are more favorable to such Persons as compared to the rights of the Holders under this Agreement or (ii) enter into any agreement, take any action or permit any change to occur, with respect to securities that violates or subordinates the rights of the Holders under this Agreement.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146" w:name="page147"/>
    <w:bookmarkEnd w:id="146"/>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2.9.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At any time prior to the effective date of the registration statement or the filing of a prospectus relating to such registration, the Holder making such request for registration may withdraw such request, without liability to any of the other Holders, by providing a written notice to the Company withdrawing such request. A request, so withdrawn, shall be considered to be a Demand Registration unless (a) such withdrawal arose out of the fault of the Company (in which case the Company shall be obligated to pay all Registration Expenses in connection with such withdrawn request), (b) such withdrawal was in response to the Company’s exercise of its postponement rights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or (c) the Holder making such request for registration reimburses the Company for all Registration Expenses (other than the expenses set forth under </w:t>
      </w:r>
      <w:r>
        <w:rPr>
          <w:rFonts w:ascii="Times New Roman" w:cs="Times New Roman" w:eastAsia="Times New Roman" w:hAnsi="Times New Roman"/>
          <w:sz w:val="18"/>
          <w:szCs w:val="18"/>
          <w:u w:val="single" w:color="auto"/>
          <w:color w:val="auto"/>
        </w:rPr>
        <w:t>Section 8(g)</w:t>
      </w:r>
      <w:r>
        <w:rPr>
          <w:rFonts w:ascii="Times New Roman" w:cs="Times New Roman" w:eastAsia="Times New Roman" w:hAnsi="Times New Roman"/>
          <w:sz w:val="18"/>
          <w:szCs w:val="18"/>
          <w:color w:val="auto"/>
        </w:rPr>
        <w:t>) in connection with such withdrawn request.</w:t>
      </w:r>
    </w:p>
    <w:p>
      <w:pPr>
        <w:spacing w:after="0" w:line="1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Piggyback Registrations.</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Notice and Registration.</w:t>
      </w:r>
      <w:r>
        <w:rPr>
          <w:rFonts w:ascii="Times New Roman" w:cs="Times New Roman" w:eastAsia="Times New Roman" w:hAnsi="Times New Roman"/>
          <w:sz w:val="18"/>
          <w:szCs w:val="18"/>
          <w:color w:val="auto"/>
        </w:rPr>
        <w:t xml:space="preserve"> If the Company proposes to register any of its securities for public sale under the Securities Act (whether proposed to be offered for sale by the Company or any other Person), on a form and in a manner that would permit registration of the Shares for sale to the public under the Securities Act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it will give at least 15 days’ advance written notice to the Holders of its intention to do so, and upon the written request of any or all of the Holders delivered to the Company within 10 days after the giving of any such notice (which request shall specify the Shares intended to be disposed of by such Holders), the Company will use its reasonable best efforts to effect, in connection with the registration of such other securities, the registration under the Securities Act of all of the Shares which the Company has been so requested to register by such Holders (which shall then become Selling Holders), to the extent required to permit the disposition (in accordance with the same method of disposition as the Company proposes to use to dispose of the other securities) of the Shares to be so registered;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84" w:lineRule="exact"/>
        <w:rPr>
          <w:sz w:val="20"/>
          <w:szCs w:val="20"/>
          <w:color w:val="auto"/>
        </w:rPr>
      </w:pPr>
    </w:p>
    <w:p>
      <w:pPr>
        <w:ind w:left="440" w:right="40" w:firstLine="419"/>
        <w:spacing w:after="0" w:line="253" w:lineRule="auto"/>
        <w:tabs>
          <w:tab w:leader="none" w:pos="11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after giving such written notice of its intention to register any of its other securities and prior to the effective date of the registration statement filed in connection with such registration, the Company shall determine for any reason to delay registration of, or not to register, such other securities, the Company may, at its election, give written notice of such determination to the Selling Holders (or, if prior to the expiration of the 15-day period described above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the Holders) and, thereupon, (i) in the case of a determination to delay registration, the Company shall be permitted to delay registering such Shares for the same period as the delay in registering such other securities and (ii) in the case of a determination not to register, the Company shall be relieved of its obligation to register such Shares in connection with the registration of such other securities (but not from its obligation to pay Registration Expenses to the extent incurred in connection therewith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without prejudice, however, to the rights (if any) of any Selling Holders immediately to request (subject to the terms and conditions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that such registration be effected as a registration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to include such Shares in any subsequent Piggyback Registration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47" w:name="page148"/>
    <w:bookmarkEnd w:id="147"/>
    <w:p>
      <w:pPr>
        <w:ind w:left="440" w:right="160" w:firstLine="419"/>
        <w:spacing w:after="0" w:line="261" w:lineRule="auto"/>
        <w:tabs>
          <w:tab w:leader="none" w:pos="111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shall not be required to effect any registration of the Shares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incidental to the registration of any of its securities (i) on Form S-4 or S-8 or any successor or similar forms, (ii) relating to equity securities issuable upon exercise of employee stock or similar options or in connection with any employee benefit or similar plan of the Company or (iii) in connection with an acquisition of, or an investment in, another entity by the Company;</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0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filing of a Shelf Registration shall not be deemed to be a Piggyback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proposal to file any prospectus supplement filed pursuant to a Shelf Registration with respect to an offering of the Company’s securities (whether proposed to be offered for sale by the Company or any other Person) will be a Piggyback Registration unless such offering qualifies for an exemption under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Company files a Shelf Registration, the Company agrees that it shall use its reasonable best efforts to include in such registration statement such disclosures as may be required by Rule 430B under the Securities Act in order to ensure that the Holders may be added to such Shelf Registration at a later time through the filing of a prospectus supplement rather than a post-effective amendment;</w:t>
      </w:r>
    </w:p>
    <w:p>
      <w:pPr>
        <w:spacing w:after="0" w:line="80" w:lineRule="exact"/>
        <w:rPr>
          <w:rFonts w:ascii="Times New Roman" w:cs="Times New Roman" w:eastAsia="Times New Roman" w:hAnsi="Times New Roman"/>
          <w:sz w:val="18"/>
          <w:szCs w:val="18"/>
          <w:color w:val="auto"/>
        </w:rPr>
      </w:pPr>
    </w:p>
    <w:p>
      <w:pPr>
        <w:ind w:left="440" w:firstLine="419"/>
        <w:spacing w:after="0" w:line="269" w:lineRule="auto"/>
        <w:tabs>
          <w:tab w:leader="none" w:pos="1118"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Piggyback Registration is an underwritten registration on behalf of the Company (whether or not selling security holders are included therein) and the managing underwriters advise the Company in writing that in their opinion the number of securities requested to be included in such registration exceeds the number that can be sold in such offering without materially adversely affecting the marketability of the offering or the market for the Common Stock (the “</w:t>
      </w:r>
      <w:r>
        <w:rPr>
          <w:rFonts w:ascii="Times New Roman" w:cs="Times New Roman" w:eastAsia="Times New Roman" w:hAnsi="Times New Roman"/>
          <w:sz w:val="17"/>
          <w:szCs w:val="17"/>
          <w:u w:val="single" w:color="auto"/>
          <w:color w:val="auto"/>
        </w:rPr>
        <w:t>Piggyback Maximum Number</w:t>
      </w:r>
      <w:r>
        <w:rPr>
          <w:rFonts w:ascii="Times New Roman" w:cs="Times New Roman" w:eastAsia="Times New Roman" w:hAnsi="Times New Roman"/>
          <w:sz w:val="17"/>
          <w:szCs w:val="17"/>
          <w:color w:val="auto"/>
        </w:rPr>
        <w:t>”), the Company shall include the following securities in such registration up to the Piggyback Maximum Number and in accordance with the following priorities: (w) first, the securities the Company proposes to sell,</w:t>
      </w:r>
    </w:p>
    <w:p>
      <w:pPr>
        <w:spacing w:after="0" w:line="2" w:lineRule="exact"/>
        <w:rPr>
          <w:rFonts w:ascii="Times New Roman" w:cs="Times New Roman" w:eastAsia="Times New Roman" w:hAnsi="Times New Roman"/>
          <w:sz w:val="17"/>
          <w:szCs w:val="17"/>
          <w:color w:val="auto"/>
        </w:rPr>
      </w:pPr>
    </w:p>
    <w:p>
      <w:pPr>
        <w:ind w:left="440" w:right="40" w:hanging="4"/>
        <w:spacing w:after="0" w:line="253"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up to the number of Shares requested to be included in such registration by Illumina, (y) third, up to the number of Shares requested to be included in such registration by Selling Holders other than Illumina, pro rata among such Selling Holders of such Shares on the basis of the number of Shares requested to be registered by each such Selling Holder and (z) fourth, up to the number of any other securities requested to be included in such registration;</w:t>
      </w:r>
    </w:p>
    <w:p>
      <w:pPr>
        <w:spacing w:after="0" w:line="80"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0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registration of the Shares effected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relieve the Company of its obligation to effect a registration of Shares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08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execution of an underwriting agreement with respect thereto, any Selling Holder may withdraw any or all of its Shares from a Piggyback Registration by providing a written notice to the Company.</w:t>
      </w:r>
    </w:p>
    <w:p>
      <w:pPr>
        <w:spacing w:after="0" w:line="162" w:lineRule="exact"/>
        <w:rPr>
          <w:sz w:val="20"/>
          <w:szCs w:val="20"/>
          <w:color w:val="auto"/>
        </w:rPr>
      </w:pPr>
    </w:p>
    <w:p>
      <w:pPr>
        <w:ind w:right="80" w:firstLine="991"/>
        <w:spacing w:after="0" w:line="274"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Selection of Professionals.</w:t>
      </w:r>
      <w:r>
        <w:rPr>
          <w:rFonts w:ascii="Times New Roman" w:cs="Times New Roman" w:eastAsia="Times New Roman" w:hAnsi="Times New Roman"/>
          <w:sz w:val="17"/>
          <w:szCs w:val="17"/>
          <w:color w:val="auto"/>
        </w:rPr>
        <w:t xml:space="preserve"> In the event of any Piggyback Registration, the Company shall select the investment banks and managers to underwrite or otherwise administer the offering and the financial printer for the offering. One counsel for the Holders participating in such offering may be selected by (i) Illumina, in the event Illumina is participating in such offering, or (ii) Holders of a majority of the Shares included in such offering, in the event Illumina is not participating in such offering,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both clauses (i) and (ii) above, such selection of counsel shall also be approved by the Company, such approval not to be unreasonably withheld, conditioned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for the avoidance of doubt, counsel for the Selling Holders may be (but shall not be required to be) the same counsel as counsel for the Company in such offering.</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48" w:name="page149"/>
    <w:bookmarkEnd w:id="1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The Company shall pay all of the Registration Expenses in connection with any registration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Registration Procedures.</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Registration and Qualification.</w:t>
      </w:r>
      <w:r>
        <w:rPr>
          <w:rFonts w:ascii="Times New Roman" w:cs="Times New Roman" w:eastAsia="Times New Roman" w:hAnsi="Times New Roman"/>
          <w:sz w:val="18"/>
          <w:szCs w:val="18"/>
          <w:color w:val="auto"/>
        </w:rPr>
        <w:t xml:space="preserve"> If and whenever the Company is required to use its reasonable best efforts to effect the registration of any of the Shares under the Securities Act as provided in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including an underwritten offering pursuant to a Shelf Registration, the Company shall use its reasonable best efforts to:</w:t>
      </w:r>
    </w:p>
    <w:p>
      <w:pPr>
        <w:spacing w:after="0" w:line="68" w:lineRule="exact"/>
        <w:rPr>
          <w:sz w:val="20"/>
          <w:szCs w:val="20"/>
          <w:color w:val="auto"/>
        </w:rPr>
      </w:pPr>
    </w:p>
    <w:p>
      <w:pPr>
        <w:ind w:left="440" w:right="60" w:firstLine="419"/>
        <w:spacing w:after="0" w:line="255" w:lineRule="auto"/>
        <w:tabs>
          <w:tab w:leader="none" w:pos="110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(and in any event within 30 days (in the case of a registration statement on Form S-3 or Form S-4) or 60 days (in the case of all other registration statements)) after the date of any request for registration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prepare and file with the SEC a registration statement with respect to such Shares and cause such registration statement to become effective as soon as practicable after the initial filing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before filing a registration statement or prospectus or any amendment or supplement thereto, the Company shall furnish to the Selling Holders and the underwriters, if any, copies of all such documents proposed to be filed (which documents shall be subject to the review and comment of such parties) and the Company shall not file with the SEC any registration statement or prospectus or amendments or supplements thereto to which the Selling Holders or the underwriters, if any, shall reasonably object;</w:t>
      </w:r>
    </w:p>
    <w:p>
      <w:pPr>
        <w:spacing w:after="0" w:line="80"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 Shelf Registration effected on Form S-3, 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such Shares until the earlier of (i) such time as all such Shares have been disposed of in accordance with the intended methods of disposition set forth in such registration statement or (ii) the expiration of 90 days after such registration statement becomes effective, plus the number of days that any filing or effectiveness has been delayed under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40" w:right="220" w:firstLine="419"/>
        <w:spacing w:after="0" w:line="272" w:lineRule="auto"/>
        <w:tabs>
          <w:tab w:leader="none" w:pos="1108"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Shelf Registration effected on Form S-3, 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Shares subject thereto for a period ending on the earlier of</w:t>
      </w:r>
    </w:p>
    <w:p>
      <w:pPr>
        <w:spacing w:after="0" w:line="1" w:lineRule="exact"/>
        <w:rPr>
          <w:rFonts w:ascii="Times New Roman" w:cs="Times New Roman" w:eastAsia="Times New Roman" w:hAnsi="Times New Roman"/>
          <w:sz w:val="17"/>
          <w:szCs w:val="17"/>
          <w:color w:val="auto"/>
        </w:rPr>
      </w:pPr>
    </w:p>
    <w:p>
      <w:pPr>
        <w:ind w:left="440" w:right="40" w:hanging="4"/>
        <w:spacing w:after="0" w:line="255"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36 months after the effective date of such registration statement plus the number of days that any filing or effectiveness has been delayed under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suspended under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(ii) the date on which all the Shares subject thereto have been sold pursuant to such registration statement;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49" w:name="page150"/>
    <w:bookmarkEnd w:id="149"/>
    <w:p>
      <w:pPr>
        <w:ind w:left="4" w:right="60" w:firstLine="419"/>
        <w:spacing w:after="0" w:line="258" w:lineRule="auto"/>
        <w:tabs>
          <w:tab w:leader="none" w:pos="68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furnish to the Selling Holders and the underwriters, if any, such number of conformed copies of such registration statement and of each such amendment and supplement thereto (in each case including all exhibits), such number of copies of the prospectus included in such registration statement (including each preliminary prospectus and any summary prospectus), in conformity with the requirements of the Securities Act, such documents incorporated by reference in such registration statement or prospectus and such other documents as the Selling Holders or such underwriters may reasonably request;</w:t>
      </w:r>
    </w:p>
    <w:p>
      <w:pPr>
        <w:spacing w:after="0" w:line="75"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or qualify all of the Shares covered by such registration statement under such other securities or blue sky laws of such</w:t>
      </w:r>
    </w:p>
    <w:p>
      <w:pPr>
        <w:spacing w:after="0" w:line="27"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jurisdictions as the Selling Holders or any underwriter shall reasonably request, and do any and all other acts and things which may be necessary or advisable to enable the Selling Holders or any underwriter to consummate the disposition in such jurisdictions of the Shares covered by such registration statement, except that the Company shall not for any such purpose be required to qualify generally to do business as a foreign corporation in any jurisdiction where it is not so qualified, subject itself to taxation in any such jurisdiction or consent to general service of process in any such jurisdiction;</w:t>
      </w:r>
    </w:p>
    <w:p>
      <w:pPr>
        <w:spacing w:after="0" w:line="78"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(i) furnish to the underwriters, addressed to them, an opinion of counsel for the Company and</w:t>
      </w:r>
    </w:p>
    <w:p>
      <w:pPr>
        <w:spacing w:after="0" w:line="27" w:lineRule="exact"/>
        <w:rPr>
          <w:rFonts w:ascii="Times New Roman" w:cs="Times New Roman" w:eastAsia="Times New Roman" w:hAnsi="Times New Roman"/>
          <w:sz w:val="18"/>
          <w:szCs w:val="18"/>
          <w:color w:val="auto"/>
        </w:rPr>
      </w:pPr>
    </w:p>
    <w:p>
      <w:pPr>
        <w:ind w:left="4" w:right="80" w:hanging="4"/>
        <w:spacing w:after="0" w:line="252" w:lineRule="auto"/>
        <w:tabs>
          <w:tab w:leader="none" w:pos="26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underwriters, addressed to them, a “cold comfort” letter signed by the independent public accountants who have certified the Company’s financial statements included in such registration statement, covering substantially the same matters with respect to such registration statement (and the prospectus included therein) and, in the case of such accountants’ letter, with respect to events subsequent to the date of such financial statements, as are customarily covered in opinions of issuer’s counsel and in accountants’ letters delivered to underwriters in underwritten public offerings of securities and such other matters as the underwriters may reasonably request, in each case, in form and substance and as of the dates reasonably satisfactory to the underwriters;</w:t>
      </w:r>
    </w:p>
    <w:p>
      <w:pPr>
        <w:spacing w:after="0" w:line="81" w:lineRule="exact"/>
        <w:rPr>
          <w:rFonts w:ascii="Times New Roman" w:cs="Times New Roman" w:eastAsia="Times New Roman" w:hAnsi="Times New Roman"/>
          <w:sz w:val="18"/>
          <w:szCs w:val="18"/>
          <w:color w:val="auto"/>
        </w:rPr>
      </w:pPr>
    </w:p>
    <w:p>
      <w:pPr>
        <w:ind w:left="4" w:right="40" w:firstLine="419"/>
        <w:spacing w:after="0" w:line="277" w:lineRule="auto"/>
        <w:tabs>
          <w:tab w:leader="none" w:pos="68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such customary agreements (including, if applicable, an underwriting agreement containing customary provisions for indemnification and contribution covering the Selling Holders, the underwriters and their affiliates) and take such other actions as the Selling Holders shall reasonably request in order to expedite or facilitate the disposition of such Shares (it being understood that the relevant Selling Holders may be parties to any such underwriting agreement and may, at their option, require that the Company make to and for the benefit of such Selling Holders the representations, warranties and covenants of the Company which are being made to and for the benefit of such underwriters);</w:t>
      </w:r>
    </w:p>
    <w:p>
      <w:pPr>
        <w:spacing w:after="0" w:line="59" w:lineRule="exact"/>
        <w:rPr>
          <w:rFonts w:ascii="Times New Roman" w:cs="Times New Roman" w:eastAsia="Times New Roman" w:hAnsi="Times New Roman"/>
          <w:sz w:val="17"/>
          <w:szCs w:val="17"/>
          <w:color w:val="auto"/>
        </w:rPr>
      </w:pPr>
    </w:p>
    <w:p>
      <w:pPr>
        <w:ind w:left="4" w:right="40" w:firstLine="419"/>
        <w:spacing w:after="0" w:line="261" w:lineRule="auto"/>
        <w:tabs>
          <w:tab w:leader="none" w:pos="68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Selling Holders and the managing underwriters, if any, and (if requested) confirm such advice in writing and provide copies of the relevant documents, as soon as reasonably practicable after notice thereof is received by the Company, (i) when the applicable registration statement or any amendment thereto has been filed or becomes effective, and when the applicable prospectus or any amendment or supplement to such prospectus has been filed, (ii) of any comments (written or oral) by the SEC or</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4"/>
          </w:cols>
          <w:pgMar w:left="876" w:top="270" w:right="459" w:bottom="1440" w:gutter="0" w:footer="0" w:header="0"/>
        </w:sectPr>
      </w:pPr>
    </w:p>
    <w:bookmarkStart w:id="150" w:name="page151"/>
    <w:bookmarkEnd w:id="150"/>
    <w:p>
      <w:pPr>
        <w:ind w:right="8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request by the SEC or any other federal or state governmental authority (written or oral) for amendments or supplements to such registration statement or such prospectus or for additional information, (iii) of the issuance by the SEC of any stop order suspending the effectiveness of such registration statement or any order preventing or suspending the use of any preliminary or final prospectus or the initiation or threatening of any proceedings for such purposes, (iv) if, at any time, the representations and warranties of the Company in any applicable underwriting agreement cease to be true and correct in all material respects and (v) of the receipt by the Company of any notification with respect to the suspension of the qualification of the Shares for offering or sale in any jurisdiction or the initiation or threatening of any proceeding for such purpose;</w:t>
      </w:r>
    </w:p>
    <w:p>
      <w:pPr>
        <w:spacing w:after="0" w:line="65" w:lineRule="exact"/>
        <w:rPr>
          <w:sz w:val="20"/>
          <w:szCs w:val="20"/>
          <w:color w:val="auto"/>
        </w:rPr>
      </w:pPr>
    </w:p>
    <w:p>
      <w:pPr>
        <w:ind w:right="140" w:firstLine="419"/>
        <w:spacing w:after="0" w:line="258" w:lineRule="auto"/>
        <w:tabs>
          <w:tab w:leader="none" w:pos="63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rules and regulations of the SEC, and make generally available to its security holders, as soon as reasonably practicable after the effective date of the relevant registration statement (and in any event within 90 days after the end of such 12-month period described hereafter), an earnings statement (which need not be audited) covering the period of at least 12 consecutive months beginning with the first day of the Company’s first calendar quarter after the effective date of such registration statement, which earnings statement shall satisfy the provisions of Section 11(a) of the Securities Act and Rule 158 thereunder;</w:t>
      </w:r>
    </w:p>
    <w:p>
      <w:pPr>
        <w:spacing w:after="0" w:line="75" w:lineRule="exact"/>
        <w:rPr>
          <w:rFonts w:ascii="Times New Roman" w:cs="Times New Roman" w:eastAsia="Times New Roman" w:hAnsi="Times New Roman"/>
          <w:sz w:val="18"/>
          <w:szCs w:val="18"/>
          <w:color w:val="auto"/>
        </w:rPr>
      </w:pPr>
    </w:p>
    <w:p>
      <w:pPr>
        <w:ind w:firstLine="419"/>
        <w:spacing w:after="0" w:line="254" w:lineRule="auto"/>
        <w:tabs>
          <w:tab w:leader="none" w:pos="63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notify the Selling Holders and the managing underwriters, if any, at any time when a prospectus relating to a registration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in light of the circumstances under which they were made, not misleading, and at the request of the Selling Holders or the underwriters prepare and file with the SEC (and furnish to the Selling Holders and the underwriters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in light of the circumstances under which they were made, not misleading;</w:t>
      </w:r>
    </w:p>
    <w:p>
      <w:pPr>
        <w:spacing w:after="0" w:line="83"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Selling Holders comprising holders of a majority of the Shares to be included in such registration to participate in the preparation of such registration statement (including having prompt access to any SEC comment letters or other communications in connection with such registration and the Company’s responses thereto) and to require the insertion therein of material, furnished to the Company in writing, which in the reasonable judgment of such Selling Holders and their counsel should be included, subject to the Company’s approval, such approval not to be unreasonably withheld, conditioned or delayed;</w:t>
      </w:r>
    </w:p>
    <w:p>
      <w:pPr>
        <w:spacing w:after="0" w:line="75" w:lineRule="exact"/>
        <w:rPr>
          <w:rFonts w:ascii="Times New Roman" w:cs="Times New Roman" w:eastAsia="Times New Roman" w:hAnsi="Times New Roman"/>
          <w:sz w:val="18"/>
          <w:szCs w:val="18"/>
          <w:color w:val="auto"/>
        </w:rPr>
      </w:pPr>
    </w:p>
    <w:p>
      <w:pPr>
        <w:ind w:right="80" w:firstLine="419"/>
        <w:spacing w:after="0" w:line="282" w:lineRule="auto"/>
        <w:tabs>
          <w:tab w:leader="none" w:pos="63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such Shares covered by such registration statement not later than the effective date of such registration statement;</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151" w:name="page152"/>
    <w:bookmarkEnd w:id="151"/>
    <w:p>
      <w:pPr>
        <w:ind w:left="1160" w:hanging="301"/>
        <w:spacing w:after="0"/>
        <w:tabs>
          <w:tab w:leader="none" w:pos="11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a CUSIP number for all such Shares, not later than the effective date of such registration statement;</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cause the senior executive officers of the Company to facilitate, cooperate with, and participate in each proposed offering contemplated herein and customary selling efforts related thereto, including participation of such officers in road show presentations, during normal business hours, upon reasonable notice and in a manner that does not unreasonably interfere with the operations of the Company’s business;</w:t>
      </w:r>
    </w:p>
    <w:p>
      <w:pPr>
        <w:spacing w:after="0" w:line="71"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1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cooperate with the Selling Holders and the managing underwriters, if any, to facilitate the timely preparation and delivery of certificates not bearing any restrictive legends representing the Shares to be sold, and cause such Shares to be issued in such denominations and registered in such names in accordance with the underwriting agreement prior to any sale of Shares to the underwriters or, if not an underwritten offering, in accordance with the instructions of the Selling Holders at least one Business Day prior to any sale of Shares and instruct any transfer agent and registrar of Shares to release any stop transfer orders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satisfy its obligations under this </w:t>
      </w:r>
      <w:r>
        <w:rPr>
          <w:rFonts w:ascii="Times New Roman" w:cs="Times New Roman" w:eastAsia="Times New Roman" w:hAnsi="Times New Roman"/>
          <w:sz w:val="18"/>
          <w:szCs w:val="18"/>
          <w:u w:val="single" w:color="auto"/>
          <w:color w:val="auto"/>
        </w:rPr>
        <w:t>Section 4.1(o)</w:t>
      </w:r>
      <w:r>
        <w:rPr>
          <w:rFonts w:ascii="Times New Roman" w:cs="Times New Roman" w:eastAsia="Times New Roman" w:hAnsi="Times New Roman"/>
          <w:sz w:val="18"/>
          <w:szCs w:val="18"/>
          <w:color w:val="auto"/>
        </w:rPr>
        <w:t xml:space="preserve"> without issuing physical stock certificates through the use of the Depository Trust Company’s Direct Registration System;</w:t>
      </w:r>
    </w:p>
    <w:p>
      <w:pPr>
        <w:spacing w:after="0" w:line="79"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1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no direct or indirect action prohibited by Regulation M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any prohibition is applicable to the Company, the Company will take such action as is necessary to make any such prohibition inapplicable;</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issuance of any stop order suspending the effectiveness of such registration statement, or of any order suspending or preventing the use of any related prospectus or suspending the qualification of any securities included in such registration statement for sale in any jurisdiction, the Company shall use its reasonable best efforts promptly to obtain the withdrawal of such order;</w:t>
      </w:r>
    </w:p>
    <w:p>
      <w:pPr>
        <w:spacing w:after="0" w:line="67"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08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Shares covered by such registration statement to be registered with or approved by such other government agencies or authorities, as may be necessary to enable the sellers thereof to consummate the disposition of such Shares;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09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other commercially reasonable actions as are necessary or advisable in order to expedite or facilitate the disposition of such Shares; and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07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applicability of, and obligations described in, clauses (a) through (s) above, in the case of any Demand Registration in the form of an Other Disposition, the Company shall take such corresponding actions described in clause (a) through (s) above that are customarily applicable to such transactions and shall use its reasonable best efforts to effect such Other Disposition.</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Company may require the Selling Holders to furnish the Company with such information regarding the Selling Holders and the distribution of such Shares, and other customary certifications and agreements, as the Company may from time to time reasonably request in writing and as shall be required by law, the SEC or any securities exchange on which any shares of Common Stock are then listed for trading in connection with any registration.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52" w:name="page153"/>
    <w:bookmarkEnd w:id="152"/>
    <w:p>
      <w:pPr>
        <w:ind w:left="4" w:right="2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Selling Holder will as promptly as reasonably practicable notify the Company, at any time when a prospectus relating thereto is required to be delivered (or deemed delivered) under the Securities Act, of the occurrence of an event, of which such Selling Holder has knowledge, relating to such Selling Holder or its disposition of Shares thereunder requiring the preparation of a supplement or amendment to such prospectus so that, as thereafter delivered (or deemed delivered) to the purchasers of such Shares, such prospectus will not contain an untrue statement of a material fact or omit to state a material fact required to be stated therein or necessary to make the statements therein, in light of the circumstances under which they were made, not misleading.</w:t>
      </w:r>
    </w:p>
    <w:p>
      <w:pPr>
        <w:spacing w:after="0" w:line="187"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Illumina agrees, and any other Selling Holder agrees by acquisition of such Shares, that, upon receipt of any written notice from the Company of the occurrence of any event of the kind described in </w:t>
      </w:r>
      <w:r>
        <w:rPr>
          <w:rFonts w:ascii="Times New Roman" w:cs="Times New Roman" w:eastAsia="Times New Roman" w:hAnsi="Times New Roman"/>
          <w:sz w:val="18"/>
          <w:szCs w:val="18"/>
          <w:u w:val="single" w:color="auto"/>
          <w:color w:val="auto"/>
        </w:rPr>
        <w:t>Section 4.1(j)</w:t>
      </w:r>
      <w:r>
        <w:rPr>
          <w:rFonts w:ascii="Times New Roman" w:cs="Times New Roman" w:eastAsia="Times New Roman" w:hAnsi="Times New Roman"/>
          <w:sz w:val="18"/>
          <w:szCs w:val="18"/>
          <w:color w:val="auto"/>
        </w:rPr>
        <w:t xml:space="preserve">, such Selling Holder will forthwith discontinue disposition of Shares pursuant to such registration statement until such Selling Holder’s receipt of the copies of the supplemented or amended prospectus contemplated by </w:t>
      </w:r>
      <w:r>
        <w:rPr>
          <w:rFonts w:ascii="Times New Roman" w:cs="Times New Roman" w:eastAsia="Times New Roman" w:hAnsi="Times New Roman"/>
          <w:sz w:val="18"/>
          <w:szCs w:val="18"/>
          <w:u w:val="single" w:color="auto"/>
          <w:color w:val="auto"/>
        </w:rPr>
        <w:t>Section 4.1(j)</w:t>
      </w:r>
      <w:r>
        <w:rPr>
          <w:rFonts w:ascii="Times New Roman" w:cs="Times New Roman" w:eastAsia="Times New Roman" w:hAnsi="Times New Roman"/>
          <w:sz w:val="18"/>
          <w:szCs w:val="18"/>
          <w:color w:val="auto"/>
        </w:rPr>
        <w:t xml:space="preserve">, or until such Selling Holder is advised in writing by the Company that the use of the prospectus may be resumed, and if so directed by the Company, such Selling Holder will deliver to the Company (at the Company’s expense) all copies of the prospectus covering such Shares current at the time of receipt of such notice. In the event the Company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Shares covered by such registration statement either receives the copies of the supplemented or amended prospectus contemplated by </w:t>
      </w:r>
      <w:r>
        <w:rPr>
          <w:rFonts w:ascii="Times New Roman" w:cs="Times New Roman" w:eastAsia="Times New Roman" w:hAnsi="Times New Roman"/>
          <w:sz w:val="18"/>
          <w:szCs w:val="18"/>
          <w:u w:val="single" w:color="auto"/>
          <w:color w:val="auto"/>
        </w:rPr>
        <w:t>Section 4.1(j)</w:t>
      </w:r>
      <w:r>
        <w:rPr>
          <w:rFonts w:ascii="Times New Roman" w:cs="Times New Roman" w:eastAsia="Times New Roman" w:hAnsi="Times New Roman"/>
          <w:sz w:val="18"/>
          <w:szCs w:val="18"/>
          <w:color w:val="auto"/>
        </w:rPr>
        <w:t xml:space="preserve"> or is advised in writing by the Company that the use of the prospectus may be resumed.</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 Selling Holder may participate in any underwritten offering or registered exchange offer hereunder unless such Selling Holder</w:t>
      </w:r>
    </w:p>
    <w:p>
      <w:pPr>
        <w:spacing w:after="0" w:line="27" w:lineRule="exact"/>
        <w:rPr>
          <w:sz w:val="20"/>
          <w:szCs w:val="20"/>
          <w:color w:val="auto"/>
        </w:rPr>
      </w:pPr>
    </w:p>
    <w:p>
      <w:pPr>
        <w:ind w:left="4" w:right="80" w:hanging="4"/>
        <w:spacing w:after="0" w:line="253" w:lineRule="auto"/>
        <w:tabs>
          <w:tab w:leader="none" w:pos="24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sell such Selling Holder’s securities on the basis provided in any underwriting agreements or other applicable agreements, approved by the Company or other Persons entitled to approve such agreements and (b) completes and executes all questionnaires, powers of attorney, indemnities, underwriting agreements, other applicable agreements and other documents reasonably required under the terms of such underwriting or other agreements or this Agreement.</w:t>
      </w:r>
    </w:p>
    <w:p>
      <w:pPr>
        <w:spacing w:after="0" w:line="189" w:lineRule="exact"/>
        <w:rPr>
          <w:sz w:val="20"/>
          <w:szCs w:val="20"/>
          <w:color w:val="auto"/>
        </w:rPr>
      </w:pPr>
    </w:p>
    <w:p>
      <w:pPr>
        <w:ind w:left="4" w:right="200" w:firstLine="991"/>
        <w:spacing w:after="0" w:line="281" w:lineRule="auto"/>
        <w:rPr>
          <w:sz w:val="20"/>
          <w:szCs w:val="20"/>
          <w:color w:val="auto"/>
        </w:rPr>
      </w:pPr>
      <w:r>
        <w:rPr>
          <w:rFonts w:ascii="Times New Roman" w:cs="Times New Roman" w:eastAsia="Times New Roman" w:hAnsi="Times New Roman"/>
          <w:sz w:val="17"/>
          <w:szCs w:val="17"/>
          <w:color w:val="auto"/>
        </w:rPr>
        <w:t>Each Selling Holder agrees that, in connection with any offering pursuant to this Agreement, it will not prepare, use or refer to any “free writing prospectus” (as defined in Rule 405 of the Securities Act) without the prior written authorization of the Company, such approval not to be unreasonably withheld, conditioned or delayed, and will not distribute any written materials in connection with any offering of the Shares under any registration statement registered pursuant to this Agreement other than the applicable prospectus and any such free writing prospectus so authorized.</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153" w:name="page154"/>
    <w:bookmarkEnd w:id="153"/>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xml:space="preserve"> If requested by the underwriters for any underwritten offering (or exchange agent for an exchange offer) in connection with a registration requested hereunder (including any registration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which involves, in whole or in part, an underwritten offering), the Company will enter into an underwriting agreement with such underwriters (or exchange agent agreement with such exchange agents) for such offering, such agreement to contain such representations and warranties by the Company and such other terms and provisions as are customarily contained in underwriting agreements or exchange agent agreements, as applicable, with respect to that offering, including indemnification and contribution obligations and the provision of opinions of counsel and accountants’ letters to the effect and to the extent provided in </w:t>
      </w:r>
      <w:r>
        <w:rPr>
          <w:rFonts w:ascii="Times New Roman" w:cs="Times New Roman" w:eastAsia="Times New Roman" w:hAnsi="Times New Roman"/>
          <w:sz w:val="18"/>
          <w:szCs w:val="18"/>
          <w:u w:val="single" w:color="auto"/>
          <w:color w:val="auto"/>
        </w:rPr>
        <w:t>Section 4.1(f)</w:t>
      </w:r>
      <w:r>
        <w:rPr>
          <w:rFonts w:ascii="Times New Roman" w:cs="Times New Roman" w:eastAsia="Times New Roman" w:hAnsi="Times New Roman"/>
          <w:sz w:val="18"/>
          <w:szCs w:val="18"/>
          <w:color w:val="auto"/>
        </w:rPr>
        <w:t xml:space="preserve">. The Company may require that the Shares requested to be registered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 included in such underwritten offering on the same terms and conditions as shall be applicable to the other securities being sold through underwriters under such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Selling Holder shall be required to make any representations or warranties to the Company or the underwriters (other than representations and warranties regarding such Holder and such Holder’s intended method of distribution) or to undertake any indemnification obligations to the Company or the underwriters with respect thereto, except as otherwise provided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The Selling Holders shall be parties to any such underwriting agreement, and the representations and warranties by, and the other agreements on the part of, the Company to and for the benefit of such underwriters shall also be made to and for the benefit of such Selling Holders.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Blackout Periods for Shelf Registrations.</w:t>
      </w:r>
    </w:p>
    <w:p>
      <w:pPr>
        <w:spacing w:after="0" w:line="117" w:lineRule="exact"/>
        <w:rPr>
          <w:sz w:val="20"/>
          <w:szCs w:val="20"/>
          <w:color w:val="auto"/>
        </w:rPr>
      </w:pPr>
    </w:p>
    <w:p>
      <w:pPr>
        <w:ind w:left="440" w:right="20" w:firstLine="419"/>
        <w:spacing w:after="0" w:line="268" w:lineRule="auto"/>
        <w:tabs>
          <w:tab w:leader="none" w:pos="1108"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any time when a Shelf Registration effected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relating to the Shares is effective, upon written notice from the Company to the Selling Holders that the Company has determined in good faith that (i) the Selling Holders’ sale of the Shares pursuant to the Shelf Registration would require the disclosure of material nonpublic information, the disclosure of which would be reasonably likely to have a material adverse effect on the Company, (ii) the Selling Holders’ sale of the Shares pursuant to the Shelf Registration would materially impede, delay or interfere with any material acquisition, divestiture, joint venture, merger, consolidation, other business combination, corporate reorganization, tender offer or other material transaction of the Company or (iii) the Company is unable to comply with SEC requirements for continued use or effectiveness of the Shelf Registration (each of clauses (i) through (iii), an “</w:t>
      </w:r>
      <w:r>
        <w:rPr>
          <w:rFonts w:ascii="Times New Roman" w:cs="Times New Roman" w:eastAsia="Times New Roman" w:hAnsi="Times New Roman"/>
          <w:sz w:val="17"/>
          <w:szCs w:val="17"/>
          <w:u w:val="single" w:color="auto"/>
          <w:color w:val="auto"/>
        </w:rPr>
        <w:t>Information Blackout</w:t>
      </w:r>
      <w:r>
        <w:rPr>
          <w:rFonts w:ascii="Times New Roman" w:cs="Times New Roman" w:eastAsia="Times New Roman" w:hAnsi="Times New Roman"/>
          <w:sz w:val="17"/>
          <w:szCs w:val="17"/>
          <w:color w:val="auto"/>
        </w:rPr>
        <w:t>”), the Selling Holders shall suspend sales of the Shares pursuant to such Shelf Registration until the earlier of (A) the date upon which such material information is disclosed to the public or ceases to be material (or the Company otherwise complies with applicable SEC requirements), (B) 45 days after the date on which the Company makes such good faith determination that an Information Blackout exists (unless resuming use of the Shelf Registration is then prohibited by applicable SEC rules or published interpretations) or (C) such time as the Company notifies the Selling Holders that sales pursuant to such Shelf Registration may be resumed (the number of days from such suspension of sales of the Shares until the day when such sales may be resumed hereunder is hereinafter called a “</w:t>
      </w:r>
      <w:r>
        <w:rPr>
          <w:rFonts w:ascii="Times New Roman" w:cs="Times New Roman" w:eastAsia="Times New Roman" w:hAnsi="Times New Roman"/>
          <w:sz w:val="17"/>
          <w:szCs w:val="17"/>
          <w:u w:val="single" w:color="auto"/>
          <w:color w:val="auto"/>
        </w:rPr>
        <w:t>Sales Blackout Period</w:t>
      </w:r>
      <w:r>
        <w:rPr>
          <w:rFonts w:ascii="Times New Roman" w:cs="Times New Roman" w:eastAsia="Times New Roman" w:hAnsi="Times New Roman"/>
          <w:sz w:val="17"/>
          <w:szCs w:val="17"/>
          <w:color w:val="auto"/>
        </w:rPr>
        <w:t xml:space="preserve">”). The postponement rights in this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 xml:space="preserve"> and the holdback obligation in </w:t>
      </w:r>
      <w:r>
        <w:rPr>
          <w:rFonts w:ascii="Times New Roman" w:cs="Times New Roman" w:eastAsia="Times New Roman" w:hAnsi="Times New Roman"/>
          <w:sz w:val="17"/>
          <w:szCs w:val="17"/>
          <w:u w:val="single" w:color="auto"/>
          <w:color w:val="auto"/>
        </w:rPr>
        <w:t>Section 4.5(c)</w:t>
      </w:r>
      <w:r>
        <w:rPr>
          <w:rFonts w:ascii="Times New Roman" w:cs="Times New Roman" w:eastAsia="Times New Roman" w:hAnsi="Times New Roman"/>
          <w:sz w:val="17"/>
          <w:szCs w:val="17"/>
          <w:color w:val="auto"/>
        </w:rPr>
        <w:t xml:space="preserve"> shall not be applicable to the Holders for more than a total of 120 days during any 12-month period.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54" w:name="page155"/>
    <w:bookmarkEnd w:id="154"/>
    <w:p>
      <w:pPr>
        <w:jc w:val="both"/>
        <w:ind w:left="440" w:right="60" w:firstLine="419"/>
        <w:spacing w:after="0" w:line="261" w:lineRule="auto"/>
        <w:tabs>
          <w:tab w:leader="none" w:pos="11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there is an Information Blackout and the Selling Holders do not notify the Company in writing of their desire to cancel such Shelf Registration, the period set forth in </w:t>
      </w:r>
      <w:r>
        <w:rPr>
          <w:rFonts w:ascii="Times New Roman" w:cs="Times New Roman" w:eastAsia="Times New Roman" w:hAnsi="Times New Roman"/>
          <w:sz w:val="18"/>
          <w:szCs w:val="18"/>
          <w:u w:val="single" w:color="auto"/>
          <w:color w:val="auto"/>
        </w:rPr>
        <w:t>Section 4.1(c)(i)</w:t>
      </w:r>
      <w:r>
        <w:rPr>
          <w:rFonts w:ascii="Times New Roman" w:cs="Times New Roman" w:eastAsia="Times New Roman" w:hAnsi="Times New Roman"/>
          <w:sz w:val="18"/>
          <w:szCs w:val="18"/>
          <w:color w:val="auto"/>
        </w:rPr>
        <w:t xml:space="preserve"> shall be extended for a number of days equal to the number of days in the Sales Blackout Period. The fact that a Sales Blackout Period is required under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SEC rules shall not relieve the contractual duty of the Company as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to file timely reports and otherwise file material required to be filed under the Exchange Act.</w:t>
      </w:r>
    </w:p>
    <w:p>
      <w:pPr>
        <w:spacing w:after="0" w:line="180"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Listing and Other Requirements.</w:t>
      </w:r>
      <w:r>
        <w:rPr>
          <w:rFonts w:ascii="Times New Roman" w:cs="Times New Roman" w:eastAsia="Times New Roman" w:hAnsi="Times New Roman"/>
          <w:sz w:val="18"/>
          <w:szCs w:val="18"/>
          <w:color w:val="auto"/>
        </w:rPr>
        <w:t xml:space="preserve"> In connection with the registration of any offering of the Shares pursuant to this Agreement, the Company agrees to use its reasonable best efforts to effect the listing of such Shares on any securities exchange on which any shares of the Common Stock are then listed and otherwise facilitate the public trading of such Shares. The Company will take all other lawful actions reasonably necessary and customary under the circumstances to expedite and facilitate the disposition by the Selling Holders of Shares registered pursuant to this Agreement as described in the prospectus relating thereto, including timely preparation and delivery of stock certificates, if any, in appropriate denominations and furnishing any required instructions or legal opinions to the Company’s transfer agent in connection with Shares sold or otherwise distributed pursuant to an effective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satisfy its obligations under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without issuing physical stock certificates through the use of the Depository Trust Company’s Direct Registration System.</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Holdback Agreements.</w:t>
      </w:r>
    </w:p>
    <w:p>
      <w:pPr>
        <w:spacing w:after="0" w:line="117" w:lineRule="exact"/>
        <w:rPr>
          <w:sz w:val="20"/>
          <w:szCs w:val="20"/>
          <w:color w:val="auto"/>
        </w:rPr>
      </w:pPr>
    </w:p>
    <w:p>
      <w:pPr>
        <w:ind w:left="440" w:right="60" w:firstLine="419"/>
        <w:spacing w:after="0" w:line="258" w:lineRule="auto"/>
        <w:tabs>
          <w:tab w:leader="none" w:pos="110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effect any public sale or distribution of its equity securities, or any securities convertible into or exchangeable or exercisable for such securities, during the seven days prior to, and during the 90-day period beginning on, the effective date of any registration statement in connection with a Demand Registration (other than a Shelf Registration) or a Piggyback Registration, except pursuant to such Demand Registration or Piggyback Registration or registrations on Form S-8 or S-4 or any successor form or unless the underwriters managing any such public offering otherwise agree.</w:t>
      </w:r>
    </w:p>
    <w:p>
      <w:pPr>
        <w:spacing w:after="0" w:line="75"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Holders of Shares notify the Company in writing that they intend to effect an underwritten sale of Shares registered pursuant to a Shelf Registration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Company shall not effect any public sale or distribution of its equity securities, or any securities convertible into or exchangeable or exercisable for its equity securities, during the seven days prior to, and during the 90-day period beginning on, the date specified in such notice for such proposed sale, except pursuant to such intended Shelf Registration or registrations on Form S-8 or S-4 or any successor form or unless the underwriters managing any such public offering otherwise agree.</w:t>
      </w:r>
    </w:p>
    <w:p>
      <w:pPr>
        <w:spacing w:after="0" w:line="75" w:lineRule="exact"/>
        <w:rPr>
          <w:rFonts w:ascii="Times New Roman" w:cs="Times New Roman" w:eastAsia="Times New Roman" w:hAnsi="Times New Roman"/>
          <w:sz w:val="18"/>
          <w:szCs w:val="18"/>
          <w:color w:val="auto"/>
        </w:rPr>
      </w:pPr>
    </w:p>
    <w:p>
      <w:pPr>
        <w:ind w:left="440" w:right="20" w:firstLine="419"/>
        <w:spacing w:after="0" w:line="289" w:lineRule="auto"/>
        <w:tabs>
          <w:tab w:leader="none" w:pos="110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completes an underwritten registration with respect to any of its securities (whether offered for sale by the Company or any other Person) on a form and in a manner that would have permitted registration of the Shares and the Company has complied with its obligations pursuant to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in connection with such underwritten registration, the Holders shall not effect any public sales or distributions of</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155" w:name="page156"/>
    <w:bookmarkEnd w:id="155"/>
    <w:p>
      <w:pPr>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equity securities of the Company, or any securities convertible into or exchangeable or exercisable for such securities, until the termination of the holdback period required from the Company by any underwriters in connection with such previous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holdback period applicable to the Holders shall (i) in no event be longer than a period of seven days prior to, and during the 90-day period beginning on, the effective date of such registration statement, (ii) not apply to any distribution of Shares to stockholders of a Holder, (iii) not apply to any Holder owning less than 5% of the Company’s outstanding voting securities and (iv) not apply unless all directors and executive officers of the Company are subject to substantially comparable restrictions as those proposed to be imposed on the Holders;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the purposes of clause (iii) all members of the Illumina Group shall be treated as a single Selling Holder and that for the purposes of clause (iv), each such party shall, upon request, execute a lock-up agreement containing such terms in a customary form and, to the extent required by any underwriter participating in an underwritten public offering, the Company shall use reasonable best efforts to cause its executive officers and directors to execute such lock-up agreements in connection with such underwritten public offering, which lock-up agreements shall not have a duration shorter than that of the lock-up agreement or provisions applicable to the Company.</w:t>
      </w:r>
    </w:p>
    <w:p>
      <w:pPr>
        <w:spacing w:after="0" w:line="192" w:lineRule="exact"/>
        <w:rPr>
          <w:sz w:val="20"/>
          <w:szCs w:val="20"/>
          <w:color w:val="auto"/>
        </w:rPr>
      </w:pPr>
    </w:p>
    <w:p>
      <w:pPr>
        <w:ind w:right="60"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Preparation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Reasonable Investigation.</w:t>
      </w:r>
      <w:r>
        <w:rPr>
          <w:rFonts w:ascii="Times New Roman" w:cs="Times New Roman" w:eastAsia="Times New Roman" w:hAnsi="Times New Roman"/>
          <w:sz w:val="17"/>
          <w:szCs w:val="17"/>
          <w:color w:val="auto"/>
        </w:rPr>
        <w:t xml:space="preserve"> In connection with the preparation and filing of each registration statement registering the Shares under the Securities Act and each sale of the Shares thereunder, the Company will give each Selling Holder and the underwriters, if any, and their respective counsel and accountants representing such Selling Holders and underwriters, access to its reasonably requested financial and other records, pertinent corporate documents and properties of the Company and such opportunities to discuss the business of the Company with its officers and the independent public accountants who have certified its financial statements as shall be necessary, in the opinion of the Selling Holders and such underwriters or such counsel, to conduct a reasonable investigation within the meaning of the Securities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Selling Holder agrees that the information obtained by it pursuant to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shall be kept confidential by it and, except as required by law, not disclosed by it, in each case, unless and until such information is made generally available to the public other than by such Selling Holder, and each Selling Holder further agrees that it will, upon learning that disclosure of such information is sought from such Selling Holder in a court of competent jurisdiction, promptly give notice to the Company and allow the Company, at the Company’s expense, to undertake appropriate action to prevent disclosure of the information deemed confidential;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for purposes of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all members of the Illumina Group shall be treated as a single Selling Holder.</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 and Contribution.</w:t>
      </w:r>
    </w:p>
    <w:p>
      <w:pPr>
        <w:spacing w:after="0" w:line="117" w:lineRule="exact"/>
        <w:rPr>
          <w:sz w:val="20"/>
          <w:szCs w:val="20"/>
          <w:color w:val="auto"/>
        </w:rPr>
      </w:pPr>
    </w:p>
    <w:p>
      <w:pPr>
        <w:ind w:left="440" w:right="20" w:firstLine="419"/>
        <w:spacing w:after="0" w:line="258" w:lineRule="auto"/>
        <w:tabs>
          <w:tab w:leader="none" w:pos="110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registration of any of the Shares hereunder, the Company shall enter into customary indemnification arrangements to indemnify and hold harmless each of the Selling Holders, each of their respective directors, officers, employees, advisors and agents, each Person who participates as an underwriter in the offering or sale of such securities, each director, officer, employee, advisor and agent of each underwriter and each Person, if any, who controls each such Selling Holder or any such underwriter within the meaning of the Securities Act or the Exchange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56" w:name="page157"/>
    <w:bookmarkEnd w:id="15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(collectively, the “</w:t>
      </w:r>
      <w:r>
        <w:rPr>
          <w:rFonts w:ascii="Times New Roman" w:cs="Times New Roman" w:eastAsia="Times New Roman" w:hAnsi="Times New Roman"/>
          <w:sz w:val="18"/>
          <w:szCs w:val="18"/>
          <w:u w:val="single" w:color="auto"/>
          <w:color w:val="auto"/>
        </w:rPr>
        <w:t>Holder Covered Persons</w:t>
      </w:r>
      <w:r>
        <w:rPr>
          <w:rFonts w:ascii="Times New Roman" w:cs="Times New Roman" w:eastAsia="Times New Roman" w:hAnsi="Times New Roman"/>
          <w:sz w:val="18"/>
          <w:szCs w:val="18"/>
          <w:color w:val="auto"/>
        </w:rPr>
        <w:t>”) against any losses, claims, damages, liabilities (or actions or proceedings in respect thereof) and expenses, joint or several (each,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such Person may be subject under the Securities Act or otherwise insofar as such Losses arise out of or are based upon (i) any untrue statement or alleged untrue statement of a material fact contained in any related registration statement filed under the Securities Act, any preliminary prospectus or final prospectus included therein, or any amendment or supplement thereto, any free writing prospectus, or any document incorporated by reference therein, or (ii) any omission or alleged omission to state therein a material fact required to be stated therein or necessary to make the statements therein not misleading (in the case of any prospectus, in light of the circumstances under which they were made), and the Company will reimburse each such Holder Covered Person, as incurred, for any legal or any other expenses reasonably incurred by such Holder Covered Person in connection with investigating or defending any such Loss;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liable in any such case to the extent that any such Loss arises out of or is based upon an untrue statement or alleged untrue statement or omission or alleged omission made in such registration statement, any such preliminary prospectus or final prospectus, amendment or supplement in reliance upon and in conformity with written information furnished to the Company after the Distribution by such Selling Holder or such underwriter specifically for use in the preparation thereof. Such indemnity shall remain in full force and effect regardless of any investigation made by or on behalf of any such Holder Covered Person and shall survive the transfer of such securities by the Selling Holders.</w:t>
      </w:r>
    </w:p>
    <w:p>
      <w:pPr>
        <w:spacing w:after="0" w:line="89" w:lineRule="exact"/>
        <w:rPr>
          <w:sz w:val="20"/>
          <w:szCs w:val="20"/>
          <w:color w:val="auto"/>
        </w:rPr>
      </w:pPr>
    </w:p>
    <w:p>
      <w:pPr>
        <w:ind w:right="40" w:firstLine="419"/>
        <w:spacing w:after="0" w:line="253" w:lineRule="auto"/>
        <w:tabs>
          <w:tab w:leader="none" w:pos="67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Selling Holders, by virtue of exercising its respective registration rights hereunder, agrees and undertakes to enter into customary indemnification arrangements to indemnify and hold harmless (in the same manner and to the same extent as set forth in clause (a)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Company, its directors, officers, employees, advisors and agents, each Person who participates as an underwriter in the offering or sale of such securities, each director, officer, employee, advisor and agent of each underwriter, and each Person, if any, who controls the Company or any such underwriter within the meaning of the Securities Act or the Exchange Act (collectively, the “</w:t>
      </w:r>
      <w:r>
        <w:rPr>
          <w:rFonts w:ascii="Times New Roman" w:cs="Times New Roman" w:eastAsia="Times New Roman" w:hAnsi="Times New Roman"/>
          <w:sz w:val="18"/>
          <w:szCs w:val="18"/>
          <w:u w:val="single" w:color="auto"/>
          <w:color w:val="auto"/>
        </w:rPr>
        <w:t>Company Covered Persons</w:t>
      </w:r>
      <w:r>
        <w:rPr>
          <w:rFonts w:ascii="Times New Roman" w:cs="Times New Roman" w:eastAsia="Times New Roman" w:hAnsi="Times New Roman"/>
          <w:sz w:val="18"/>
          <w:szCs w:val="18"/>
          <w:color w:val="auto"/>
        </w:rPr>
        <w:t xml:space="preserve">”), with respect to any statement in or omission from such registration statement, any preliminary prospectus or final prospectus included therein, or any amendment or supplement thereto, or any free writing prospectus, if such statement or omission is contained in written information furnished by such Selling Holder to the Company specifically for inclusion in such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for each Selling Holder to indemnify shall be several and not joint, and shall be limited to the net amount of proceeds received by such Selling Holder from the sale of Shares pursuant to such registration statement. Such indemnity shall remain in full force and effect regardless of any investigation made by or on behalf of any Company Covered Person and shall survive the transfer of the registered securities by the Selling Holders.</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157" w:name="page158"/>
    <w:bookmarkEnd w:id="157"/>
    <w:p>
      <w:pPr>
        <w:ind w:left="4" w:right="80" w:firstLine="419"/>
        <w:spacing w:after="0" w:line="267" w:lineRule="auto"/>
        <w:tabs>
          <w:tab w:leader="none" w:pos="671"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entitled to indemnification hereunder (each, an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shall (i) give prompt written notice to the Person against whom such indemnity may be sought (the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xml:space="preserve">”) of any claim with respect to which it seeks indemnification;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failure to give prompt notice shall not impair any Indemnified Party’s rights to indemnification hereunder to the extent such failure has not materially prejudiced the Indemnifying Party; and (ii) unless in such Indemnified Party’s reasonable judgment a conflict of interest between such Indemnified Party and Indemnifying Party may exist with respect to such claim, permit such Indemnifying Party to assume the defense of such claim with counsel reasonably satisfactory to the Indemnified Party. For any such claim,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in the reasonable judgment of such Indemnified Party, representation of both parties by the same counsel would be inappropriate due to actual or potential differing interests between them, including one or more defenses or counterclaims that are different from or in addition to those available to the Indemnifying Party, or</w:t>
      </w:r>
    </w:p>
    <w:p>
      <w:pPr>
        <w:spacing w:after="0" w:line="3" w:lineRule="exact"/>
        <w:rPr>
          <w:rFonts w:ascii="Times New Roman" w:cs="Times New Roman" w:eastAsia="Times New Roman" w:hAnsi="Times New Roman"/>
          <w:sz w:val="17"/>
          <w:szCs w:val="17"/>
          <w:color w:val="auto"/>
        </w:rPr>
      </w:pPr>
    </w:p>
    <w:p>
      <w:pPr>
        <w:ind w:left="4" w:right="20" w:hanging="4"/>
        <w:spacing w:after="0" w:line="251" w:lineRule="auto"/>
        <w:tabs>
          <w:tab w:leader="none" w:pos="31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Indemnifying Party shall have failed to assume the defense within a reasonable time of notice pursuant to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If such defense is assumed by the Indemnifying Party, no Indemnified Party will consent to entry of any judgment or enter into any settlement without the Indemnifying Party’s written consent to such judgment or settlement (but such consent shall not be unreasonably withheld, conditioned or delayed).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arising out of such proceeding and (ii) does not include any injunctive or other equitable or non-monetary relief applicable to or affecting such Indemnified Party.</w:t>
      </w:r>
    </w:p>
    <w:p>
      <w:pPr>
        <w:spacing w:after="0" w:line="85" w:lineRule="exact"/>
        <w:rPr>
          <w:rFonts w:ascii="Times New Roman" w:cs="Times New Roman" w:eastAsia="Times New Roman" w:hAnsi="Times New Roman"/>
          <w:sz w:val="18"/>
          <w:szCs w:val="18"/>
          <w:color w:val="auto"/>
        </w:rPr>
      </w:pPr>
    </w:p>
    <w:p>
      <w:pPr>
        <w:ind w:left="4" w:firstLine="419"/>
        <w:spacing w:after="0" w:line="253" w:lineRule="auto"/>
        <w:tabs>
          <w:tab w:leader="none" w:pos="68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provide for just and equitable contribution to joint liability under the Securities Act in any case in which either (a) any Holder exercising rights under this Agreement, or any controlling person of any such Holder, makes a claim for indemnification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provides for indemnification in such case, or (b) contribution under the Securities Act may be required on the part of any such Holder or any such controlling person in circumstances for which indemnification is provided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then, and in each such case, the Company and such Holder will contribute to the aggregate Losses to which they may be subject (after contribution from others) in such proportion as is appropriate to reflect the relative fault of the Company on the one hand and of the Holder on the other hand in connection with the statements or omissions which resulted in such Losses as well as any other relevant equitable considerations, where the relevant fault of the Company and the Holder will be determined by reference to, among other things, whether the untrue or alleged untrue statement of a material fact or the omission to state a material fact relates to information supplied by the Company or by the Holder and the parties’ relative intent, knowledge, access to information and opportunity to correct or prevent such statement or omission;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any such case: (i) no such Holder will</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4"/>
          </w:cols>
          <w:pgMar w:left="876" w:top="270" w:right="459" w:bottom="1440" w:gutter="0" w:footer="0" w:header="0"/>
        </w:sectPr>
      </w:pPr>
    </w:p>
    <w:bookmarkStart w:id="158" w:name="page159"/>
    <w:bookmarkEnd w:id="158"/>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required to contribute any amount in excess of the net amount of proceeds of all such Shares offered and sold by such Holder pursuant to such registration statement and (ii) no person or entity guilty of fraudulent misrepresentation (within the meaning of Section 11(f) of the Securities Act) will be entitled to contribution from any person or entity who was not guilty of such fraudulent misrepresentation.</w:t>
      </w:r>
    </w:p>
    <w:p>
      <w:pPr>
        <w:spacing w:after="0" w:line="68" w:lineRule="exact"/>
        <w:rPr>
          <w:sz w:val="20"/>
          <w:szCs w:val="20"/>
          <w:color w:val="auto"/>
        </w:rPr>
      </w:pPr>
    </w:p>
    <w:p>
      <w:pPr>
        <w:ind w:left="4" w:right="200" w:firstLine="419"/>
        <w:spacing w:after="0" w:line="282" w:lineRule="auto"/>
        <w:tabs>
          <w:tab w:leader="none" w:pos="67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53"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and obligations of the Company and the Selling Holders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the termination of this Agreement.</w:t>
      </w:r>
    </w:p>
    <w:p>
      <w:pPr>
        <w:spacing w:after="0" w:line="22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Benefits and Termination of Registration Rights.</w:t>
      </w:r>
    </w:p>
    <w:p>
      <w:pPr>
        <w:spacing w:after="0" w:line="117" w:lineRule="exact"/>
        <w:rPr>
          <w:sz w:val="20"/>
          <w:szCs w:val="20"/>
          <w:color w:val="auto"/>
        </w:rPr>
      </w:pPr>
    </w:p>
    <w:p>
      <w:pPr>
        <w:ind w:left="4" w:right="40" w:firstLine="419"/>
        <w:spacing w:after="0" w:line="269" w:lineRule="auto"/>
        <w:tabs>
          <w:tab w:leader="none" w:pos="671"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may exercise the registration rights granted hereunder in such manner and proportions as they shall agree among themselves. The registration rights hereunder shall cease to apply to any particular Shares and such securities shall cease to be Shares when: (i) a registration statement with respect to the sale of such Shares shall have become effective under the Securities Act and such Shares shall have been disposed of in accordance with such registration statement; (ii) (x) as to Illumina, any other member of the Illumina Group or any Participating Bank, such Shares shall have been sold to the public pursuant to Rule 144 under the Securities Act (or any successor provision) (“</w:t>
      </w: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and</w:t>
      </w:r>
    </w:p>
    <w:p>
      <w:pPr>
        <w:spacing w:after="0" w:line="2" w:lineRule="exact"/>
        <w:rPr>
          <w:rFonts w:ascii="Times New Roman" w:cs="Times New Roman" w:eastAsia="Times New Roman" w:hAnsi="Times New Roman"/>
          <w:sz w:val="17"/>
          <w:szCs w:val="17"/>
          <w:color w:val="auto"/>
        </w:rPr>
      </w:pPr>
    </w:p>
    <w:p>
      <w:pPr>
        <w:ind w:left="4" w:right="120" w:hanging="4"/>
        <w:spacing w:after="0" w:line="253" w:lineRule="auto"/>
        <w:tabs>
          <w:tab w:leader="none" w:pos="25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Holder not enumerated in the immediately preceding clause (x), such Shares may be sold to the public pursuant to Rule 144 without being subject to the volume or manner of sale limitations of such rule; (iii) such Shares shall have been otherwise transferred, new certificates for them not bearing a legend restricting further transfer shall have been delivered by the Company (if applicable) and subsequent public distribution of them shall not require registration or qualification of them under the Securities Act or any similar state law then in force; or (iv) such Shares shall have ceased to be outstanding.</w:t>
      </w:r>
    </w:p>
    <w:p>
      <w:pPr>
        <w:spacing w:after="0" w:line="78" w:lineRule="exact"/>
        <w:rPr>
          <w:rFonts w:ascii="Times New Roman" w:cs="Times New Roman" w:eastAsia="Times New Roman" w:hAnsi="Times New Roman"/>
          <w:sz w:val="18"/>
          <w:szCs w:val="18"/>
          <w:color w:val="auto"/>
        </w:rPr>
      </w:pPr>
    </w:p>
    <w:p>
      <w:pPr>
        <w:ind w:left="4" w:firstLine="419"/>
        <w:spacing w:after="0" w:line="254" w:lineRule="auto"/>
        <w:tabs>
          <w:tab w:leader="none" w:pos="68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are held in non-certificated book-entry form and are subject to any stop transfer or similar instructions or restrictions, the Company shall, at the request of the applicable Holder, use commercially reasonable efforts to cause such stop transfer or similar instructions or restrictions to be promptly terminated and removed if (i) such Shares are registered for resale under the Securities Act, (ii) the applicable Holder provides the Company with reasonable assurance that such Shares can be sold, assigned or transferred pursuant to Rule 144(b)(1) or otherwise without registration under the applicable requirements of the Securities Act, including, if requested by the Company or its transfer agent, an opinion of Holder’s outside legal counsel, reasonably acceptable to the Company and its transfer agent, to such effect and (iii) the applicable Holder delivers to the Company a representation letter in form and substance reasonably acceptable to the Company agreeing that such Shares will be sold only under an effective registration statement or pursuant to Rule 144(b)(1) or otherwise without registration in compliance with an exemption under the Securities Act.</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4"/>
          </w:cols>
          <w:pgMar w:left="876" w:top="270" w:right="459" w:bottom="1440" w:gutter="0" w:footer="0" w:header="0"/>
        </w:sectPr>
      </w:pPr>
    </w:p>
    <w:bookmarkStart w:id="159" w:name="page160"/>
    <w:bookmarkEnd w:id="15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As used in this Agreement, the term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means all expenses incident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performance of or compliance with the registration requirements set forth in this Agreement, including:</w:t>
      </w:r>
    </w:p>
    <w:p>
      <w:pPr>
        <w:spacing w:after="0" w:line="99" w:lineRule="exact"/>
        <w:rPr>
          <w:sz w:val="20"/>
          <w:szCs w:val="20"/>
          <w:color w:val="auto"/>
        </w:rPr>
      </w:pPr>
    </w:p>
    <w:p>
      <w:pPr>
        <w:ind w:left="440" w:right="140" w:firstLine="419"/>
        <w:spacing w:after="0" w:line="282" w:lineRule="auto"/>
        <w:tabs>
          <w:tab w:leader="none" w:pos="110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disbursements and expenses of the Company’s counsel and accountants in connection with the registration of the Shares to be disposed of;</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11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 connection with the preparation, printing and filing of the registration statement, any preliminary prospectus or final prospectus, any other offering document and amendments and supplements thereto and the mailing and delivering of copies thereof to the underwriters;</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0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printing and producing any agreements among underwriters, any underwriting agreements, any blue sky or legal investment memoranda, any selling agreements and any amendments thereto or other documents in connection with the offering, sale or delivery of the Shares to be disposed of;</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qualification and filing fees, including the filing fees incident to securing any required review by Nasdaq, and any other securities exchange on which the Common Stock is then traded or listed, of the terms of the sale of the Shares to be disposed of and the trading or listing of all such Shares on each such exchange;</w:t>
      </w:r>
    </w:p>
    <w:p>
      <w:pPr>
        <w:spacing w:after="0" w:line="67" w:lineRule="exact"/>
        <w:rPr>
          <w:rFonts w:ascii="Times New Roman" w:cs="Times New Roman" w:eastAsia="Times New Roman" w:hAnsi="Times New Roman"/>
          <w:sz w:val="18"/>
          <w:szCs w:val="18"/>
          <w:color w:val="auto"/>
        </w:rPr>
      </w:pPr>
    </w:p>
    <w:p>
      <w:pPr>
        <w:jc w:val="both"/>
        <w:ind w:left="440" w:right="100" w:firstLine="419"/>
        <w:spacing w:after="0" w:line="266" w:lineRule="auto"/>
        <w:tabs>
          <w:tab w:leader="none" w:pos="110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 connection with the qualification of the Shares to be disposed of for offering and sale under state or non-U.S. securities laws, including the fees and disbursements of counsel for the underwriters in connection with such qualification and in connection with any blue sky and legal investment surveys;</w:t>
      </w:r>
    </w:p>
    <w:p>
      <w:pPr>
        <w:spacing w:after="0" w:line="6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08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and application fees incurred in connection with any filing with, and clearance of an offering by the Financial Industry Regulatory Authority, Inc.;</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expenses of the Company (including all salaries and expenses of its officers and employees performing legal or accounting</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any road show presentation to potential investors;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stock certificates (if any);</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charges of the Company’s transfer agent and registrar;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disbursements of any custodians or agents.</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Registration Expenses shall not include (i) underwriting discounts and underwriters’ commissions attributable to the Shares being registered for sale on behalf of the Selling Holders, which shall be paid by the Selling Holders, (ii) stock transfer taxes, which shall be paid by the Selling Holders and (iii) the fees, disbursements and expenses of the Selling Holders’ counsel and accountants in connection with the registration of the Shares to be disposed of under the Securities Act.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40" w:top="270" w:right="519" w:bottom="1440" w:gutter="0" w:footer="0" w:header="0"/>
        </w:sectPr>
      </w:pPr>
    </w:p>
    <w:bookmarkStart w:id="160" w:name="page161"/>
    <w:bookmarkEnd w:id="16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Voting Restrictions.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Voting of the Shares.</w:t>
      </w:r>
    </w:p>
    <w:p>
      <w:pPr>
        <w:spacing w:after="0" w:line="117" w:lineRule="exact"/>
        <w:rPr>
          <w:sz w:val="20"/>
          <w:szCs w:val="20"/>
          <w:color w:val="auto"/>
        </w:rPr>
      </w:pPr>
    </w:p>
    <w:p>
      <w:pPr>
        <w:ind w:left="440" w:right="280" w:firstLine="419"/>
        <w:spacing w:after="0" w:line="277" w:lineRule="auto"/>
        <w:tabs>
          <w:tab w:leader="none" w:pos="1108"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of the Distribution until the date that the Illumina Group ceases to own any Shares, Illumina shall, and shall cause each member of the Illumina Group to (in each case, to the extent that they own any Shares), be present, in person or by proxy, at each and every stockholder meeting of the Company, and otherwise to cause all Shares owned by them to be counted as present for purposes of establishing a quorum at any such meeting, and to vote or consent on any matter (including waivers of contractual or statutory rights), or cause to be voted or consented on any such matter, all such Shares in proportion to the votes cast by the other holders of the Common Stock on such matter.</w:t>
      </w:r>
    </w:p>
    <w:p>
      <w:pPr>
        <w:spacing w:after="0" w:line="59" w:lineRule="exact"/>
        <w:rPr>
          <w:rFonts w:ascii="Times New Roman" w:cs="Times New Roman" w:eastAsia="Times New Roman" w:hAnsi="Times New Roman"/>
          <w:sz w:val="17"/>
          <w:szCs w:val="17"/>
          <w:color w:val="auto"/>
        </w:rPr>
      </w:pPr>
    </w:p>
    <w:p>
      <w:pPr>
        <w:ind w:left="440" w:firstLine="419"/>
        <w:spacing w:after="0" w:line="255" w:lineRule="auto"/>
        <w:tabs>
          <w:tab w:leader="none" w:pos="111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the Distribution until the date that the Illumina Group ceases to own any Shares, Illumina hereby grants, and shall cause each member of the Illumina Group (in each case, to the extent that they own any Shares) to grant, an irrevocable proxy, which shall be deemed coupled with an interest sufficient in law to support an irrevocable proxy to the Company or its designees, to vote, with respect to any matter, all Shares owned by them, in proportion to the votes cast by the other holders of the Common Stock on such matter;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proxy shall automatically be revoked as to a particular Share upon any sale, assignment or transfer of such Share from a member of the Illumina Group to a Person other than a member of the Illumina Group and (ii) nothing in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shall limit or prohibit any such sale, assignment or transfer.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Nominees for Beneficial Owners.</w:t>
      </w:r>
      <w:r>
        <w:rPr>
          <w:rFonts w:ascii="Times New Roman" w:cs="Times New Roman" w:eastAsia="Times New Roman" w:hAnsi="Times New Roman"/>
          <w:sz w:val="18"/>
          <w:szCs w:val="18"/>
          <w:color w:val="auto"/>
        </w:rPr>
        <w:t xml:space="preserve"> If Shares are held by a nominee for the beneficial owner thereof, the beneficial owner thereof may, at its option, be treated as the Holder of such Shares for purposes of any request or other action by any Holder pursuant to this Agreement (or any determination of any number or percentage of shares constituting Shares held by any Holder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have received assurances reasonably satisfactory to it of such beneficial ownership.</w:t>
      </w:r>
    </w:p>
    <w:p>
      <w:pPr>
        <w:spacing w:after="0" w:line="180"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one or more counterparts, all of which counterparts shall be considered one and the same agreement, and shall become effective when one or more counterparts have been signed by each party and delivered to the other party. This Agreement may be executed by facsimile or PDF signature and a facsimile or PDF signature shall constitute an original for all purposes.</w:t>
      </w:r>
    </w:p>
    <w:p>
      <w:pPr>
        <w:spacing w:after="0" w:line="176"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the Separation Agreement, all the other Ancillary Agreements (as defined in the Separation Agreement) and all other exhibits and schedules attached hereto and thereto contain the entire agreement between the parties with respect to the subject matter hereof and thereof and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 In the event of any conflict between or among such agreements as it relates to the sale or transfer of the Shares following the Distribution, this Agreement shall govern.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61" w:name="page162"/>
    <w:bookmarkEnd w:id="16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xml:space="preserve"> Each of the parties hereto represents to the other that:</w:t>
      </w:r>
    </w:p>
    <w:p>
      <w:pPr>
        <w:spacing w:after="0" w:line="117" w:lineRule="exact"/>
        <w:rPr>
          <w:sz w:val="20"/>
          <w:szCs w:val="20"/>
          <w:color w:val="auto"/>
        </w:rPr>
      </w:pPr>
    </w:p>
    <w:p>
      <w:pPr>
        <w:ind w:left="440" w:right="500" w:firstLine="419"/>
        <w:spacing w:after="0" w:line="282" w:lineRule="auto"/>
        <w:tabs>
          <w:tab w:leader="none" w:pos="110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requisite corporate or other power and authority and has taken all corporate or other action necessary in order to execute, deliver and perform this Agreement and to consummate the transactions contemplated; and</w:t>
      </w:r>
    </w:p>
    <w:p>
      <w:pPr>
        <w:spacing w:after="0" w:line="53"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1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it and constitutes, or will constitute, a valid and binding agreement of it enforceable in accordance with the terms thereof; and</w:t>
      </w:r>
    </w:p>
    <w:p>
      <w:pPr>
        <w:spacing w:after="0" w:line="53" w:lineRule="exact"/>
        <w:rPr>
          <w:rFonts w:ascii="Times New Roman" w:cs="Times New Roman" w:eastAsia="Times New Roman" w:hAnsi="Times New Roman"/>
          <w:sz w:val="18"/>
          <w:szCs w:val="18"/>
          <w:color w:val="auto"/>
        </w:rPr>
      </w:pPr>
    </w:p>
    <w:p>
      <w:pPr>
        <w:ind w:left="440" w:right="560" w:firstLine="419"/>
        <w:spacing w:after="0" w:line="312" w:lineRule="auto"/>
        <w:tabs>
          <w:tab w:leader="none" w:pos="1108"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4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 xml:space="preserve"> (a) This Agreement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68" w:lineRule="exact"/>
        <w:rPr>
          <w:sz w:val="20"/>
          <w:szCs w:val="20"/>
          <w:color w:val="auto"/>
        </w:rPr>
      </w:pPr>
    </w:p>
    <w:p>
      <w:pPr>
        <w:ind w:left="440" w:firstLine="419"/>
        <w:spacing w:after="0" w:line="253" w:lineRule="auto"/>
        <w:tabs>
          <w:tab w:leader="none" w:pos="11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dispute arising under this Agreement between the parties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prior to bringing an Action (as defined in the Separation Agreement) relating to a Dispute, the parties shall first seek to settle amicably all Disputes by negotiation. The parties shall first attempt in good faith to resolve the Dispute by negotiation in the normal course of business at the operational level within 30 days after written notice is received by either party regarding the existence of a Dispute (the “</w:t>
      </w:r>
      <w:r>
        <w:rPr>
          <w:rFonts w:ascii="Times New Roman" w:cs="Times New Roman" w:eastAsia="Times New Roman" w:hAnsi="Times New Roman"/>
          <w:sz w:val="18"/>
          <w:szCs w:val="18"/>
          <w:u w:val="single" w:color="auto"/>
          <w:color w:val="auto"/>
        </w:rPr>
        <w:t>Initial Notice</w:t>
      </w:r>
      <w:r>
        <w:rPr>
          <w:rFonts w:ascii="Times New Roman" w:cs="Times New Roman" w:eastAsia="Times New Roman" w:hAnsi="Times New Roman"/>
          <w:sz w:val="18"/>
          <w:szCs w:val="18"/>
          <w:color w:val="auto"/>
        </w:rPr>
        <w:t>”). If the parties are unable to resolve the Dispute within such 30-day period, the parties shall then attempt in good faith to resolve the Dispute by negotiation between executives designated by the parties who hold, at a minimum, the office of Senior Vice President and/or General Counsel (such designated executives, the “</w:t>
      </w:r>
      <w:r>
        <w:rPr>
          <w:rFonts w:ascii="Times New Roman" w:cs="Times New Roman" w:eastAsia="Times New Roman" w:hAnsi="Times New Roman"/>
          <w:sz w:val="18"/>
          <w:szCs w:val="18"/>
          <w:u w:val="single" w:color="auto"/>
          <w:color w:val="auto"/>
        </w:rPr>
        <w:t>Dispute Committee</w:t>
      </w:r>
      <w:r>
        <w:rPr>
          <w:rFonts w:ascii="Times New Roman" w:cs="Times New Roman" w:eastAsia="Times New Roman" w:hAnsi="Times New Roman"/>
          <w:sz w:val="18"/>
          <w:szCs w:val="18"/>
          <w:color w:val="auto"/>
        </w:rPr>
        <w:t xml:space="preserve">”). The parties agree that the members of the Dispute Committee shall have full and complete authority on behalf of their respective parties to resolve any Disputes submitted pursuant to this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Such Dispute Committee members and other applicable executives shall meet in person or by teleconference or video conference within 30 days of the date of the Initial Notice to seek a resolution of the Dispute. In the event that the Dispute Committee and other applicable executives are unable to agree to a format for such meeting, the meeting shall be convened in person at a mutually acceptable location in San Diego, California.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62" w:name="page163"/>
    <w:bookmarkEnd w:id="162"/>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10.7. </w:t>
      </w:r>
      <w:r>
        <w:rPr>
          <w:rFonts w:ascii="Times New Roman" w:cs="Times New Roman" w:eastAsia="Times New Roman" w:hAnsi="Times New Roman"/>
          <w:sz w:val="18"/>
          <w:szCs w:val="18"/>
          <w:u w:val="single" w:color="auto"/>
          <w:color w:val="auto"/>
        </w:rPr>
        <w:t>Arbitration.</w:t>
      </w:r>
    </w:p>
    <w:p>
      <w:pPr>
        <w:spacing w:after="0" w:line="117" w:lineRule="exact"/>
        <w:rPr>
          <w:sz w:val="20"/>
          <w:szCs w:val="20"/>
          <w:color w:val="auto"/>
        </w:rPr>
      </w:pPr>
    </w:p>
    <w:p>
      <w:pPr>
        <w:ind w:right="60" w:firstLine="419"/>
        <w:spacing w:after="0" w:line="272" w:lineRule="auto"/>
        <w:tabs>
          <w:tab w:leader="none" w:pos="66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Dispute not finally resolved pursuant to </w:t>
      </w:r>
      <w:r>
        <w:rPr>
          <w:rFonts w:ascii="Times New Roman" w:cs="Times New Roman" w:eastAsia="Times New Roman" w:hAnsi="Times New Roman"/>
          <w:sz w:val="17"/>
          <w:szCs w:val="17"/>
          <w:u w:val="single" w:color="auto"/>
          <w:color w:val="auto"/>
        </w:rPr>
        <w:t>Section 10.6(b)</w:t>
      </w:r>
      <w:r>
        <w:rPr>
          <w:rFonts w:ascii="Times New Roman" w:cs="Times New Roman" w:eastAsia="Times New Roman" w:hAnsi="Times New Roman"/>
          <w:sz w:val="17"/>
          <w:szCs w:val="17"/>
          <w:color w:val="auto"/>
        </w:rPr>
        <w:t xml:space="preserve"> within 60 days from the delivery of the Initial Notice shall be resolved by binding arbitration in accordance with this </w:t>
      </w:r>
      <w:r>
        <w:rPr>
          <w:rFonts w:ascii="Times New Roman" w:cs="Times New Roman" w:eastAsia="Times New Roman" w:hAnsi="Times New Roman"/>
          <w:sz w:val="17"/>
          <w:szCs w:val="17"/>
          <w:u w:val="single" w:color="auto"/>
          <w:color w:val="auto"/>
        </w:rPr>
        <w:t>Section 10.7</w:t>
      </w:r>
      <w:r>
        <w:rPr>
          <w:rFonts w:ascii="Times New Roman" w:cs="Times New Roman" w:eastAsia="Times New Roman" w:hAnsi="Times New Roman"/>
          <w:sz w:val="17"/>
          <w:szCs w:val="17"/>
          <w:color w:val="auto"/>
        </w:rPr>
        <w:t xml:space="preserve">. Any Dispute subject to arbitration pursuant to this </w:t>
      </w:r>
      <w:r>
        <w:rPr>
          <w:rFonts w:ascii="Times New Roman" w:cs="Times New Roman" w:eastAsia="Times New Roman" w:hAnsi="Times New Roman"/>
          <w:sz w:val="17"/>
          <w:szCs w:val="17"/>
          <w:u w:val="single" w:color="auto"/>
          <w:color w:val="auto"/>
        </w:rPr>
        <w:t>Section 10.7</w:t>
      </w:r>
      <w:r>
        <w:rPr>
          <w:rFonts w:ascii="Times New Roman" w:cs="Times New Roman" w:eastAsia="Times New Roman" w:hAnsi="Times New Roman"/>
          <w:sz w:val="17"/>
          <w:szCs w:val="17"/>
          <w:color w:val="auto"/>
        </w:rPr>
        <w:t xml:space="preserve"> shall be determined and resolved by final and binding arbitration, the seat of which shall be in New York, New York, before a panel of three arbitrators. The arbitration shall proceed in accordance with and shall be governed by the Commercial Arbitration Rules (the “</w:t>
      </w:r>
      <w:r>
        <w:rPr>
          <w:rFonts w:ascii="Times New Roman" w:cs="Times New Roman" w:eastAsia="Times New Roman" w:hAnsi="Times New Roman"/>
          <w:sz w:val="17"/>
          <w:szCs w:val="17"/>
          <w:u w:val="single" w:color="auto"/>
          <w:color w:val="auto"/>
        </w:rPr>
        <w:t>AAA Rules</w:t>
      </w:r>
      <w:r>
        <w:rPr>
          <w:rFonts w:ascii="Times New Roman" w:cs="Times New Roman" w:eastAsia="Times New Roman" w:hAnsi="Times New Roman"/>
          <w:sz w:val="17"/>
          <w:szCs w:val="17"/>
          <w:color w:val="auto"/>
        </w:rPr>
        <w:t>”) of the American Arbitration Association (“</w:t>
      </w:r>
      <w:r>
        <w:rPr>
          <w:rFonts w:ascii="Times New Roman" w:cs="Times New Roman" w:eastAsia="Times New Roman" w:hAnsi="Times New Roman"/>
          <w:sz w:val="17"/>
          <w:szCs w:val="17"/>
          <w:u w:val="single" w:color="auto"/>
          <w:color w:val="auto"/>
        </w:rPr>
        <w:t>AAA</w:t>
      </w:r>
      <w:r>
        <w:rPr>
          <w:rFonts w:ascii="Times New Roman" w:cs="Times New Roman" w:eastAsia="Times New Roman" w:hAnsi="Times New Roman"/>
          <w:sz w:val="17"/>
          <w:szCs w:val="17"/>
          <w:color w:val="auto"/>
        </w:rPr>
        <w:t>”) then in effect. The claimant shall nominate one arbitrator and the respondent shall nominate one arbitrator within the time limits specified in the AAA Rules. The chairperson shall be nominated by the two appointed arbitrators within 15 Business Days of the appointment of the second arbitrator, failing which the chairperson shall be appointed by the AAA. Unless the parties to the arbitration otherwise agree in writing, the arbitrators so selected shall be independent and shall not have any material past or existing affiliation with any party.</w:t>
      </w:r>
    </w:p>
    <w:p>
      <w:pPr>
        <w:spacing w:after="0" w:line="63" w:lineRule="exact"/>
        <w:rPr>
          <w:rFonts w:ascii="Times New Roman" w:cs="Times New Roman" w:eastAsia="Times New Roman" w:hAnsi="Times New Roman"/>
          <w:sz w:val="17"/>
          <w:szCs w:val="17"/>
          <w:color w:val="auto"/>
        </w:rPr>
      </w:pPr>
    </w:p>
    <w:p>
      <w:pPr>
        <w:ind w:firstLine="419"/>
        <w:spacing w:after="0" w:line="257" w:lineRule="auto"/>
        <w:tabs>
          <w:tab w:leader="none" w:pos="67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arbitrators shall apply the governing law set forth in </w:t>
      </w:r>
      <w:r>
        <w:rPr>
          <w:rFonts w:ascii="Times New Roman" w:cs="Times New Roman" w:eastAsia="Times New Roman" w:hAnsi="Times New Roman"/>
          <w:sz w:val="18"/>
          <w:szCs w:val="18"/>
          <w:u w:val="single" w:color="auto"/>
          <w:color w:val="auto"/>
        </w:rPr>
        <w:t>Section 10.6(a)</w:t>
      </w:r>
      <w:r>
        <w:rPr>
          <w:rFonts w:ascii="Times New Roman" w:cs="Times New Roman" w:eastAsia="Times New Roman" w:hAnsi="Times New Roman"/>
          <w:sz w:val="18"/>
          <w:szCs w:val="18"/>
          <w:color w:val="auto"/>
        </w:rPr>
        <w:t xml:space="preserve"> and shall have authority to entertain a motion for summary judgment by any party and shall apply the standards governing such motions under the Federal Rules of Civil Procedure. Unless otherwise agreed by the parties in writing, discovery shall be limited to only: (i) documents directly related to the issues in controversy, (ii) no more than</w:t>
      </w:r>
    </w:p>
    <w:p>
      <w:pPr>
        <w:spacing w:after="0" w:line="1" w:lineRule="exact"/>
        <w:rPr>
          <w:rFonts w:ascii="Times New Roman" w:cs="Times New Roman" w:eastAsia="Times New Roman" w:hAnsi="Times New Roman"/>
          <w:sz w:val="18"/>
          <w:szCs w:val="18"/>
          <w:color w:val="auto"/>
        </w:rPr>
      </w:pP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three depositions per party for any Dispute asserting claims exceeding $1 million (or equivalent value) or seeking injunctive relief, or two depositions per party for all other Disputes and (iii) 10 interrogatories per party. The arbitration procedures shall include provision for production of documents relevant to the Dispute;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discovery, if any, shall be completed within 90 days of the appointment of the arbitrators or as soon as practicable thereafter.</w:t>
      </w:r>
    </w:p>
    <w:p>
      <w:pPr>
        <w:spacing w:after="0" w:line="80" w:lineRule="exact"/>
        <w:rPr>
          <w:rFonts w:ascii="Times New Roman" w:cs="Times New Roman" w:eastAsia="Times New Roman" w:hAnsi="Times New Roman"/>
          <w:sz w:val="18"/>
          <w:szCs w:val="18"/>
          <w:color w:val="auto"/>
        </w:rPr>
      </w:pPr>
    </w:p>
    <w:p>
      <w:pPr>
        <w:ind w:right="200" w:firstLine="419"/>
        <w:spacing w:after="0" w:line="266" w:lineRule="auto"/>
        <w:tabs>
          <w:tab w:leader="none" w:pos="66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are intended to provide the exclusive method of resolving any Dispute, including injunctive relief;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party may commence and prosecute an action in any court of competent jurisdiction for the purpose of enforcing or seeking to vacate an arbitration award hereunder.</w:t>
      </w:r>
    </w:p>
    <w:p>
      <w:pPr>
        <w:spacing w:after="0" w:line="67" w:lineRule="exact"/>
        <w:rPr>
          <w:rFonts w:ascii="Times New Roman" w:cs="Times New Roman" w:eastAsia="Times New Roman" w:hAnsi="Times New Roman"/>
          <w:sz w:val="18"/>
          <w:szCs w:val="18"/>
          <w:color w:val="auto"/>
        </w:rPr>
      </w:pPr>
    </w:p>
    <w:p>
      <w:pPr>
        <w:ind w:right="860" w:firstLine="419"/>
        <w:spacing w:after="0" w:line="282" w:lineRule="auto"/>
        <w:tabs>
          <w:tab w:leader="none" w:pos="67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to arbitrate any Dispute set forth in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shall continue in full force and effect subsequent to, and notwithstanding the completion, expiration or termination of, this Agreement.</w:t>
      </w:r>
    </w:p>
    <w:p>
      <w:pPr>
        <w:spacing w:after="0" w:line="53" w:lineRule="exact"/>
        <w:rPr>
          <w:rFonts w:ascii="Times New Roman" w:cs="Times New Roman" w:eastAsia="Times New Roman" w:hAnsi="Times New Roman"/>
          <w:sz w:val="18"/>
          <w:szCs w:val="18"/>
          <w:color w:val="auto"/>
        </w:rPr>
      </w:pPr>
    </w:p>
    <w:p>
      <w:pPr>
        <w:ind w:right="60" w:firstLine="419"/>
        <w:spacing w:after="0" w:line="266" w:lineRule="auto"/>
        <w:tabs>
          <w:tab w:leader="none" w:pos="66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bear its own costs of the arbitration and share equally the arbitrators’ fee and the administrative costs;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prevailing party shall be entitled to payment of its reasonable attorneys’ fees and costs (unless applicable law restricts or prohibits such fee shifting).</w:t>
      </w:r>
    </w:p>
    <w:p>
      <w:pPr>
        <w:spacing w:after="0" w:line="67" w:lineRule="exact"/>
        <w:rPr>
          <w:rFonts w:ascii="Times New Roman" w:cs="Times New Roman" w:eastAsia="Times New Roman" w:hAnsi="Times New Roman"/>
          <w:sz w:val="18"/>
          <w:szCs w:val="18"/>
          <w:color w:val="auto"/>
        </w:rPr>
      </w:pPr>
    </w:p>
    <w:p>
      <w:pPr>
        <w:ind w:right="160" w:firstLine="419"/>
        <w:spacing w:after="0" w:line="261" w:lineRule="auto"/>
        <w:tabs>
          <w:tab w:leader="none" w:pos="64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undertake to keep confidential all awards in their arbitration, together with all materials in the proceedings created for the purpose of the arbitration and all other documents produced by another party in the proceedings not otherwise in the public domain, save and to the extent that disclosure may be required of a party by legal duty, to protect or pursue a legal right or to enforce or challenge an award in legal proceedings before a court or other judicial authority.</w:t>
      </w:r>
    </w:p>
    <w:p>
      <w:pPr>
        <w:spacing w:after="0" w:line="1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00"/>
          </w:cols>
          <w:pgMar w:left="880" w:top="270" w:right="519" w:bottom="1440" w:gutter="0" w:footer="0" w:header="0"/>
        </w:sectPr>
      </w:pPr>
    </w:p>
    <w:bookmarkStart w:id="163" w:name="page164"/>
    <w:bookmarkEnd w:id="163"/>
    <w:p>
      <w:pPr>
        <w:ind w:left="440" w:right="80" w:firstLine="419"/>
        <w:spacing w:after="0" w:line="282" w:lineRule="auto"/>
        <w:tabs>
          <w:tab w:leader="none" w:pos="111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any other day on which banking institutions located in New York, New York are required or authorized by law to be closed.</w:t>
      </w:r>
    </w:p>
    <w:p>
      <w:pPr>
        <w:spacing w:after="0" w:line="162"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may not be assigned by any party hereto other than by Illumina to a Permitted Transferee as provided for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Notwithstanding the foregoing, in any transaction as a result of which the Common Stock is converted into, or exchanged for, common stock or other securities of another Person, the Company shall cause such other Person to agree in writing to assume all of the Company’s rights and obligations under this Agreement. In addition, Illumina may assign this Agreement at any time in connection with a sale or acquisition of Illumina, whether by merger, consolidation, sale of all or substantially all of Illumina’s assets, or a similar transaction in which Illumina is not the surviving entity, without the consent of the Company, so long as the surviving entity assumes all the obligations of Illumina under this Agreement by operation of law or pursuant to an agreement in form and substance reasonable satisfactory to the Company. No assignment permitted by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shall release the assigning party from liability for the full performance of its obligations under this Agreement.</w:t>
      </w:r>
    </w:p>
    <w:p>
      <w:pPr>
        <w:spacing w:after="0" w:line="19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xml:space="preserve"> Except for the indemnification rights under this Agreement of any Holder Covered Person or Company Covered Person in their respective capacities as such, (a) the provisions of this Agreement are solely for the benefit of the parties hereto and are not intended to confer upon any Person (including any stockholders of Illumina or stockholders of the Company) except the parties hereto any rights or remedies hereunder and (b) there are no third-party beneficiaries of this Agreement and this Agreement shall not provide any third Person (including any stockholders of Illumina or stockholders of the Company) with any remedy, claim, liability, reimbursement, claim of action or other right in excess of those existing without reference to this Agreement.</w:t>
      </w:r>
    </w:p>
    <w:p>
      <w:pPr>
        <w:spacing w:after="0" w:line="18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or other communications under this Agreement shall be in writing and shall be given or made (and shall be deemed to have been duly given or made upon receipt) by delivery in person, by overnight courier service, by email with receipt confirmed,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to Illumina,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Illumina,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5200 Illumina Way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Diego, CA 92122</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Legal Department</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legalnotices@illumina.com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64" w:name="page165"/>
    <w:bookmarkEnd w:id="164"/>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389 9th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Andrew J. Pitts</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Ting S. Chen</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Daniel J. Cerqueira</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apitts@cravath.com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tchen@cravath.com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dcerqueira@cravath.com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GRAIL,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1525 O’Brien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Bob Ragusa</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Aaron Freidin</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Abram Barth</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Don Lang</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bragusa@grailbio.com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afreidin@grailbio.com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abarth@grailbio.com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dlang@grailbio.com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355 South Grand Avenue, Suite 100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112"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W. Alex Voxman</w:t>
      </w:r>
    </w:p>
    <w:p>
      <w:pPr>
        <w:spacing w:after="0" w:line="2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Andrew Clark</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Ross McAloon</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Alexa Berlin</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alex.voxman@lw.com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andrew.clark@lw.com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ross.mcaloon@lw.com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alexa.berlin@lw.com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Any party may, by notice to the other party, change the address and contact person to which any such notices are to be given.</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165" w:name="page166"/>
    <w:bookmarkEnd w:id="165"/>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10.12. </w:t>
      </w:r>
      <w:r>
        <w:rPr>
          <w:rFonts w:ascii="Times New Roman" w:cs="Times New Roman" w:eastAsia="Times New Roman" w:hAnsi="Times New Roman"/>
          <w:sz w:val="18"/>
          <w:szCs w:val="18"/>
          <w:u w:val="single" w:color="auto"/>
          <w:color w:val="auto"/>
        </w:rPr>
        <w:t>Waivers of Default.</w:t>
      </w:r>
      <w:r>
        <w:rPr>
          <w:rFonts w:ascii="Times New Roman" w:cs="Times New Roman" w:eastAsia="Times New Roman" w:hAnsi="Times New Roman"/>
          <w:sz w:val="18"/>
          <w:szCs w:val="18"/>
          <w:color w:val="auto"/>
        </w:rPr>
        <w:t xml:space="preserve"> Waiver by a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in respect of its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89"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No provisions of this Agreement shall be deemed waived, amended, supplemented or modified by a party, unless such waiver, amendment, supplement or modification is in writing and signed by the authorized representative of the party against whom it sought to enforce such waiver, amendment, supplement or modification is sought to be enforced.</w:t>
      </w:r>
    </w:p>
    <w:p>
      <w:pPr>
        <w:spacing w:after="0" w:line="176"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article, section and paragraph headings contained in this Agreement are for reference purposes only and shall not affect in any way the meaning or interpretation of this Agreement.</w:t>
      </w:r>
    </w:p>
    <w:p>
      <w:pPr>
        <w:spacing w:after="0" w:line="162" w:lineRule="exact"/>
        <w:rPr>
          <w:sz w:val="20"/>
          <w:szCs w:val="20"/>
          <w:color w:val="auto"/>
        </w:rPr>
      </w:pPr>
    </w:p>
    <w:p>
      <w:pPr>
        <w:ind w:right="1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BASED UPON, RELATING TO OR ARISING FROM THIS AGREEMENT. EACH PARTY CERTIFIES AND ACKNOWLEDGES THAT (I) NO REPRESENTATIVE, AGENT OR ATTORNEY OF ANY OTHER PARTY HAS REPRESENTED, EXPRESSLY OR OTHERWISE, THAT SUCH OTHER PARTY WOULD NOT, IN THE EVENT OF LITIGATION, SEEK TO ENFORCE SUCH WAIVER, (II) IT UNDERSTANDS AND HAS CONSIDERED THE IMPLICATIONS OF SUCH WAIVER, (III) IT MAKES SUCH WAIVER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66" w:name="page167"/>
    <w:bookmarkEnd w:id="16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as of the date and year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ILLUMINA,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Ankur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Ankur Dhingra</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760"/>
          </w:cols>
          <w:pgMar w:left="440" w:top="270" w:right="699" w:bottom="1440" w:gutter="0" w:footer="0" w:header="0"/>
        </w:sectPr>
      </w:pPr>
    </w:p>
    <w:bookmarkStart w:id="167" w:name="page168"/>
    <w:bookmarkEnd w:id="16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GRAIL,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Ragusa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17145</wp:posOffset>
            </wp:positionV>
            <wp:extent cx="26231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Robert Ragusa</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Registration Rights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168" w:name="page169"/>
    <w:bookmarkEnd w:id="168"/>
    <w:p>
      <w:pPr>
        <w:ind w:left="10084"/>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9" w:lineRule="exact"/>
        <w:rPr>
          <w:sz w:val="20"/>
          <w:szCs w:val="20"/>
          <w:color w:val="auto"/>
        </w:rPr>
      </w:pPr>
    </w:p>
    <w:p>
      <w:pPr>
        <w:jc w:val="center"/>
        <w:ind w:right="16"/>
        <w:spacing w:after="0" w:line="282" w:lineRule="auto"/>
        <w:rPr>
          <w:sz w:val="20"/>
          <w:szCs w:val="20"/>
          <w:color w:val="auto"/>
        </w:rPr>
      </w:pPr>
      <w:r>
        <w:rPr>
          <w:rFonts w:ascii="Times New Roman" w:cs="Times New Roman" w:eastAsia="Times New Roman" w:hAnsi="Times New Roman"/>
          <w:sz w:val="18"/>
          <w:szCs w:val="18"/>
          <w:color w:val="auto"/>
        </w:rPr>
        <w:t>Certain information has been excluded from this agreement (indicated by “[***]”) because such information is both (a) not material and (b) is the type that the registrant customarily and actually treats as private or confidential.</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FOURTH AMENDMENT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AND RESTATED SUPPLY AND COMMERCIALIZATION AGREEMENT</w:t>
      </w:r>
    </w:p>
    <w:p>
      <w:pPr>
        <w:spacing w:after="0" w:line="203"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This Fourth Amendment to the Amended and Restated Supply and Commercialization Agreement (this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is entered into between Illumina, Inc., a Delaware corporation having a place of business at 5200 Illumina Way, San Diego, CA 92122 (“</w:t>
      </w:r>
      <w:r>
        <w:rPr>
          <w:rFonts w:ascii="Times New Roman" w:cs="Times New Roman" w:eastAsia="Times New Roman" w:hAnsi="Times New Roman"/>
          <w:sz w:val="18"/>
          <w:szCs w:val="18"/>
          <w:b w:val="1"/>
          <w:bCs w:val="1"/>
          <w:color w:val="auto"/>
        </w:rPr>
        <w:t>Illumina</w:t>
      </w:r>
      <w:r>
        <w:rPr>
          <w:rFonts w:ascii="Times New Roman" w:cs="Times New Roman" w:eastAsia="Times New Roman" w:hAnsi="Times New Roman"/>
          <w:sz w:val="18"/>
          <w:szCs w:val="18"/>
          <w:color w:val="auto"/>
        </w:rPr>
        <w:t>”), and GRAIL, LLC, a Delaware limited liability company (successor in interest to GRAIL, Inc.), having a place of business at 1525 O’Brien Drive, Menlo Park, CA 94025 (“</w:t>
      </w:r>
      <w:r>
        <w:rPr>
          <w:rFonts w:ascii="Times New Roman" w:cs="Times New Roman" w:eastAsia="Times New Roman" w:hAnsi="Times New Roman"/>
          <w:sz w:val="18"/>
          <w:szCs w:val="18"/>
          <w:b w:val="1"/>
          <w:bCs w:val="1"/>
          <w:color w:val="auto"/>
        </w:rPr>
        <w:t>GRAIL</w:t>
      </w:r>
      <w:r>
        <w:rPr>
          <w:rFonts w:ascii="Times New Roman" w:cs="Times New Roman" w:eastAsia="Times New Roman" w:hAnsi="Times New Roman"/>
          <w:sz w:val="18"/>
          <w:szCs w:val="18"/>
          <w:color w:val="auto"/>
        </w:rPr>
        <w:t>”), effective as of June 21, 2024, (“</w:t>
      </w:r>
      <w:r>
        <w:rPr>
          <w:rFonts w:ascii="Times New Roman" w:cs="Times New Roman" w:eastAsia="Times New Roman" w:hAnsi="Times New Roman"/>
          <w:sz w:val="18"/>
          <w:szCs w:val="18"/>
          <w:b w:val="1"/>
          <w:bCs w:val="1"/>
          <w:color w:val="auto"/>
        </w:rPr>
        <w:t>Fourth Amendment Effective Date</w:t>
      </w:r>
      <w:r>
        <w:rPr>
          <w:rFonts w:ascii="Times New Roman" w:cs="Times New Roman" w:eastAsia="Times New Roman" w:hAnsi="Times New Roman"/>
          <w:sz w:val="18"/>
          <w:szCs w:val="18"/>
          <w:color w:val="auto"/>
        </w:rPr>
        <w:t>”). The Parties previously entered into that certain Amended and Restated Supply and Commercialization Agreement effective as of February 28, 2017 (the “</w:t>
      </w:r>
      <w:r>
        <w:rPr>
          <w:rFonts w:ascii="Times New Roman" w:cs="Times New Roman" w:eastAsia="Times New Roman" w:hAnsi="Times New Roman"/>
          <w:sz w:val="18"/>
          <w:szCs w:val="18"/>
          <w:b w:val="1"/>
          <w:bCs w:val="1"/>
          <w:color w:val="auto"/>
        </w:rPr>
        <w:t>Original A&amp;R Agreement</w:t>
      </w:r>
      <w:r>
        <w:rPr>
          <w:rFonts w:ascii="Times New Roman" w:cs="Times New Roman" w:eastAsia="Times New Roman" w:hAnsi="Times New Roman"/>
          <w:sz w:val="18"/>
          <w:szCs w:val="18"/>
          <w:color w:val="auto"/>
        </w:rPr>
        <w:t>”), as amended by the First Amendment to Amended and Restated Supply and Commercialization Agreement effective as of September 27, 2017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the Second Amendment to Amended and Restated Supply and Commercialization Agreement effective as of August 18, 2021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and the Third Amendment to Amended and Restated Supply and Commercialization Agreement effective as of May 18, 2023 (the “</w:t>
      </w: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(collectively, the Original A&amp;R Agreement, the First Amendment, the Second Amendment and the Third Amendment,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GRAIL and Illumina may be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424" w:hanging="424"/>
        <w:spacing w:after="0"/>
        <w:tabs>
          <w:tab w:leader="none" w:pos="42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4.2(b) of the Agreement shall be amended and restated in its entirety with the following:</w:t>
      </w:r>
    </w:p>
    <w:p>
      <w:pPr>
        <w:spacing w:after="0" w:line="117"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“Once GRAIL and its Operational Affiliates have cumulatively paid (or been deemed to have paid pursuant to the following sentence) Royalty to Illumina totaling $[***], the Royalty percentage payable pursuant to Sections 4.1(a) and 4.1(b) above will thereafter be reduced to a minimum floor of [***]%, without any further reduction pursuant to Section 4.2(a) or 4.3 or otherwise. Notwithstanding anything to the contrary in this Agreement, the amount of any Royalties that would have been paid to Illumina pursuant to Sections 4.1(a) and 4.1(b) during the Interim Period but for the suspension of such payment obligation shall be deemed to have been paid for purposes of this Section 4.2(b) and shall count towards the $[***] cumulative total set forth in this Section 4.2(b).”</w:t>
      </w:r>
    </w:p>
    <w:p>
      <w:pPr>
        <w:spacing w:after="0" w:line="214" w:lineRule="exact"/>
        <w:rPr>
          <w:sz w:val="20"/>
          <w:szCs w:val="20"/>
          <w:color w:val="auto"/>
        </w:rPr>
      </w:pPr>
    </w:p>
    <w:p>
      <w:pPr>
        <w:ind w:left="544" w:hanging="544"/>
        <w:spacing w:after="0"/>
        <w:tabs>
          <w:tab w:leader="none" w:pos="5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amend the Agreement by adding the following paragraph to the Agreement as a new Section 4.8:</w:t>
      </w:r>
    </w:p>
    <w:p>
      <w:pPr>
        <w:spacing w:after="0" w:line="117" w:lineRule="exact"/>
        <w:rPr>
          <w:sz w:val="20"/>
          <w:szCs w:val="20"/>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“With respect to Sections 4.1 through 4.4, 4.5(b) and 4.7, notwithstanding any provision to the contrary in the Agreement, during the Disposal Funding Period until and unless GRAIL consummates a GRAIL Change of Control (such period ending on the earlier of (x) the conclusion of the Disposal Funding Period and (y) the consummation of a GRAIL Change of Control, the “</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all (i) rights of either Party set forth in Sections 4.1 through 4.4, 4.5(b) and 4.7 are hereby waived in their entirety, and (ii) obligations of either Party set forth therein are hereby suspended in their entirety. For the avoidance of doubt, following the Interim Period Sections 4.1 through 4.4, 4.5(b) and 4.7 will again become operative without retroactive effect. The Parties hereto acknowledge that the decision adopted by the European Commission in connection with Case M.10939, on October 12, 2023, requiring Illumina to divest the ownership interest it acquired in GRAIL, requires that Illumina pre-fund to GRAIL the amounts payable pursuant to Sections 4.1 through 4.4, 4.5(b) and 4.7 of the Agreement during the Interim Period and agree that it is the intent of the Parties hereto</w:t>
      </w:r>
    </w:p>
    <w:p>
      <w:pPr>
        <w:sectPr>
          <w:pgSz w:w="11900" w:h="16838" w:orient="portrait"/>
          <w:cols w:equalWidth="0" w:num="1">
            <w:col w:w="11024"/>
          </w:cols>
          <w:pgMar w:left="436" w:top="117" w:right="439" w:bottom="1440" w:gutter="0" w:footer="0" w:header="0"/>
        </w:sectPr>
      </w:pPr>
    </w:p>
    <w:bookmarkStart w:id="169" w:name="page170"/>
    <w:bookmarkEnd w:id="169"/>
    <w:p>
      <w:pPr>
        <w:ind w:left="4"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waiver of the rights and obligations of the Parties with respect to Sections 4.1 through 4.4, 4.5(b) and 4.7 of the Agreement set forth in the preceding sentence operate to eliminate the administration associated with such funding (rather than replace, reduce, modify or eliminate the obligations therein). As such, notwithstanding anything to the contrary in this Agreement, during the Interim Period the Parties hereto acknowledge and agree that</w:t>
      </w:r>
    </w:p>
    <w:p>
      <w:pPr>
        <w:spacing w:after="0" w:line="2" w:lineRule="exact"/>
        <w:rPr>
          <w:sz w:val="20"/>
          <w:szCs w:val="20"/>
          <w:color w:val="auto"/>
        </w:rPr>
      </w:pPr>
    </w:p>
    <w:p>
      <w:pPr>
        <w:ind w:left="4" w:hanging="4"/>
        <w:spacing w:after="0" w:line="250" w:lineRule="auto"/>
        <w:tabs>
          <w:tab w:leader="none" w:pos="21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pursuant to Sections 4.1 through 4.7 will be deemed paid by GRAIL for purposes of Paragraph 2 of the Second Amendment and accordingly (ii) Section 4 of the Agreement will be deemed operative for purposes of Paragraph 2 of the Second Amendment effective as of the Fourth Amendment Effective Date. During the Interim Period, any references in Section 4.5(a) or 4.6 to any amounts paid, underpaid or overpaid shall be treated as having been deemed paid, underpaid or overpaid, respectively, in accordance with Section 4.2(b) (as amended by the Fourth Amendment). For the purposes of this Section 4.8, “</w:t>
      </w:r>
      <w:r>
        <w:rPr>
          <w:rFonts w:ascii="Times New Roman" w:cs="Times New Roman" w:eastAsia="Times New Roman" w:hAnsi="Times New Roman"/>
          <w:sz w:val="18"/>
          <w:szCs w:val="18"/>
          <w:b w:val="1"/>
          <w:bCs w:val="1"/>
          <w:color w:val="auto"/>
        </w:rPr>
        <w:t>Disposal Funding Period</w:t>
      </w:r>
      <w:r>
        <w:rPr>
          <w:rFonts w:ascii="Times New Roman" w:cs="Times New Roman" w:eastAsia="Times New Roman" w:hAnsi="Times New Roman"/>
          <w:sz w:val="18"/>
          <w:szCs w:val="18"/>
          <w:color w:val="auto"/>
        </w:rPr>
        <w:t>” shall mean: the period beginning at 12:01 a.m., New York time, or such other time as Illumina determines, on the date on which Illumina distributes 85.5% of the issued and outstanding shares of common stock of GRAIL to the holders of common stock of Illumina and ending at 12:01 a.m., New York time, on the 30 month anniversary thereof. For the purposes of this Section 4.8, “</w:t>
      </w:r>
      <w:r>
        <w:rPr>
          <w:rFonts w:ascii="Times New Roman" w:cs="Times New Roman" w:eastAsia="Times New Roman" w:hAnsi="Times New Roman"/>
          <w:sz w:val="18"/>
          <w:szCs w:val="18"/>
          <w:b w:val="1"/>
          <w:bCs w:val="1"/>
          <w:color w:val="auto"/>
        </w:rPr>
        <w:t>GRAIL Change of Control</w:t>
      </w:r>
      <w:r>
        <w:rPr>
          <w:rFonts w:ascii="Times New Roman" w:cs="Times New Roman" w:eastAsia="Times New Roman" w:hAnsi="Times New Roman"/>
          <w:sz w:val="18"/>
          <w:szCs w:val="18"/>
          <w:color w:val="auto"/>
        </w:rPr>
        <w:t>” shall mean: (a) the taking of any action by any Person or “group” (within the meaning of the Exchange Act) that results in such Person or “group” becoming the owner, directly or indirectly, beneficially or of record, of outstanding shares of capital stock or other equity or voting interests representing 50% or more of the aggregate voting power of GRAIL (measured by voting power rather than number of shares), (b) the direct or indirect sale, lease, transfer, conveyance or other disposition, in one or a series of related transactions, of all or substantially all of the assets of GRAIL and its subsidiaries, taken as a whole, other than sales, leases, transfers, conveyances or other dispositions to a wholly-owned subsidiary of GRAIL, (c) a merger, consolidation, amalgamation, share exchange, business combination, recapitalization or similar transaction involving GRAIL pursuant to which any of the outstanding aggregate voting power of GRAIL is converted into or exchanged for cash, securities or other property, other than any such transaction where the aggregate voting power of GRAIL outstanding immediately prior to such transaction constitute, or is converted into or exchanged for, a majority of the outstanding aggregate voting power of the surviving person or any direct or indirect parent company of the surviving person immediately after giving effect to such transaction (measured by voting power rather than number of shares) or (d) the adoption of a plan relating to the liquidation or dissolution of GRAIL; provided that, for the avoidance of doubt, no GRAIL Change of Control shall result from any transfer of Retained Stock by Illumina to a Person or “group” (within the meaning of the Exchange Act) which would result in such Person or “group” beneficially owning 50% or more of the aggregate voting power of GRAIL (measured by voting power rather than number of shares) other than any transfer resulting from a merger of GRAIL. For the purposes of this Section 4.8,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together with the rules and regulations promulgated thereunder, as the same shall be in effect at the time reference is made thereto;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individual, general or limited partnership, corporation, business trust, joint venture, association, company, limited liability company, unincorporated organization, a limited liability entity, any other entity and any nation or government, any state, province, municipality or other political subdivision thereof, and any entity, body, agency, commission, department, board, bureau, court, tribunal or other instrumentality, whether federal, state, provincial, regional, local, domestic, foreign or multinational, exercising executive, legislative, judicial, regulatory, administrative or other similar functions of, or pertaining to, government and any official thereof; and “</w:t>
      </w:r>
      <w:r>
        <w:rPr>
          <w:rFonts w:ascii="Times New Roman" w:cs="Times New Roman" w:eastAsia="Times New Roman" w:hAnsi="Times New Roman"/>
          <w:sz w:val="18"/>
          <w:szCs w:val="18"/>
          <w:b w:val="1"/>
          <w:bCs w:val="1"/>
          <w:color w:val="auto"/>
        </w:rPr>
        <w:t>Retained Stock</w:t>
      </w:r>
      <w:r>
        <w:rPr>
          <w:rFonts w:ascii="Times New Roman" w:cs="Times New Roman" w:eastAsia="Times New Roman" w:hAnsi="Times New Roman"/>
          <w:sz w:val="18"/>
          <w:szCs w:val="18"/>
          <w:color w:val="auto"/>
        </w:rPr>
        <w:t>” shall have the meaning set forth in the Separation and Distribution Agreement, dated as of June 21, 2024, by and between Illumina and GRAIL.”</w:t>
      </w:r>
    </w:p>
    <w:p>
      <w:pPr>
        <w:sectPr>
          <w:pgSz w:w="11900" w:h="16838" w:orient="portrait"/>
          <w:cols w:equalWidth="0" w:num="1">
            <w:col w:w="11004"/>
          </w:cols>
          <w:pgMar w:left="436" w:top="270" w:right="459" w:bottom="1440" w:gutter="0" w:footer="0" w:header="0"/>
        </w:sectPr>
      </w:pPr>
    </w:p>
    <w:bookmarkStart w:id="170" w:name="page171"/>
    <w:bookmarkEnd w:id="17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expressly modified herein, the Agreement shall remain in full force and effect in accordance with its terms. All capitalized terms not defined in this Fourth Amendment shall have the meaning ascribed to them in the Agreement. This Fourth Amendment may be executed in one or more counterparts, and each of which shall be deemed to be an original, and all of which shall constitute one and the same instrument.</w:t>
      </w:r>
    </w:p>
    <w:p>
      <w:pPr>
        <w:sectPr>
          <w:pgSz w:w="11900" w:h="16838" w:orient="portrait"/>
          <w:cols w:equalWidth="0" w:num="1">
            <w:col w:w="10840"/>
          </w:cols>
          <w:pgMar w:left="440" w:top="270" w:right="6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hereto have caused this Fourth Amendment to be executed by their respective duly authorized representatives.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GRAIL,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Ragusa</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Ragusa</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21, 2024</w:t>
            </w:r>
          </w:p>
        </w:tc>
      </w:tr>
    </w:tbl>
    <w:p>
      <w:pPr>
        <w:sectPr>
          <w:pgSz w:w="11900" w:h="16838" w:orient="portrait"/>
          <w:cols w:equalWidth="0" w:num="1">
            <w:col w:w="10840"/>
          </w:cols>
          <w:pgMar w:left="440" w:top="266" w:right="6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hereto have caused this Fourth Amendment to be executed by their respective duly authorized representatives.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Illumina,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Dadswell</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Charles Dadswell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21, 2024</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
      <w:numFmt w:val="bullet"/>
      <w:start w:val="1"/>
    </w:lvl>
  </w:abstractNum>
  <w:abstractNum w:abstractNumId="3">
    <w:nsid w:val="799D0247"/>
    <w:multiLevelType w:val="hybridMultilevel"/>
    <w:lvl w:ilvl="0">
      <w:lvlJc w:val="left"/>
      <w:lvlText w:val="(%1)"/>
      <w:numFmt w:val="lowerLetter"/>
      <w:start w:val="2"/>
    </w:lvl>
  </w:abstractNum>
  <w:abstractNum w:abstractNumId="4">
    <w:nsid w:val="6B94764"/>
    <w:multiLevelType w:val="hybridMultilevel"/>
    <w:lvl w:ilvl="0">
      <w:lvlJc w:val="left"/>
      <w:lvlText w:val="(%1)"/>
      <w:numFmt w:val="lowerLetter"/>
      <w:start w:val="1"/>
    </w:lvl>
  </w:abstractNum>
  <w:abstractNum w:abstractNumId="5">
    <w:nsid w:val="42C296BD"/>
    <w:multiLevelType w:val="hybridMultilevel"/>
    <w:lvl w:ilvl="0">
      <w:lvlJc w:val="left"/>
      <w:lvlText w:val="(%1)"/>
      <w:numFmt w:val="lowerLetter"/>
      <w:start w:val="2"/>
    </w:lvl>
  </w:abstractNum>
  <w:abstractNum w:abstractNumId="6">
    <w:nsid w:val="168E121F"/>
    <w:multiLevelType w:val="hybridMultilevel"/>
    <w:lvl w:ilvl="0">
      <w:lvlJc w:val="left"/>
      <w:lvlText w:val="(%1)"/>
      <w:numFmt w:val="lowerLetter"/>
      <w:start w:val="2"/>
    </w:lvl>
  </w:abstractNum>
  <w:abstractNum w:abstractNumId="7">
    <w:nsid w:val="1EBA5D23"/>
    <w:multiLevelType w:val="hybridMultilevel"/>
    <w:lvl w:ilvl="0">
      <w:lvlJc w:val="left"/>
      <w:lvlText w:val="(%1)"/>
      <w:numFmt w:val="lowerLetter"/>
      <w:start w:val="1"/>
    </w:lvl>
  </w:abstractNum>
  <w:abstractNum w:abstractNumId="8">
    <w:nsid w:val="661E3F1E"/>
    <w:multiLevelType w:val="hybridMultilevel"/>
    <w:lvl w:ilvl="0">
      <w:lvlJc w:val="left"/>
      <w:lvlText w:val="(%1)"/>
      <w:numFmt w:val="lowerLetter"/>
      <w:start w:val="3"/>
    </w:lvl>
  </w:abstractNum>
  <w:abstractNum w:abstractNumId="9">
    <w:nsid w:val="5DC79EA8"/>
    <w:multiLevelType w:val="hybridMultilevel"/>
    <w:lvl w:ilvl="0">
      <w:lvlJc w:val="left"/>
      <w:lvlText w:val="(%1)"/>
      <w:numFmt w:val="lowerLetter"/>
      <w:start w:val="1"/>
    </w:lvl>
  </w:abstractNum>
  <w:abstractNum w:abstractNumId="10">
    <w:nsid w:val="540A471C"/>
    <w:multiLevelType w:val="hybridMultilevel"/>
    <w:lvl w:ilvl="0">
      <w:lvlJc w:val="left"/>
      <w:lvlText w:val="(%1)"/>
      <w:numFmt w:val="lowerLetter"/>
      <w:start w:val="5"/>
    </w:lvl>
  </w:abstractNum>
  <w:abstractNum w:abstractNumId="11">
    <w:nsid w:val="7BD3EE7B"/>
    <w:multiLevelType w:val="hybridMultilevel"/>
    <w:lvl w:ilvl="0">
      <w:lvlJc w:val="left"/>
      <w:lvlText w:val="(%1)"/>
      <w:numFmt w:val="lowerLetter"/>
      <w:start w:val="1"/>
    </w:lvl>
  </w:abstractNum>
  <w:abstractNum w:abstractNumId="12">
    <w:nsid w:val="51D9C564"/>
    <w:multiLevelType w:val="hybridMultilevel"/>
    <w:lvl w:ilvl="0">
      <w:lvlJc w:val="left"/>
      <w:lvlText w:val="(%1)"/>
      <w:numFmt w:val="lowerLetter"/>
      <w:start w:val="1"/>
    </w:lvl>
    <w:lvl w:ilvl="1">
      <w:lvlJc w:val="left"/>
      <w:lvlText w:val="(%2)"/>
      <w:numFmt w:val="lowerRoman"/>
      <w:start w:val="1"/>
    </w:lvl>
  </w:abstractNum>
  <w:abstractNum w:abstractNumId="13">
    <w:nsid w:val="613EFDC5"/>
    <w:multiLevelType w:val="hybridMultilevel"/>
    <w:lvl w:ilvl="0">
      <w:lvlJc w:val="left"/>
      <w:lvlText w:val="%1"/>
      <w:numFmt w:val="lowerLetter"/>
      <w:start w:val="1"/>
    </w:lvl>
    <w:lvl w:ilvl="1">
      <w:lvlJc w:val="left"/>
      <w:lvlText w:val="(%2)"/>
      <w:numFmt w:val="lowerRoman"/>
      <w:start w:val="4"/>
    </w:lvl>
  </w:abstractNum>
  <w:abstractNum w:abstractNumId="14">
    <w:nsid w:val="BF72B14"/>
    <w:multiLevelType w:val="hybridMultilevel"/>
    <w:lvl w:ilvl="0">
      <w:lvlJc w:val="left"/>
      <w:lvlText w:val="(%1)"/>
      <w:numFmt w:val="lowerLetter"/>
      <w:start w:val="4"/>
    </w:lvl>
    <w:lvl w:ilvl="1">
      <w:lvlJc w:val="left"/>
      <w:lvlText w:val="%2"/>
      <w:numFmt w:val="lowerRoman"/>
      <w:start w:val="1"/>
    </w:lvl>
  </w:abstractNum>
  <w:abstractNum w:abstractNumId="15">
    <w:nsid w:val="11447B73"/>
    <w:multiLevelType w:val="hybridMultilevel"/>
    <w:lvl w:ilvl="0">
      <w:lvlJc w:val="left"/>
      <w:lvlText w:val="(%1)"/>
      <w:numFmt w:val="lowerRoman"/>
      <w:start w:val="1"/>
    </w:lvl>
  </w:abstractNum>
  <w:abstractNum w:abstractNumId="16">
    <w:nsid w:val="42963E5A"/>
    <w:multiLevelType w:val="hybridMultilevel"/>
    <w:lvl w:ilvl="0">
      <w:lvlJc w:val="left"/>
      <w:lvlText w:val="(%1)"/>
      <w:numFmt w:val="lowerLetter"/>
      <w:start w:val="2"/>
    </w:lvl>
  </w:abstractNum>
  <w:abstractNum w:abstractNumId="17">
    <w:nsid w:val="A0382C5"/>
    <w:multiLevelType w:val="hybridMultilevel"/>
    <w:lvl w:ilvl="0">
      <w:lvlJc w:val="left"/>
      <w:lvlText w:val="(%1)"/>
      <w:numFmt w:val="lowerLetter"/>
      <w:start w:val="1"/>
    </w:lvl>
  </w:abstractNum>
  <w:abstractNum w:abstractNumId="18">
    <w:nsid w:val="8F2B15E"/>
    <w:multiLevelType w:val="hybridMultilevel"/>
    <w:lvl w:ilvl="0">
      <w:lvlJc w:val="left"/>
      <w:lvlText w:val="(%1)"/>
      <w:numFmt w:val="lowerLetter"/>
      <w:start w:val="2"/>
    </w:lvl>
  </w:abstractNum>
  <w:abstractNum w:abstractNumId="19">
    <w:nsid w:val="1A32234B"/>
    <w:multiLevelType w:val="hybridMultilevel"/>
    <w:lvl w:ilvl="0">
      <w:lvlJc w:val="left"/>
      <w:lvlText w:val="(%1)"/>
      <w:numFmt w:val="decimal"/>
      <w:start w:val="14"/>
    </w:lvl>
    <w:lvl w:ilvl="1">
      <w:lvlJc w:val="left"/>
      <w:lvlText w:val="(%2)"/>
      <w:numFmt w:val="lowerLetter"/>
      <w:start w:val="2"/>
    </w:lvl>
  </w:abstractNum>
  <w:abstractNum w:abstractNumId="20">
    <w:nsid w:val="3B0FD379"/>
    <w:multiLevelType w:val="hybridMultilevel"/>
    <w:lvl w:ilvl="0">
      <w:lvlJc w:val="left"/>
      <w:lvlText w:val="(%1)"/>
      <w:numFmt w:val="lowerLetter"/>
      <w:start w:val="3"/>
    </w:lvl>
  </w:abstractNum>
  <w:abstractNum w:abstractNumId="21">
    <w:nsid w:val="68EB2F63"/>
    <w:multiLevelType w:val="hybridMultilevel"/>
    <w:lvl w:ilvl="0">
      <w:lvlJc w:val="left"/>
      <w:lvlText w:val="(%1)"/>
      <w:numFmt w:val="lowerLetter"/>
      <w:start w:val="6"/>
    </w:lvl>
  </w:abstractNum>
  <w:abstractNum w:abstractNumId="22">
    <w:nsid w:val="4962813B"/>
    <w:multiLevelType w:val="hybridMultilevel"/>
    <w:lvl w:ilvl="0">
      <w:lvlJc w:val="left"/>
      <w:lvlText w:val="(%1)"/>
      <w:numFmt w:val="upperLetter"/>
      <w:start w:val="9"/>
    </w:lvl>
    <w:lvl w:ilvl="1">
      <w:lvlJc w:val="left"/>
      <w:lvlText w:val="(%2)"/>
      <w:numFmt w:val="lowerLetter"/>
      <w:start w:val="2"/>
    </w:lvl>
  </w:abstractNum>
  <w:abstractNum w:abstractNumId="23">
    <w:nsid w:val="60B6DF70"/>
    <w:multiLevelType w:val="hybridMultilevel"/>
    <w:lvl w:ilvl="0">
      <w:lvlJc w:val="left"/>
      <w:lvlText w:val="(%1)"/>
      <w:numFmt w:val="lowerLetter"/>
      <w:start w:val="4"/>
    </w:lvl>
  </w:abstractNum>
  <w:abstractNum w:abstractNumId="24">
    <w:nsid w:val="6A5EE64"/>
    <w:multiLevelType w:val="hybridMultilevel"/>
    <w:lvl w:ilvl="0">
      <w:lvlJc w:val="left"/>
      <w:lvlText w:val="%1"/>
      <w:numFmt w:val="lowerLetter"/>
      <w:start w:val="1"/>
    </w:lvl>
    <w:lvl w:ilvl="1">
      <w:lvlJc w:val="left"/>
      <w:lvlText w:val="(%2)"/>
      <w:numFmt w:val="lowerLetter"/>
      <w:start w:val="2"/>
    </w:lvl>
  </w:abstractNum>
  <w:abstractNum w:abstractNumId="25">
    <w:nsid w:val="14330624"/>
    <w:multiLevelType w:val="hybridMultilevel"/>
    <w:lvl w:ilvl="0">
      <w:lvlJc w:val="left"/>
      <w:lvlText w:val="(%1)"/>
      <w:numFmt w:val="lowerLetter"/>
      <w:start w:val="9"/>
    </w:lvl>
    <w:lvl w:ilvl="1">
      <w:lvlJc w:val="left"/>
      <w:lvlText w:val="%2"/>
      <w:numFmt w:val="lowerLetter"/>
      <w:start w:val="1"/>
    </w:lvl>
  </w:abstractNum>
  <w:abstractNum w:abstractNumId="26">
    <w:nsid w:val="7FFFCA11"/>
    <w:multiLevelType w:val="hybridMultilevel"/>
    <w:lvl w:ilvl="0">
      <w:lvlJc w:val="left"/>
      <w:lvlText w:val="(%1)"/>
      <w:numFmt w:val="lowerLetter"/>
      <w:start w:val="2"/>
    </w:lvl>
  </w:abstractNum>
  <w:abstractNum w:abstractNumId="27">
    <w:nsid w:val="1A27709E"/>
    <w:multiLevelType w:val="hybridMultilevel"/>
    <w:lvl w:ilvl="0">
      <w:lvlJc w:val="left"/>
      <w:lvlText w:val="(%1)"/>
      <w:numFmt w:val="lowerRoman"/>
      <w:start w:val="1"/>
    </w:lvl>
  </w:abstractNum>
  <w:abstractNum w:abstractNumId="28">
    <w:nsid w:val="71EA1109"/>
    <w:multiLevelType w:val="hybridMultilevel"/>
    <w:lvl w:ilvl="0">
      <w:lvlJc w:val="left"/>
      <w:lvlText w:val="(%1)"/>
      <w:numFmt w:val="lowerRoman"/>
      <w:start w:val="3"/>
    </w:lvl>
  </w:abstractNum>
  <w:abstractNum w:abstractNumId="29">
    <w:nsid w:val="100F59DC"/>
    <w:multiLevelType w:val="hybridMultilevel"/>
    <w:lvl w:ilvl="0">
      <w:lvlJc w:val="left"/>
      <w:lvlText w:val="%1"/>
      <w:numFmt w:val="lowerLetter"/>
      <w:start w:val="1"/>
    </w:lvl>
    <w:lvl w:ilvl="1">
      <w:lvlJc w:val="left"/>
      <w:lvlText w:val="(%2)"/>
      <w:numFmt w:val="lowerLetter"/>
      <w:start w:val="2"/>
    </w:lvl>
  </w:abstractNum>
  <w:abstractNum w:abstractNumId="30">
    <w:nsid w:val="7FB7E0AA"/>
    <w:multiLevelType w:val="hybridMultilevel"/>
    <w:lvl w:ilvl="0">
      <w:lvlJc w:val="left"/>
      <w:lvlText w:val="(%1)"/>
      <w:numFmt w:val="lowerLetter"/>
      <w:start w:val="35"/>
    </w:lvl>
    <w:lvl w:ilvl="1">
      <w:lvlJc w:val="left"/>
      <w:lvlText w:val="(%2)"/>
      <w:numFmt w:val="lowerLetter"/>
      <w:start w:val="8"/>
    </w:lvl>
  </w:abstractNum>
  <w:abstractNum w:abstractNumId="31">
    <w:nsid w:val="6EB5BD4"/>
    <w:multiLevelType w:val="hybridMultilevel"/>
    <w:lvl w:ilvl="0">
      <w:lvlJc w:val="left"/>
      <w:lvlText w:val="(%1)"/>
      <w:numFmt w:val="lowerLetter"/>
      <w:start w:val="2"/>
    </w:lvl>
  </w:abstractNum>
  <w:abstractNum w:abstractNumId="32">
    <w:nsid w:val="6F6DD9AC"/>
    <w:multiLevelType w:val="hybridMultilevel"/>
    <w:lvl w:ilvl="0">
      <w:lvlJc w:val="left"/>
      <w:lvlText w:val="(%1)"/>
      <w:numFmt w:val="lowerLetter"/>
      <w:start w:val="2"/>
    </w:lvl>
    <w:lvl w:ilvl="1">
      <w:lvlJc w:val="left"/>
      <w:lvlText w:val="(%2)"/>
      <w:numFmt w:val="lowerRoman"/>
      <w:start w:val="1"/>
    </w:lvl>
  </w:abstractNum>
  <w:abstractNum w:abstractNumId="33">
    <w:nsid w:val="94211F2"/>
    <w:multiLevelType w:val="hybridMultilevel"/>
    <w:lvl w:ilvl="0">
      <w:lvlJc w:val="left"/>
      <w:lvlText w:val="(%1)"/>
      <w:numFmt w:val="lowerLetter"/>
      <w:start w:val="7"/>
    </w:lvl>
  </w:abstractNum>
  <w:abstractNum w:abstractNumId="34">
    <w:nsid w:val="885E1B"/>
    <w:multiLevelType w:val="hybridMultilevel"/>
    <w:lvl w:ilvl="0">
      <w:lvlJc w:val="left"/>
      <w:lvlText w:val="(%1)"/>
      <w:numFmt w:val="lowerLetter"/>
      <w:start w:val="2"/>
    </w:lvl>
  </w:abstractNum>
  <w:abstractNum w:abstractNumId="35">
    <w:nsid w:val="76272110"/>
    <w:multiLevelType w:val="hybridMultilevel"/>
    <w:lvl w:ilvl="0">
      <w:lvlJc w:val="left"/>
      <w:lvlText w:val="(%1)"/>
      <w:numFmt w:val="lowerLetter"/>
      <w:start w:val="4"/>
    </w:lvl>
  </w:abstractNum>
  <w:abstractNum w:abstractNumId="36">
    <w:nsid w:val="4C04A8AF"/>
    <w:multiLevelType w:val="hybridMultilevel"/>
    <w:lvl w:ilvl="0">
      <w:lvlJc w:val="left"/>
      <w:lvlText w:val="(%1)"/>
      <w:numFmt w:val="lowerLetter"/>
      <w:start w:val="2"/>
    </w:lvl>
  </w:abstractNum>
  <w:abstractNum w:abstractNumId="37">
    <w:nsid w:val="1716703B"/>
    <w:multiLevelType w:val="hybridMultilevel"/>
    <w:lvl w:ilvl="0">
      <w:lvlJc w:val="left"/>
      <w:lvlText w:val="(%1)"/>
      <w:numFmt w:val="lowerLetter"/>
      <w:start w:val="3"/>
    </w:lvl>
  </w:abstractNum>
  <w:abstractNum w:abstractNumId="38">
    <w:nsid w:val="14E17E33"/>
    <w:multiLevelType w:val="hybridMultilevel"/>
    <w:lvl w:ilvl="0">
      <w:lvlJc w:val="left"/>
      <w:lvlText w:val="(%1)"/>
      <w:numFmt w:val="lowerLetter"/>
      <w:start w:val="2"/>
    </w:lvl>
    <w:lvl w:ilvl="1">
      <w:lvlJc w:val="left"/>
      <w:lvlText w:val="(%2)"/>
      <w:numFmt w:val="lowerRoman"/>
      <w:start w:val="1"/>
    </w:lvl>
  </w:abstractNum>
  <w:abstractNum w:abstractNumId="39">
    <w:nsid w:val="3222E7CD"/>
    <w:multiLevelType w:val="hybridMultilevel"/>
    <w:lvl w:ilvl="0">
      <w:lvlJc w:val="left"/>
      <w:lvlText w:val="(%1)"/>
      <w:numFmt w:val="lowerLetter"/>
      <w:start w:val="2"/>
    </w:lvl>
  </w:abstractNum>
  <w:abstractNum w:abstractNumId="40">
    <w:nsid w:val="74DE0EE3"/>
    <w:multiLevelType w:val="hybridMultilevel"/>
    <w:lvl w:ilvl="0">
      <w:lvlJc w:val="left"/>
      <w:lvlText w:val="%1"/>
      <w:numFmt w:val="decimal"/>
      <w:start w:val="375"/>
    </w:lvl>
    <w:lvl w:ilvl="1">
      <w:lvlJc w:val="left"/>
      <w:lvlText w:val=" "/>
      <w:numFmt w:val="bullet"/>
      <w:start w:val="1"/>
    </w:lvl>
  </w:abstractNum>
  <w:abstractNum w:abstractNumId="41">
    <w:nsid w:val="68EBC550"/>
    <w:multiLevelType w:val="hybridMultilevel"/>
    <w:lvl w:ilvl="0">
      <w:lvlJc w:val="left"/>
      <w:lvlText w:val=" "/>
      <w:numFmt w:val="bullet"/>
      <w:start w:val="1"/>
    </w:lvl>
  </w:abstractNum>
  <w:abstractNum w:abstractNumId="42">
    <w:nsid w:val="2DF6D648"/>
    <w:multiLevelType w:val="hybridMultilevel"/>
    <w:lvl w:ilvl="0">
      <w:lvlJc w:val="left"/>
      <w:lvlText w:val=" "/>
      <w:numFmt w:val="bullet"/>
      <w:start w:val="1"/>
    </w:lvl>
  </w:abstractNum>
  <w:abstractNum w:abstractNumId="43">
    <w:nsid w:val="46B7D447"/>
    <w:multiLevelType w:val="hybridMultilevel"/>
    <w:lvl w:ilvl="0">
      <w:lvlJc w:val="left"/>
      <w:lvlText w:val=" "/>
      <w:numFmt w:val="bullet"/>
      <w:start w:val="1"/>
    </w:lvl>
  </w:abstractNum>
  <w:abstractNum w:abstractNumId="44">
    <w:nsid w:val="4A2AC315"/>
    <w:multiLevelType w:val="hybridMultilevel"/>
    <w:lvl w:ilvl="0">
      <w:lvlJc w:val="left"/>
      <w:lvlText w:val=" "/>
      <w:numFmt w:val="bullet"/>
      <w:start w:val="1"/>
    </w:lvl>
  </w:abstractNum>
  <w:abstractNum w:abstractNumId="45">
    <w:nsid w:val="39EE015C"/>
    <w:multiLevelType w:val="hybridMultilevel"/>
    <w:lvl w:ilvl="0">
      <w:lvlJc w:val="left"/>
      <w:lvlText w:val="%1."/>
      <w:numFmt w:val="decimal"/>
      <w:start w:val="1"/>
    </w:lvl>
  </w:abstractNum>
  <w:abstractNum w:abstractNumId="46">
    <w:nsid w:val="57FC4FBB"/>
    <w:multiLevelType w:val="hybridMultilevel"/>
    <w:lvl w:ilvl="0">
      <w:lvlJc w:val="left"/>
      <w:lvlText w:val="%1"/>
      <w:numFmt w:val="upperLetter"/>
      <w:start w:val="1"/>
    </w:lvl>
    <w:lvl w:ilvl="1">
      <w:lvlJc w:val="left"/>
      <w:lvlText w:val="%2."/>
      <w:numFmt w:val="decimal"/>
      <w:start w:val="3"/>
    </w:lvl>
  </w:abstractNum>
  <w:abstractNum w:abstractNumId="47">
    <w:nsid w:val="CC1016F"/>
    <w:multiLevelType w:val="hybridMultilevel"/>
    <w:lvl w:ilvl="0">
      <w:lvlJc w:val="left"/>
      <w:lvlText w:val="%1."/>
      <w:numFmt w:val="upperLetter"/>
      <w:start w:val="2"/>
    </w:lvl>
    <w:lvl w:ilvl="1">
      <w:lvlJc w:val="left"/>
      <w:lvlText w:val="%2"/>
      <w:numFmt w:val="decimal"/>
      <w:start w:val="1"/>
    </w:lvl>
  </w:abstractNum>
  <w:abstractNum w:abstractNumId="48">
    <w:nsid w:val="43F18422"/>
    <w:multiLevelType w:val="hybridMultilevel"/>
    <w:lvl w:ilvl="0">
      <w:lvlJc w:val="left"/>
      <w:lvlText w:val="%1)"/>
      <w:numFmt w:val="lowerLetter"/>
      <w:start w:val="1"/>
    </w:lvl>
  </w:abstractNum>
  <w:abstractNum w:abstractNumId="49">
    <w:nsid w:val="60EF0119"/>
    <w:multiLevelType w:val="hybridMultilevel"/>
    <w:lvl w:ilvl="0">
      <w:lvlJc w:val="left"/>
      <w:lvlText w:val="%1"/>
      <w:numFmt w:val="lowerRoman"/>
      <w:start w:val="1"/>
    </w:lvl>
    <w:lvl w:ilvl="1">
      <w:lvlJc w:val="left"/>
      <w:lvlText w:val="%2)"/>
      <w:numFmt w:val="lowerLetter"/>
      <w:start w:val="3"/>
    </w:lvl>
  </w:abstractNum>
  <w:abstractNum w:abstractNumId="50">
    <w:nsid w:val="26F324BA"/>
    <w:multiLevelType w:val="hybridMultilevel"/>
    <w:lvl w:ilvl="0">
      <w:lvlJc w:val="left"/>
      <w:lvlText w:val="%1."/>
      <w:numFmt w:val="lowerRoman"/>
      <w:start w:val="1"/>
    </w:lvl>
    <w:lvl w:ilvl="1">
      <w:lvlJc w:val="left"/>
      <w:lvlText w:val="%2"/>
      <w:numFmt w:val="lowerLetter"/>
      <w:start w:val="1"/>
    </w:lvl>
  </w:abstractNum>
  <w:abstractNum w:abstractNumId="51">
    <w:nsid w:val="7F01579B"/>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5"/>
    </w:lvl>
  </w:abstractNum>
  <w:abstractNum w:abstractNumId="52">
    <w:nsid w:val="49DA307D"/>
    <w:multiLevelType w:val="hybridMultilevel"/>
    <w:lvl w:ilvl="0">
      <w:lvlJc w:val="left"/>
      <w:lvlText w:val="%1."/>
      <w:numFmt w:val="lowerRoman"/>
      <w:start w:val="3"/>
    </w:lvl>
    <w:lvl w:ilvl="1">
      <w:lvlJc w:val="left"/>
      <w:lvlText w:val="(%2)"/>
      <w:numFmt w:val="lowerLetter"/>
      <w:start w:val="25"/>
    </w:lvl>
    <w:lvl w:ilvl="2">
      <w:lvlJc w:val="left"/>
      <w:lvlText w:val="%3"/>
      <w:numFmt w:val="upperLetter"/>
      <w:start w:val="1"/>
    </w:lvl>
  </w:abstractNum>
  <w:abstractNum w:abstractNumId="53">
    <w:nsid w:val="7055A5F5"/>
    <w:multiLevelType w:val="hybridMultilevel"/>
    <w:lvl w:ilvl="0">
      <w:lvlJc w:val="left"/>
      <w:lvlText w:val="%1)"/>
      <w:numFmt w:val="lowerLetter"/>
      <w:start w:val="4"/>
    </w:lvl>
  </w:abstractNum>
  <w:abstractNum w:abstractNumId="54">
    <w:nsid w:val="5FB8370B"/>
    <w:multiLevelType w:val="hybridMultilevel"/>
    <w:lvl w:ilvl="0">
      <w:lvlJc w:val="left"/>
      <w:lvlText w:val="%1)"/>
      <w:numFmt w:val="lowerLetter"/>
      <w:start w:val="8"/>
    </w:lvl>
  </w:abstractNum>
  <w:abstractNum w:abstractNumId="55">
    <w:nsid w:val="50801E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488AC1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57">
    <w:nsid w:val="5FB8011C"/>
    <w:multiLevelType w:val="hybridMultilevel"/>
    <w:lvl w:ilvl="0">
      <w:lvlJc w:val="left"/>
      <w:lvlText w:val="%1"/>
      <w:numFmt w:val="lowerRoman"/>
      <w:start w:val="1"/>
    </w:lvl>
    <w:lvl w:ilvl="1">
      <w:lvlJc w:val="left"/>
      <w:lvlText w:val="(%2)"/>
      <w:numFmt w:val="lowerRoman"/>
      <w:start w:val="4"/>
    </w:lvl>
  </w:abstractNum>
  <w:abstractNum w:abstractNumId="58">
    <w:nsid w:val="6AA78F7F"/>
    <w:multiLevelType w:val="hybridMultilevel"/>
    <w:lvl w:ilvl="0">
      <w:lvlJc w:val="left"/>
      <w:lvlText w:val="(%1)"/>
      <w:numFmt w:val="lowerRoman"/>
      <w:start w:val="2"/>
    </w:lvl>
    <w:lvl w:ilvl="1">
      <w:lvlJc w:val="left"/>
      <w:lvlText w:val="%2"/>
      <w:numFmt w:val="lowerRoman"/>
      <w:start w:val="1"/>
    </w:lvl>
  </w:abstractNum>
  <w:abstractNum w:abstractNumId="59">
    <w:nsid w:val="7672BD23"/>
    <w:multiLevelType w:val="hybridMultilevel"/>
    <w:lvl w:ilvl="0">
      <w:lvlJc w:val="left"/>
      <w:lvlText w:val="%1"/>
      <w:numFmt w:val="lowerRoman"/>
      <w:start w:val="1"/>
    </w:lvl>
    <w:lvl w:ilvl="1">
      <w:lvlJc w:val="left"/>
      <w:lvlText w:val="%2)"/>
      <w:numFmt w:val="lowerLetter"/>
      <w:start w:val="3"/>
    </w:lvl>
  </w:abstractNum>
  <w:abstractNum w:abstractNumId="60">
    <w:nsid w:val="6FC75AF8"/>
    <w:multiLevelType w:val="hybridMultilevel"/>
    <w:lvl w:ilvl="0">
      <w:lvlJc w:val="left"/>
      <w:lvlText w:val="%1."/>
      <w:numFmt w:val="lowerRoman"/>
      <w:start w:val="1"/>
    </w:lvl>
    <w:lvl w:ilvl="1">
      <w:lvlJc w:val="left"/>
      <w:lvlText w:val="%2"/>
      <w:numFmt w:val="lowerLetter"/>
      <w:start w:val="1"/>
    </w:lvl>
  </w:abstractNum>
  <w:abstractNum w:abstractNumId="61">
    <w:nsid w:val="6A5F7029"/>
    <w:multiLevelType w:val="hybridMultilevel"/>
    <w:lvl w:ilvl="0">
      <w:lvlJc w:val="left"/>
      <w:lvlText w:val="(%1)"/>
      <w:numFmt w:val="lowerRoman"/>
      <w:start w:val="3"/>
    </w:lvl>
    <w:lvl w:ilvl="1">
      <w:lvlJc w:val="left"/>
      <w:lvlText w:val="%2)"/>
      <w:numFmt w:val="lowerLetter"/>
      <w:start w:val="4"/>
    </w:lvl>
  </w:abstractNum>
  <w:abstractNum w:abstractNumId="62">
    <w:nsid w:val="7D5E18F8"/>
    <w:multiLevelType w:val="hybridMultilevel"/>
    <w:lvl w:ilvl="0">
      <w:lvlJc w:val="left"/>
      <w:lvlText w:val="%1"/>
      <w:numFmt w:val="decimal"/>
      <w:start w:val="1"/>
    </w:lvl>
    <w:lvl w:ilvl="1">
      <w:lvlJc w:val="left"/>
      <w:lvlText w:val="%2)"/>
      <w:numFmt w:val="lowerLetter"/>
      <w:start w:val="1"/>
    </w:lvl>
  </w:abstractNum>
  <w:abstractNum w:abstractNumId="63">
    <w:nsid w:val="5F3534A4"/>
    <w:multiLevelType w:val="hybridMultilevel"/>
    <w:lvl w:ilvl="0">
      <w:lvlJc w:val="left"/>
      <w:lvlText w:val="(%1)"/>
      <w:numFmt w:val="decimal"/>
      <w:start w:val="1"/>
    </w:lvl>
    <w:lvl w:ilvl="1">
      <w:lvlJc w:val="left"/>
      <w:lvlText w:val="%2)"/>
      <w:numFmt w:val="lowerLetter"/>
      <w:start w:val="2"/>
    </w:lvl>
  </w:abstractNum>
  <w:abstractNum w:abstractNumId="64">
    <w:nsid w:val="73A1821B"/>
    <w:multiLevelType w:val="hybridMultilevel"/>
    <w:lvl w:ilvl="0">
      <w:lvlJc w:val="left"/>
      <w:lvlText w:val="%1)"/>
      <w:numFmt w:val="lowerLetter"/>
      <w:start w:val="4"/>
    </w:lvl>
  </w:abstractNum>
  <w:abstractNum w:abstractNumId="65">
    <w:nsid w:val="7DE67713"/>
    <w:multiLevelType w:val="hybridMultilevel"/>
    <w:lvl w:ilvl="0">
      <w:lvlJc w:val="left"/>
      <w:lvlText w:val="(%1)"/>
      <w:numFmt w:val="lowerRoman"/>
      <w:start w:val="4"/>
    </w:lvl>
  </w:abstractNum>
  <w:abstractNum w:abstractNumId="66">
    <w:nsid w:val="555C55B5"/>
    <w:multiLevelType w:val="hybridMultilevel"/>
    <w:lvl w:ilvl="0">
      <w:lvlJc w:val="left"/>
      <w:lvlText w:val="(%1)"/>
      <w:numFmt w:val="decimal"/>
      <w:start w:val="3"/>
    </w:lvl>
  </w:abstractNum>
  <w:abstractNum w:abstractNumId="67">
    <w:nsid w:val="3FA62ACA"/>
    <w:multiLevelType w:val="hybridMultilevel"/>
    <w:lvl w:ilvl="0">
      <w:lvlJc w:val="left"/>
      <w:lvlText w:val="(%1)"/>
      <w:numFmt w:val="lowerRoman"/>
      <w:start w:val="1"/>
    </w:lvl>
  </w:abstractNum>
  <w:abstractNum w:abstractNumId="68">
    <w:nsid w:val="14FCE74E"/>
    <w:multiLevelType w:val="hybridMultilevel"/>
    <w:lvl w:ilvl="0">
      <w:lvlJc w:val="left"/>
      <w:lvlText w:val="(%1)"/>
      <w:numFmt w:val="lowerRoman"/>
      <w:start w:val="1"/>
    </w:lvl>
  </w:abstractNum>
  <w:abstractNum w:abstractNumId="69">
    <w:nsid w:val="6A3DD3E8"/>
    <w:multiLevelType w:val="hybridMultilevel"/>
    <w:lvl w:ilvl="0">
      <w:lvlJc w:val="left"/>
      <w:lvlText w:val="(%1)"/>
      <w:numFmt w:val="lowerRoman"/>
      <w:start w:val="1"/>
    </w:lvl>
  </w:abstractNum>
  <w:abstractNum w:abstractNumId="70">
    <w:nsid w:val="71C91298"/>
    <w:multiLevelType w:val="hybridMultilevel"/>
    <w:lvl w:ilvl="0">
      <w:lvlJc w:val="left"/>
      <w:lvlText w:val="(%1)"/>
      <w:numFmt w:val="lowerRoman"/>
      <w:start w:val="1"/>
    </w:lvl>
  </w:abstractNum>
  <w:abstractNum w:abstractNumId="71">
    <w:nsid w:val="9DAF632"/>
    <w:multiLevelType w:val="hybridMultilevel"/>
    <w:lvl w:ilvl="0">
      <w:lvlJc w:val="left"/>
      <w:lvlText w:val="(%1)"/>
      <w:numFmt w:val="lowerRoman"/>
      <w:start w:val="1"/>
    </w:lvl>
  </w:abstractNum>
  <w:abstractNum w:abstractNumId="72">
    <w:nsid w:val="53299938"/>
    <w:multiLevelType w:val="hybridMultilevel"/>
    <w:lvl w:ilvl="0">
      <w:lvlJc w:val="left"/>
      <w:lvlText w:val="(%1)"/>
      <w:numFmt w:val="lowerRoman"/>
      <w:start w:val="1"/>
    </w:lvl>
  </w:abstractNum>
  <w:abstractNum w:abstractNumId="73">
    <w:nsid w:val="1FBFE8E0"/>
    <w:multiLevelType w:val="hybridMultilevel"/>
    <w:lvl w:ilvl="0">
      <w:lvlJc w:val="left"/>
      <w:lvlText w:val="(%1)"/>
      <w:numFmt w:val="lowerRoman"/>
      <w:start w:val="1"/>
    </w:lvl>
  </w:abstractNum>
  <w:abstractNum w:abstractNumId="74">
    <w:nsid w:val="5092CA79"/>
    <w:multiLevelType w:val="hybridMultilevel"/>
    <w:lvl w:ilvl="0">
      <w:lvlJc w:val="left"/>
      <w:lvlText w:val="%1."/>
      <w:numFmt w:val="decimal"/>
      <w:start w:val="1"/>
    </w:lvl>
  </w:abstractNum>
  <w:abstractNum w:abstractNumId="75">
    <w:nsid w:val="1D545C4D"/>
    <w:multiLevelType w:val="hybridMultilevel"/>
    <w:lvl w:ilvl="0">
      <w:lvlJc w:val="left"/>
      <w:lvlText w:val="(%1)"/>
      <w:numFmt w:val="lowerLetter"/>
      <w:start w:val="1"/>
    </w:lvl>
    <w:lvl w:ilvl="1">
      <w:lvlJc w:val="left"/>
      <w:lvlText w:val="(%2)"/>
      <w:numFmt w:val="lowerRoman"/>
      <w:start w:val="1"/>
    </w:lvl>
  </w:abstractNum>
  <w:abstractNum w:abstractNumId="76">
    <w:nsid w:val="59ADEA3D"/>
    <w:multiLevelType w:val="hybridMultilevel"/>
    <w:lvl w:ilvl="0">
      <w:lvlJc w:val="left"/>
      <w:lvlText w:val="(%1)"/>
      <w:numFmt w:val="lowerRoman"/>
      <w:start w:val="2"/>
    </w:lvl>
  </w:abstractNum>
  <w:abstractNum w:abstractNumId="77">
    <w:nsid w:val="288F1A34"/>
    <w:multiLevelType w:val="hybridMultilevel"/>
    <w:lvl w:ilvl="0">
      <w:lvlJc w:val="left"/>
      <w:lvlText w:val="(%1)"/>
      <w:numFmt w:val="lowerLetter"/>
      <w:start w:val="1"/>
    </w:lvl>
    <w:lvl w:ilvl="1">
      <w:lvlJc w:val="left"/>
      <w:lvlText w:val="(%2)"/>
      <w:numFmt w:val="lowerRoman"/>
      <w:start w:val="1"/>
    </w:lvl>
  </w:abstractNum>
  <w:abstractNum w:abstractNumId="78">
    <w:nsid w:val="2A155DBC"/>
    <w:multiLevelType w:val="hybridMultilevel"/>
    <w:lvl w:ilvl="0">
      <w:lvlJc w:val="left"/>
      <w:lvlText w:val="(%1)"/>
      <w:numFmt w:val="lowerLetter"/>
      <w:start w:val="1"/>
    </w:lvl>
  </w:abstractNum>
  <w:abstractNum w:abstractNumId="79">
    <w:nsid w:val="1D9F6E5F"/>
    <w:multiLevelType w:val="hybridMultilevel"/>
    <w:lvl w:ilvl="0">
      <w:lvlJc w:val="left"/>
      <w:lvlText w:val="(%1)"/>
      <w:numFmt w:val="lowerLetter"/>
      <w:start w:val="1"/>
    </w:lvl>
  </w:abstractNum>
  <w:abstractNum w:abstractNumId="80">
    <w:nsid w:val="97E1B4E"/>
    <w:multiLevelType w:val="hybridMultilevel"/>
    <w:lvl w:ilvl="0">
      <w:lvlJc w:val="left"/>
      <w:lvlText w:val="(%1)"/>
      <w:numFmt w:val="lowerLetter"/>
      <w:start w:val="2"/>
    </w:lvl>
  </w:abstractNum>
  <w:abstractNum w:abstractNumId="81">
    <w:nsid w:val="51088277"/>
    <w:multiLevelType w:val="hybridMultilevel"/>
    <w:lvl w:ilvl="0">
      <w:lvlJc w:val="left"/>
      <w:lvlText w:val="(%1)"/>
      <w:numFmt w:val="lowerLetter"/>
      <w:start w:val="1"/>
    </w:lvl>
  </w:abstractNum>
  <w:abstractNum w:abstractNumId="82">
    <w:nsid w:val="1CA0C5FA"/>
    <w:multiLevelType w:val="hybridMultilevel"/>
    <w:lvl w:ilvl="0">
      <w:lvlJc w:val="left"/>
      <w:lvlText w:val="(%1)"/>
      <w:numFmt w:val="lowerLetter"/>
      <w:start w:val="3"/>
    </w:lvl>
  </w:abstractNum>
  <w:abstractNum w:abstractNumId="83">
    <w:nsid w:val="53584BCB"/>
    <w:multiLevelType w:val="hybridMultilevel"/>
    <w:lvl w:ilvl="0">
      <w:lvlJc w:val="left"/>
      <w:lvlText w:val="(%1)"/>
      <w:numFmt w:val="lowerLetter"/>
      <w:start w:val="1"/>
    </w:lvl>
  </w:abstractNum>
  <w:abstractNum w:abstractNumId="84">
    <w:nsid w:val="415E286C"/>
    <w:multiLevelType w:val="hybridMultilevel"/>
    <w:lvl w:ilvl="0">
      <w:lvlJc w:val="left"/>
      <w:lvlText w:val="(%1)"/>
      <w:numFmt w:val="lowerLetter"/>
      <w:start w:val="1"/>
    </w:lvl>
  </w:abstractNum>
  <w:abstractNum w:abstractNumId="85">
    <w:nsid w:val="7C58FD05"/>
    <w:multiLevelType w:val="hybridMultilevel"/>
    <w:lvl w:ilvl="0">
      <w:lvlJc w:val="left"/>
      <w:lvlText w:val="(%1)"/>
      <w:numFmt w:val="lowerLetter"/>
      <w:start w:val="2"/>
    </w:lvl>
  </w:abstractNum>
  <w:abstractNum w:abstractNumId="86">
    <w:nsid w:val="23D86AAC"/>
    <w:multiLevelType w:val="hybridMultilevel"/>
    <w:lvl w:ilvl="0">
      <w:lvlJc w:val="left"/>
      <w:lvlText w:val="(%1)"/>
      <w:numFmt w:val="lowerLetter"/>
      <w:start w:val="1"/>
    </w:lvl>
  </w:abstractNum>
  <w:abstractNum w:abstractNumId="87">
    <w:nsid w:val="45E6D486"/>
    <w:multiLevelType w:val="hybridMultilevel"/>
    <w:lvl w:ilvl="0">
      <w:lvlJc w:val="left"/>
      <w:lvlText w:val="%1"/>
      <w:numFmt w:val="upperLetter"/>
      <w:start w:val="1"/>
    </w:lvl>
    <w:lvl w:ilvl="1">
      <w:lvlJc w:val="left"/>
      <w:lvlText w:val="(%2)"/>
      <w:numFmt w:val="lowerRoman"/>
      <w:start w:val="1"/>
    </w:lvl>
  </w:abstractNum>
  <w:abstractNum w:abstractNumId="88">
    <w:nsid w:val="5C10FE21"/>
    <w:multiLevelType w:val="hybridMultilevel"/>
    <w:lvl w:ilvl="0">
      <w:lvlJc w:val="left"/>
      <w:lvlText w:val="(%1)"/>
      <w:numFmt w:val="upperLetter"/>
      <w:start w:val="1"/>
    </w:lvl>
    <w:lvl w:ilvl="1">
      <w:lvlJc w:val="left"/>
      <w:lvlText w:val="%2"/>
      <w:numFmt w:val="lowerRoman"/>
      <w:start w:val="1"/>
    </w:lvl>
  </w:abstractNum>
  <w:abstractNum w:abstractNumId="89">
    <w:nsid w:val="E7FFA2B"/>
    <w:multiLevelType w:val="hybridMultilevel"/>
    <w:lvl w:ilvl="0">
      <w:lvlJc w:val="left"/>
      <w:lvlText w:val="(%1)"/>
      <w:numFmt w:val="lowerRoman"/>
      <w:start w:val="3"/>
    </w:lvl>
  </w:abstractNum>
  <w:abstractNum w:abstractNumId="90">
    <w:nsid w:val="3C5991AA"/>
    <w:multiLevelType w:val="hybridMultilevel"/>
    <w:lvl w:ilvl="0">
      <w:lvlJc w:val="left"/>
      <w:lvlText w:val="(%1)"/>
      <w:numFmt w:val="lowerLetter"/>
      <w:start w:val="1"/>
    </w:lvl>
  </w:abstractNum>
  <w:abstractNum w:abstractNumId="91">
    <w:nsid w:val="4BD8591A"/>
    <w:multiLevelType w:val="hybridMultilevel"/>
    <w:lvl w:ilvl="0">
      <w:lvlJc w:val="left"/>
      <w:lvlText w:val="(%1)"/>
      <w:numFmt w:val="lowerLetter"/>
      <w:start w:val="2"/>
    </w:lvl>
  </w:abstractNum>
  <w:abstractNum w:abstractNumId="92">
    <w:nsid w:val="78DF6A55"/>
    <w:multiLevelType w:val="hybridMultilevel"/>
    <w:lvl w:ilvl="0">
      <w:lvlJc w:val="left"/>
      <w:lvlText w:val="(%1)"/>
      <w:numFmt w:val="lowerLetter"/>
      <w:start w:val="1"/>
    </w:lvl>
    <w:lvl w:ilvl="1">
      <w:lvlJc w:val="left"/>
      <w:lvlText w:val="(%2)"/>
      <w:numFmt w:val="lowerRoman"/>
      <w:start w:val="1"/>
    </w:lvl>
  </w:abstractNum>
  <w:abstractNum w:abstractNumId="93">
    <w:nsid w:val="39B7AAA2"/>
    <w:multiLevelType w:val="hybridMultilevel"/>
    <w:lvl w:ilvl="0">
      <w:lvlJc w:val="left"/>
      <w:lvlText w:val="%1"/>
      <w:numFmt w:val="lowerLetter"/>
      <w:start w:val="1"/>
    </w:lvl>
    <w:lvl w:ilvl="1">
      <w:lvlJc w:val="left"/>
      <w:lvlText w:val="(%2)"/>
      <w:numFmt w:val="lowerLetter"/>
      <w:start w:val="1"/>
    </w:lvl>
  </w:abstractNum>
  <w:abstractNum w:abstractNumId="94">
    <w:nsid w:val="2B0D8DBE"/>
    <w:multiLevelType w:val="hybridMultilevel"/>
    <w:lvl w:ilvl="0">
      <w:lvlJc w:val="left"/>
      <w:lvlText w:val="(%1)"/>
      <w:numFmt w:val="lowerLetter"/>
      <w:start w:val="9"/>
    </w:lvl>
    <w:lvl w:ilvl="1">
      <w:lvlJc w:val="left"/>
      <w:lvlText w:val="(%2)"/>
      <w:numFmt w:val="lowerLetter"/>
      <w:start w:val="2"/>
    </w:lvl>
  </w:abstractNum>
  <w:abstractNum w:abstractNumId="95">
    <w:nsid w:val="6C80EC70"/>
    <w:multiLevelType w:val="hybridMultilevel"/>
    <w:lvl w:ilvl="0">
      <w:lvlJc w:val="left"/>
      <w:lvlText w:val="(%1)"/>
      <w:numFmt w:val="lowerLetter"/>
      <w:start w:val="4"/>
    </w:lvl>
  </w:abstractNum>
  <w:abstractNum w:abstractNumId="96">
    <w:nsid w:val="379E21B5"/>
    <w:multiLevelType w:val="hybridMultilevel"/>
    <w:lvl w:ilvl="0">
      <w:lvlJc w:val="left"/>
      <w:lvlText w:val="(%1)"/>
      <w:numFmt w:val="lowerRoman"/>
      <w:start w:val="2"/>
    </w:lvl>
  </w:abstractNum>
  <w:abstractNum w:abstractNumId="97">
    <w:nsid w:val="69E373"/>
    <w:multiLevelType w:val="hybridMultilevel"/>
    <w:lvl w:ilvl="0">
      <w:lvlJc w:val="left"/>
      <w:lvlText w:val="(%1)"/>
      <w:numFmt w:val="lowerLetter"/>
      <w:start w:val="1"/>
    </w:lvl>
  </w:abstractNum>
  <w:abstractNum w:abstractNumId="98">
    <w:nsid w:val="2C27173B"/>
    <w:multiLevelType w:val="hybridMultilevel"/>
    <w:lvl w:ilvl="0">
      <w:lvlJc w:val="left"/>
      <w:lvlText w:val="(%1)"/>
      <w:numFmt w:val="lowerLetter"/>
      <w:start w:val="4"/>
    </w:lvl>
  </w:abstractNum>
  <w:abstractNum w:abstractNumId="99">
    <w:nsid w:val="4C9B0904"/>
    <w:multiLevelType w:val="hybridMultilevel"/>
    <w:lvl w:ilvl="0">
      <w:lvlJc w:val="left"/>
      <w:lvlText w:val="%1"/>
      <w:numFmt w:val="decimal"/>
      <w:start w:val="375"/>
    </w:lvl>
  </w:abstractNum>
  <w:abstractNum w:abstractNumId="100">
    <w:nsid w:val="6AA7B75C"/>
    <w:multiLevelType w:val="hybridMultilevel"/>
    <w:lvl w:ilvl="0">
      <w:lvlJc w:val="left"/>
      <w:lvlText w:val="(%1)"/>
      <w:numFmt w:val="lowerLetter"/>
      <w:start w:val="1"/>
    </w:lvl>
  </w:abstractNum>
  <w:abstractNum w:abstractNumId="101">
    <w:nsid w:val="1DF029D3"/>
    <w:multiLevelType w:val="hybridMultilevel"/>
    <w:lvl w:ilvl="0">
      <w:lvlJc w:val="left"/>
      <w:lvlText w:val="%1)"/>
      <w:numFmt w:val="lowerLetter"/>
      <w:start w:val="1"/>
    </w:lvl>
  </w:abstractNum>
  <w:abstractNum w:abstractNumId="102">
    <w:nsid w:val="5675FF36"/>
    <w:multiLevelType w:val="hybridMultilevel"/>
    <w:lvl w:ilvl="0">
      <w:lvlJc w:val="left"/>
      <w:lvlText w:val="(%1)"/>
      <w:numFmt w:val="lowerLetter"/>
      <w:start w:val="2"/>
    </w:lvl>
  </w:abstractNum>
  <w:abstractNum w:abstractNumId="103">
    <w:nsid w:val="3DD15094"/>
    <w:multiLevelType w:val="hybridMultilevel"/>
    <w:lvl w:ilvl="0">
      <w:lvlJc w:val="left"/>
      <w:lvlText w:val="%1"/>
      <w:numFmt w:val="lowerLetter"/>
      <w:start w:val="1"/>
    </w:lvl>
    <w:lvl w:ilvl="1">
      <w:lvlJc w:val="left"/>
      <w:lvlText w:val="(%2)"/>
      <w:numFmt w:val="lowerLetter"/>
      <w:start w:val="1"/>
    </w:lvl>
  </w:abstractNum>
  <w:abstractNum w:abstractNumId="104">
    <w:nsid w:val="3DB012B3"/>
    <w:multiLevelType w:val="hybridMultilevel"/>
    <w:lvl w:ilvl="0">
      <w:lvlJc w:val="left"/>
      <w:lvlText w:val="(%1)"/>
      <w:numFmt w:val="lowerLetter"/>
      <w:start w:val="2"/>
    </w:lvl>
    <w:lvl w:ilvl="1">
      <w:lvlJc w:val="left"/>
      <w:lvlText w:val="(%2)"/>
      <w:numFmt w:val="lowerLetter"/>
      <w:start w:val="2"/>
    </w:lvl>
  </w:abstractNum>
  <w:abstractNum w:abstractNumId="105">
    <w:nsid w:val="2708C9AF"/>
    <w:multiLevelType w:val="hybridMultilevel"/>
    <w:lvl w:ilvl="0">
      <w:lvlJc w:val="left"/>
      <w:lvlText w:val="(%1)"/>
      <w:numFmt w:val="lowerLetter"/>
      <w:start w:val="1"/>
    </w:lvl>
    <w:lvl w:ilvl="1">
      <w:lvlJc w:val="left"/>
      <w:lvlText w:val="(%2)"/>
      <w:numFmt w:val="lowerRoman"/>
      <w:start w:val="1"/>
    </w:lvl>
  </w:abstractNum>
  <w:abstractNum w:abstractNumId="106">
    <w:nsid w:val="5B25ACE2"/>
    <w:multiLevelType w:val="hybridMultilevel"/>
    <w:lvl w:ilvl="0">
      <w:lvlJc w:val="left"/>
      <w:lvlText w:val="(%1)"/>
      <w:numFmt w:val="lowerLetter"/>
      <w:start w:val="1"/>
    </w:lvl>
  </w:abstractNum>
  <w:abstractNum w:abstractNumId="107">
    <w:nsid w:val="175DFCF0"/>
    <w:multiLevelType w:val="hybridMultilevel"/>
    <w:lvl w:ilvl="0">
      <w:lvlJc w:val="left"/>
      <w:lvlText w:val="(%1)"/>
      <w:numFmt w:val="lowerLetter"/>
      <w:start w:val="3"/>
    </w:lvl>
  </w:abstractNum>
  <w:abstractNum w:abstractNumId="108">
    <w:nsid w:val="4F97E3E4"/>
    <w:multiLevelType w:val="hybridMultilevel"/>
    <w:lvl w:ilvl="0">
      <w:lvlJc w:val="left"/>
      <w:lvlText w:val="(%1)"/>
      <w:numFmt w:val="lowerLetter"/>
      <w:start w:val="1"/>
    </w:lvl>
  </w:abstractNum>
  <w:abstractNum w:abstractNumId="109">
    <w:nsid w:val="53B0A9E"/>
    <w:multiLevelType w:val="hybridMultilevel"/>
    <w:lvl w:ilvl="0">
      <w:lvlJc w:val="left"/>
      <w:lvlText w:val="(%1)"/>
      <w:numFmt w:val="lowerLetter"/>
      <w:start w:val="1"/>
    </w:lvl>
  </w:abstractNum>
  <w:abstractNum w:abstractNumId="110">
    <w:nsid w:val="34FD6B4F"/>
    <w:multiLevelType w:val="hybridMultilevel"/>
    <w:lvl w:ilvl="0">
      <w:lvlJc w:val="left"/>
      <w:lvlText w:val="%1"/>
      <w:numFmt w:val="lowerLetter"/>
      <w:start w:val="1"/>
    </w:lvl>
    <w:lvl w:ilvl="1">
      <w:lvlJc w:val="left"/>
      <w:lvlText w:val="(%2)"/>
      <w:numFmt w:val="lowerLetter"/>
      <w:start w:val="2"/>
    </w:lvl>
  </w:abstractNum>
  <w:abstractNum w:abstractNumId="111">
    <w:nsid w:val="5915FF32"/>
    <w:multiLevelType w:val="hybridMultilevel"/>
    <w:lvl w:ilvl="0">
      <w:lvlJc w:val="left"/>
      <w:lvlText w:val="(%1)"/>
      <w:numFmt w:val="lowerLetter"/>
      <w:start w:val="24"/>
    </w:lvl>
    <w:lvl w:ilvl="1">
      <w:lvlJc w:val="left"/>
      <w:lvlText w:val="(%2)"/>
      <w:numFmt w:val="lowerLetter"/>
      <w:start w:val="5"/>
    </w:lvl>
  </w:abstractNum>
  <w:abstractNum w:abstractNumId="112">
    <w:nsid w:val="56438D15"/>
    <w:multiLevelType w:val="hybridMultilevel"/>
    <w:lvl w:ilvl="0">
      <w:lvlJc w:val="left"/>
      <w:lvlText w:val="%1"/>
      <w:numFmt w:val="lowerLetter"/>
      <w:start w:val="1"/>
    </w:lvl>
    <w:lvl w:ilvl="1">
      <w:lvlJc w:val="left"/>
      <w:lvlText w:val="(%2)"/>
      <w:numFmt w:val="lowerLetter"/>
      <w:start w:val="1"/>
    </w:lvl>
  </w:abstractNum>
  <w:abstractNum w:abstractNumId="113">
    <w:nsid w:val="519E3149"/>
    <w:multiLevelType w:val="hybridMultilevel"/>
    <w:lvl w:ilvl="0">
      <w:lvlJc w:val="left"/>
      <w:lvlText w:val="(%1)"/>
      <w:numFmt w:val="lowerLetter"/>
      <w:start w:val="9"/>
    </w:lvl>
    <w:lvl w:ilvl="1">
      <w:lvlJc w:val="left"/>
      <w:lvlText w:val="%2"/>
      <w:numFmt w:val="lowerLetter"/>
      <w:start w:val="1"/>
    </w:lvl>
  </w:abstractNum>
  <w:abstractNum w:abstractNumId="114">
    <w:nsid w:val="2C6E4AFD"/>
    <w:multiLevelType w:val="hybridMultilevel"/>
    <w:lvl w:ilvl="0">
      <w:lvlJc w:val="left"/>
      <w:lvlText w:val="%1"/>
      <w:numFmt w:val="lowerLetter"/>
      <w:start w:val="1"/>
    </w:lvl>
    <w:lvl w:ilvl="1">
      <w:lvlJc w:val="left"/>
      <w:lvlText w:val="(%2)"/>
      <w:numFmt w:val="lowerLetter"/>
      <w:start w:val="4"/>
    </w:lvl>
  </w:abstractNum>
  <w:abstractNum w:abstractNumId="115">
    <w:nsid w:val="17A1B582"/>
    <w:multiLevelType w:val="hybridMultilevel"/>
    <w:lvl w:ilvl="0">
      <w:lvlJc w:val="left"/>
      <w:lvlText w:val="(%1)"/>
      <w:numFmt w:val="lowerLetter"/>
      <w:start w:val="35"/>
    </w:lvl>
    <w:lvl w:ilvl="1">
      <w:lvlJc w:val="left"/>
      <w:lvlText w:val="(%2)"/>
      <w:numFmt w:val="lowerLetter"/>
      <w:start w:val="7"/>
    </w:lvl>
  </w:abstractNum>
  <w:abstractNum w:abstractNumId="116">
    <w:nsid w:val="4DF72E4E"/>
    <w:multiLevelType w:val="hybridMultilevel"/>
    <w:lvl w:ilvl="0">
      <w:lvlJc w:val="left"/>
      <w:lvlText w:val="(%1)"/>
      <w:numFmt w:val="lowerLetter"/>
      <w:start w:val="9"/>
    </w:lvl>
  </w:abstractNum>
  <w:abstractNum w:abstractNumId="117">
    <w:nsid w:val="5046B5A9"/>
    <w:multiLevelType w:val="hybridMultilevel"/>
    <w:lvl w:ilvl="0">
      <w:lvlJc w:val="left"/>
      <w:lvlText w:val="(%1)"/>
      <w:numFmt w:val="lowerLetter"/>
      <w:start w:val="13"/>
    </w:lvl>
  </w:abstractNum>
  <w:abstractNum w:abstractNumId="118">
    <w:nsid w:val="5D888A08"/>
    <w:multiLevelType w:val="hybridMultilevel"/>
    <w:lvl w:ilvl="0">
      <w:lvlJc w:val="left"/>
      <w:lvlText w:val="(%1)"/>
      <w:numFmt w:val="lowerLetter"/>
      <w:start w:val="1"/>
    </w:lvl>
  </w:abstractNum>
  <w:abstractNum w:abstractNumId="119">
    <w:nsid w:val="2A082C70"/>
    <w:multiLevelType w:val="hybridMultilevel"/>
    <w:lvl w:ilvl="0">
      <w:lvlJc w:val="left"/>
      <w:lvlText w:val="(%1)"/>
      <w:numFmt w:val="lowerLetter"/>
      <w:start w:val="1"/>
    </w:lvl>
  </w:abstractNum>
  <w:abstractNum w:abstractNumId="120">
    <w:nsid w:val="5EC6AFD4"/>
    <w:multiLevelType w:val="hybridMultilevel"/>
    <w:lvl w:ilvl="0">
      <w:lvlJc w:val="left"/>
      <w:lvlText w:val="(%1)"/>
      <w:numFmt w:val="lowerLetter"/>
      <w:start w:val="2"/>
    </w:lvl>
  </w:abstractNum>
  <w:abstractNum w:abstractNumId="121">
    <w:nsid w:val="19E21BB2"/>
    <w:multiLevelType w:val="hybridMultilevel"/>
    <w:lvl w:ilvl="0">
      <w:lvlJc w:val="left"/>
      <w:lvlText w:val="(%1)"/>
      <w:numFmt w:val="lowerLetter"/>
      <w:start w:val="1"/>
    </w:lvl>
  </w:abstractNum>
  <w:abstractNum w:abstractNumId="122">
    <w:nsid w:val="75E0858A"/>
    <w:multiLevelType w:val="hybridMultilevel"/>
    <w:lvl w:ilvl="0">
      <w:lvlJc w:val="left"/>
      <w:lvlText w:val="(%1)"/>
      <w:numFmt w:val="lowerLetter"/>
      <w:start w:val="1"/>
    </w:lvl>
  </w:abstractNum>
  <w:abstractNum w:abstractNumId="123">
    <w:nsid w:val="57A61A29"/>
    <w:multiLevelType w:val="hybridMultilevel"/>
    <w:lvl w:ilvl="0">
      <w:lvlJc w:val="left"/>
      <w:lvlText w:val="(%1)"/>
      <w:numFmt w:val="lowerLetter"/>
      <w:start w:val="2"/>
    </w:lvl>
  </w:abstractNum>
  <w:abstractNum w:abstractNumId="124">
    <w:nsid w:val="5399C654"/>
    <w:multiLevelType w:val="hybridMultilevel"/>
    <w:lvl w:ilvl="0">
      <w:lvlJc w:val="left"/>
      <w:lvlText w:val="%1"/>
      <w:numFmt w:val="lowerLetter"/>
      <w:start w:val="1"/>
    </w:lvl>
    <w:lvl w:ilvl="1">
      <w:lvlJc w:val="left"/>
      <w:lvlText w:val="(%2)"/>
      <w:numFmt w:val="lowerLetter"/>
      <w:start w:val="3"/>
    </w:lvl>
  </w:abstractNum>
  <w:abstractNum w:abstractNumId="125">
    <w:nsid w:val="20EE1348"/>
    <w:multiLevelType w:val="hybridMultilevel"/>
    <w:lvl w:ilvl="0">
      <w:lvlJc w:val="left"/>
      <w:lvlText w:val="(%1)"/>
      <w:numFmt w:val="lowerLetter"/>
      <w:start w:val="61"/>
    </w:lvl>
    <w:lvl w:ilvl="1">
      <w:lvlJc w:val="left"/>
      <w:lvlText w:val="(%2)"/>
      <w:numFmt w:val="lowerLetter"/>
      <w:start w:val="4"/>
    </w:lvl>
  </w:abstractNum>
  <w:abstractNum w:abstractNumId="126">
    <w:nsid w:val="4427069A"/>
    <w:multiLevelType w:val="hybridMultilevel"/>
    <w:lvl w:ilvl="0">
      <w:lvlJc w:val="left"/>
      <w:lvlText w:val="(%1)"/>
      <w:numFmt w:val="lowerLetter"/>
      <w:start w:val="5"/>
    </w:lvl>
  </w:abstractNum>
  <w:abstractNum w:abstractNumId="127">
    <w:nsid w:val="B37E80A"/>
    <w:multiLevelType w:val="hybridMultilevel"/>
    <w:lvl w:ilvl="0">
      <w:lvlJc w:val="left"/>
      <w:lvlText w:val="%1"/>
      <w:numFmt w:val="lowerLetter"/>
      <w:start w:val="1"/>
    </w:lvl>
    <w:lvl w:ilvl="1">
      <w:lvlJc w:val="left"/>
      <w:lvlText w:val="(%2)"/>
      <w:numFmt w:val="lowerLetter"/>
      <w:start w:val="1"/>
    </w:lvl>
  </w:abstractNum>
  <w:abstractNum w:abstractNumId="128">
    <w:nsid w:val="2157F6BC"/>
    <w:multiLevelType w:val="hybridMultilevel"/>
    <w:lvl w:ilvl="0">
      <w:lvlJc w:val="left"/>
      <w:lvlText w:val="(%1)"/>
      <w:numFmt w:val="lowerLetter"/>
      <w:start w:val="25"/>
    </w:lvl>
    <w:lvl w:ilvl="1">
      <w:lvlJc w:val="left"/>
      <w:lvlText w:val="(%2)"/>
      <w:numFmt w:val="lowerLetter"/>
      <w:start w:val="2"/>
    </w:lvl>
  </w:abstractNum>
  <w:abstractNum w:abstractNumId="129">
    <w:nsid w:val="704E1DD5"/>
    <w:multiLevelType w:val="hybridMultilevel"/>
    <w:lvl w:ilvl="0">
      <w:lvlJc w:val="left"/>
      <w:lvlText w:val="(%1)"/>
      <w:numFmt w:val="lowerLetter"/>
      <w:start w:val="1"/>
    </w:lvl>
  </w:abstractNum>
  <w:abstractNum w:abstractNumId="130">
    <w:nsid w:val="57D2F10E"/>
    <w:multiLevelType w:val="hybridMultilevel"/>
    <w:lvl w:ilvl="0">
      <w:lvlJc w:val="left"/>
      <w:lvlText w:val="(%1)"/>
      <w:numFmt w:val="lowerLetter"/>
      <w:start w:val="1"/>
    </w:lvl>
  </w:abstractNum>
  <w:abstractNum w:abstractNumId="131">
    <w:nsid w:val="BFFAE18"/>
    <w:multiLevelType w:val="hybridMultilevel"/>
    <w:lvl w:ilvl="0">
      <w:lvlJc w:val="left"/>
      <w:lvlText w:val="(%1)"/>
      <w:numFmt w:val="lowerLetter"/>
      <w:start w:val="1"/>
    </w:lvl>
  </w:abstractNum>
  <w:abstractNum w:abstractNumId="132">
    <w:nsid w:val="E3E47A8"/>
    <w:multiLevelType w:val="hybridMultilevel"/>
    <w:lvl w:ilvl="0">
      <w:lvlJc w:val="left"/>
      <w:lvlText w:val="(%1)"/>
      <w:numFmt w:val="lowerLetter"/>
      <w:start w:val="2"/>
    </w:lvl>
  </w:abstractNum>
  <w:abstractNum w:abstractNumId="133">
    <w:nsid w:val="2E48F044"/>
    <w:multiLevelType w:val="hybridMultilevel"/>
    <w:lvl w:ilvl="0">
      <w:lvlJc w:val="left"/>
      <w:lvlText w:val="(%1)"/>
      <w:numFmt w:val="lowerLetter"/>
      <w:start w:val="1"/>
    </w:lvl>
  </w:abstractNum>
  <w:abstractNum w:abstractNumId="134">
    <w:nsid w:val="49D0FEAC"/>
    <w:multiLevelType w:val="hybridMultilevel"/>
    <w:lvl w:ilvl="0">
      <w:lvlJc w:val="left"/>
      <w:lvlText w:val="(%1)"/>
      <w:numFmt w:val="lowerLetter"/>
      <w:start w:val="7"/>
    </w:lvl>
  </w:abstractNum>
  <w:abstractNum w:abstractNumId="135">
    <w:nsid w:val="4BEE5A5B"/>
    <w:multiLevelType w:val="hybridMultilevel"/>
    <w:lvl w:ilvl="0">
      <w:lvlJc w:val="left"/>
      <w:lvlText w:val="%1."/>
      <w:numFmt w:val="decimal"/>
      <w:start w:val="1"/>
    </w:lvl>
  </w:abstractNum>
  <w:abstractNum w:abstractNumId="136">
    <w:nsid w:val="5551B9F3"/>
    <w:multiLevelType w:val="hybridMultilevel"/>
    <w:lvl w:ilvl="0">
      <w:lvlJc w:val="left"/>
      <w:lvlText w:val="%1."/>
      <w:numFmt w:val="decimal"/>
      <w:start w:val="2"/>
    </w:lvl>
  </w:abstractNum>
  <w:abstractNum w:abstractNumId="137">
    <w:nsid w:val="24F6AB8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22" Type="http://schemas.openxmlformats.org/officeDocument/2006/relationships/hyperlink" Target="http://www.sec.gov/Archives/edgar/data/1699031/000119312524148672/d556103dex1011.htm" TargetMode="External"/><Relationship Id="rId23" Type="http://schemas.openxmlformats.org/officeDocument/2006/relationships/hyperlink" Target="http://www.sec.gov/Archives/edgar/data/1699031/000119312524148672/d556103dex108.htm" TargetMode="External"/><Relationship Id="rId24" Type="http://schemas.openxmlformats.org/officeDocument/2006/relationships/hyperlink" Target="http://www.sec.gov/Archives/edgar/data/1699031/000119312524148672/d556103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2024-06-24T16:34:01Z</dcterms:created>
  <dcterms:modified xsi:type="dcterms:W3CDTF">2024-06-24T16:34:01Z</dcterms:modified>
</cp:coreProperties>
</file>