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3, 2024.</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File No. 001-42045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123825</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FORM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REGISTRATION OF SECURITIES</w:t>
      </w:r>
    </w:p>
    <w:p>
      <w:pPr>
        <w:ind w:left="3480"/>
        <w:spacing w:after="0" w:line="235" w:lineRule="auto"/>
        <w:rPr>
          <w:sz w:val="20"/>
          <w:szCs w:val="20"/>
          <w:color w:val="auto"/>
        </w:rPr>
      </w:pPr>
      <w:r>
        <w:rPr>
          <w:rFonts w:ascii="Times New Roman" w:cs="Times New Roman" w:eastAsia="Times New Roman" w:hAnsi="Times New Roman"/>
          <w:sz w:val="19"/>
          <w:szCs w:val="19"/>
          <w:b w:val="1"/>
          <w:bCs w:val="1"/>
          <w:color w:val="auto"/>
        </w:rPr>
        <w:t>Pursuant to Section 12(b) or (g) of</w:t>
      </w:r>
    </w:p>
    <w:p>
      <w:pPr>
        <w:ind w:left="3420"/>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1299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converted as described herein into a corporation named</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139065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23"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300" w:type="dxa"/>
            <w:vAlign w:val="bottom"/>
          </w:tcPr>
          <w:p>
            <w:pPr>
              <w:spacing w:after="0"/>
              <w:rPr>
                <w:sz w:val="17"/>
                <w:szCs w:val="17"/>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86-3673636</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00" w:type="dxa"/>
            <w:vAlign w:val="bottom"/>
            <w:gridSpan w:val="4"/>
          </w:tcPr>
          <w:p>
            <w:pPr>
              <w:jc w:val="center"/>
              <w:ind w:right="1641"/>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60" w:type="dxa"/>
            <w:vAlign w:val="bottom"/>
            <w:gridSpan w:val="2"/>
          </w:tcPr>
          <w:p>
            <w:pPr>
              <w:jc w:val="center"/>
              <w:ind w:right="18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800" w:type="dxa"/>
            <w:vAlign w:val="bottom"/>
            <w:gridSpan w:val="4"/>
          </w:tcPr>
          <w:p>
            <w:pPr>
              <w:jc w:val="center"/>
              <w:ind w:right="1641"/>
              <w:spacing w:after="0" w:line="146" w:lineRule="exact"/>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2"/>
          </w:tcPr>
          <w:p>
            <w:pPr>
              <w:jc w:val="center"/>
              <w:ind w:right="1820"/>
              <w:spacing w:after="0" w:line="146"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rPr>
                <w:sz w:val="17"/>
                <w:szCs w:val="17"/>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744"/>
              <w:spacing w:after="0"/>
              <w:rPr>
                <w:sz w:val="20"/>
                <w:szCs w:val="20"/>
                <w:color w:val="auto"/>
              </w:rPr>
            </w:pPr>
            <w:r>
              <w:rPr>
                <w:rFonts w:ascii="Times New Roman" w:cs="Times New Roman" w:eastAsia="Times New Roman" w:hAnsi="Times New Roman"/>
                <w:sz w:val="16"/>
                <w:szCs w:val="16"/>
                <w:b w:val="1"/>
                <w:bCs w:val="1"/>
                <w:color w:val="auto"/>
              </w:rPr>
              <w:t>94025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100" w:type="dxa"/>
            <w:vAlign w:val="bottom"/>
            <w:gridSpan w:val="5"/>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60" w:type="dxa"/>
            <w:vAlign w:val="bottom"/>
            <w:gridSpan w:val="6"/>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gridSpan w:val="4"/>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center"/>
              <w:ind w:left="601"/>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26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Illumina, Inc.</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Cravath, Swaine &amp; Moore LLP</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GRAIL, Inc.</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Latham &amp; Watkins LLP</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5200 Illumina Way</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Two Manhattan West</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2860" w:type="dxa"/>
            <w:vAlign w:val="bottom"/>
            <w:gridSpan w:val="2"/>
          </w:tcPr>
          <w:p>
            <w:pPr>
              <w:jc w:val="center"/>
              <w:ind w:left="384"/>
              <w:spacing w:after="0"/>
              <w:rPr>
                <w:sz w:val="20"/>
                <w:szCs w:val="20"/>
                <w:color w:val="auto"/>
              </w:rPr>
            </w:pPr>
            <w:r>
              <w:rPr>
                <w:rFonts w:ascii="Times New Roman" w:cs="Times New Roman" w:eastAsia="Times New Roman" w:hAnsi="Times New Roman"/>
                <w:sz w:val="16"/>
                <w:szCs w:val="16"/>
                <w:b w:val="1"/>
                <w:bCs w:val="1"/>
                <w:color w:val="auto"/>
                <w:w w:val="98"/>
              </w:rPr>
              <w:t>355 South Grand Avenue, Suite 100</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San Diego, CA 92122</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7"/>
              </w:rPr>
              <w:t>375 Ninth Avenue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Menlo Park, California</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Los Angeles, California 90071</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7"/>
              </w:rPr>
              <w:t>(858) 202-4500</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New York, New York 10001</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7"/>
              </w:rPr>
              <w:t>(213) 485-1234</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Attn: Charles E. Dadswell,</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Attn: Abram Barth,</w:t>
            </w:r>
          </w:p>
        </w:tc>
        <w:tc>
          <w:tcPr>
            <w:tcW w:w="2860" w:type="dxa"/>
            <w:vAlign w:val="bottom"/>
            <w:gridSpan w:val="2"/>
          </w:tcPr>
          <w:p>
            <w:pPr>
              <w:jc w:val="center"/>
              <w:ind w:left="384"/>
              <w:spacing w:after="0"/>
              <w:rPr>
                <w:sz w:val="20"/>
                <w:szCs w:val="20"/>
                <w:color w:val="auto"/>
              </w:rPr>
            </w:pPr>
            <w:r>
              <w:rPr>
                <w:rFonts w:ascii="Times New Roman" w:cs="Times New Roman" w:eastAsia="Times New Roman" w:hAnsi="Times New Roman"/>
                <w:sz w:val="16"/>
                <w:szCs w:val="16"/>
                <w:b w:val="1"/>
                <w:bCs w:val="1"/>
                <w:color w:val="auto"/>
                <w:w w:val="96"/>
              </w:rPr>
              <w:t>Attn: W. Alex Voxman</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General Counsel and Secretary</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8"/>
              </w:rPr>
              <w:t>Attn: Andrew J. Pitts</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General Counsel</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Andrew Clark</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8"/>
              </w:rPr>
              <w:t>Ting S. Chen</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and Secretary</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Ross McAloon</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rPr>
              <w:t>Alexa Berlin</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320" w:type="dxa"/>
            <w:vAlign w:val="bottom"/>
            <w:gridSpan w:val="8"/>
          </w:tcPr>
          <w:p>
            <w:pPr>
              <w:jc w:val="center"/>
              <w:ind w:right="2360"/>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 pursuant to Section 12(b) of the Act: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 to be so Registered</w:t>
            </w:r>
          </w:p>
        </w:tc>
        <w:tc>
          <w:tcPr>
            <w:tcW w:w="1720" w:type="dxa"/>
            <w:vAlign w:val="bottom"/>
            <w:gridSpan w:val="2"/>
            <w:vMerge w:val="restart"/>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40" w:type="dxa"/>
            <w:vAlign w:val="bottom"/>
            <w:gridSpan w:val="3"/>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2080" w:type="dxa"/>
            <w:vAlign w:val="bottom"/>
            <w:tcBorders>
              <w:bottom w:val="single" w:sz="8" w:color="auto"/>
            </w:tcBorders>
            <w:gridSpan w:val="2"/>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Which Each Class is to be Registered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38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6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The Nasdaq Stock Market LLC</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144145</wp:posOffset>
            </wp:positionV>
            <wp:extent cx="1299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8"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4"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616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166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16" w:right="109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EXPLANATORY NOTE</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GRAIL, LLC, the registrant whose name appears on the cover of this Form 10 registration statement, is a Delaware limited liability company. Immediately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w:t>
      </w:r>
    </w:p>
    <w:p>
      <w:pPr>
        <w:spacing w:after="0" w:line="1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w:t>
      </w:r>
    </w:p>
    <w:p>
      <w:pPr>
        <w:sectPr>
          <w:pgSz w:w="11900" w:h="16838" w:orient="portrait"/>
          <w:cols w:equalWidth="0" w:num="1">
            <w:col w:w="9640"/>
          </w:cols>
          <w:pgMar w:left="1080" w:top="252" w:right="11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Cross-Reference Sheet Between the Information Statement and Items of Form 10</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7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7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auto"/>
            </w:tcBorders>
          </w:tcPr>
          <w:p>
            <w:pPr>
              <w:spacing w:after="0"/>
              <w:rPr>
                <w:sz w:val="15"/>
                <w:szCs w:val="15"/>
                <w:color w:val="auto"/>
              </w:rPr>
            </w:pPr>
          </w:p>
        </w:tc>
        <w:tc>
          <w:tcPr>
            <w:tcW w:w="580" w:type="dxa"/>
            <w:vAlign w:val="bottom"/>
          </w:tcPr>
          <w:p>
            <w:pPr>
              <w:jc w:val="right"/>
              <w:ind w:right="101"/>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5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Business</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See “Summary,” “Risk Factors,” “Cautionary Statement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 “The Spin-Off,”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“Business,” “Management’s Discussion and Analysis of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Condition and Results of Operations,” and “Where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You Can Find More Information”</w:t>
            </w: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1A.</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and “Cautionary Statement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“Capitalization,” “Selected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Historical Financial Data,” “Unaudited Pro Forma Condensed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Statements,” “Management’s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Discussion and Analysis of Financial Condition and Results of</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Operations,” and “Index to Consolidated Financial Statements”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“Business—Properties”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“Security Ownership of Certain Beneficial Owners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 and “Executive Compensation”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“Risk Factors,” “The Spin-Off,” “Management,”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Independence</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“Business—Legal Proceedings”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Price of and Dividends on the Registrant’s Common Equity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w w:val="99"/>
              </w:rPr>
              <w:t>See “Summary,” “The Spin-Off,” “Dividend Policy,” “Security</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Stockholder Matters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Ownership of Certain Beneficial Owners and Management,”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Recent Sales of Unregistered Securities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 of Registrant’s Securities to be Registered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560" w:type="dxa"/>
            <w:vAlign w:val="bottom"/>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200" w:type="dxa"/>
            <w:vAlign w:val="bottom"/>
            <w:vMerge w:val="restart"/>
          </w:tcPr>
          <w:p>
            <w:pPr>
              <w:spacing w:after="0"/>
              <w:rPr>
                <w:sz w:val="12"/>
                <w:szCs w:val="12"/>
                <w:color w:val="auto"/>
              </w:rPr>
            </w:pP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5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 and “Certain</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 and Related Party Transactions—Agreements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with Illumina—Separation and Distribution Agreement”</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“Selected Historical Financial Data,”</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“Unaudited Pro Forma Condensed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Statements,” and “Index to Consolidated Financial Statements”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the consolidated financial statements referenced therein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Disclosure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Exhibits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    Consolidated Financial Statements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“Unaudited Pro Forma Condensed Consolidated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Financial Statements” and “Index to Consolidated</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Financial Statements” and the consolidated financial</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statements referenced therein</w:t>
      </w:r>
    </w:p>
    <w:p>
      <w:pPr>
        <w:spacing w:after="0" w:line="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    Exhibits</w:t>
      </w:r>
    </w:p>
    <w:p>
      <w:pPr>
        <w:spacing w:after="0" w:line="1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below</w:t>
      </w:r>
    </w:p>
    <w:p>
      <w:pPr>
        <w:sectPr>
          <w:pgSz w:w="11900" w:h="16838" w:orient="portrait"/>
          <w:cols w:equalWidth="0" w:num="1">
            <w:col w:w="9720"/>
          </w:cols>
          <w:pgMar w:left="1080" w:top="230"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following documents are filed as exhibits 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gridSpan w:val="20"/>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153"/>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6"/>
                <w:szCs w:val="16"/>
                <w:color w:val="auto"/>
              </w:rPr>
              <w:t>  2.1</w:t>
            </w:r>
          </w:p>
        </w:tc>
        <w:tc>
          <w:tcPr>
            <w:tcW w:w="480" w:type="dxa"/>
            <w:vAlign w:val="bottom"/>
          </w:tcPr>
          <w:p>
            <w:pPr>
              <w:spacing w:after="0"/>
              <w:rPr>
                <w:sz w:val="12"/>
                <w:szCs w:val="12"/>
                <w:color w:val="auto"/>
              </w:rPr>
            </w:pPr>
          </w:p>
        </w:tc>
        <w:tc>
          <w:tcPr>
            <w:tcW w:w="8740" w:type="dxa"/>
            <w:vAlign w:val="bottom"/>
            <w:tcBorders>
              <w:top w:val="single" w:sz="8" w:color="auto"/>
            </w:tcBorders>
            <w:gridSpan w:val="33"/>
          </w:tcPr>
          <w:p>
            <w:pPr>
              <w:spacing w:after="0" w:line="147" w:lineRule="exact"/>
              <w:rPr>
                <w:rFonts w:ascii="Times New Roman" w:cs="Times New Roman" w:eastAsia="Times New Roman" w:hAnsi="Times New Roman"/>
                <w:sz w:val="16"/>
                <w:szCs w:val="16"/>
                <w:color w:val="0000EE"/>
              </w:rPr>
            </w:pPr>
            <w:hyperlink r:id="rId21">
              <w:r>
                <w:rPr>
                  <w:rFonts w:ascii="Times New Roman" w:cs="Times New Roman" w:eastAsia="Times New Roman" w:hAnsi="Times New Roman"/>
                  <w:sz w:val="16"/>
                  <w:szCs w:val="16"/>
                  <w:color w:val="0000EE"/>
                </w:rPr>
                <w:t xml:space="preserve">Form of Separation and Distribution Agreement between GRAIL, LLC and Illumina,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3.1</w:t>
            </w:r>
          </w:p>
        </w:tc>
        <w:tc>
          <w:tcPr>
            <w:tcW w:w="5740" w:type="dxa"/>
            <w:vAlign w:val="bottom"/>
            <w:tcBorders>
              <w:top w:val="single" w:sz="8" w:color="0000EE"/>
            </w:tcBorders>
            <w:gridSpan w:val="19"/>
          </w:tcPr>
          <w:p>
            <w:pPr>
              <w:spacing w:after="0"/>
              <w:rPr>
                <w:rFonts w:ascii="Times New Roman" w:cs="Times New Roman" w:eastAsia="Times New Roman" w:hAnsi="Times New Roman"/>
                <w:sz w:val="16"/>
                <w:szCs w:val="16"/>
                <w:color w:val="0000EE"/>
              </w:rPr>
            </w:pPr>
            <w:hyperlink r:id="rId22">
              <w:r>
                <w:rPr>
                  <w:rFonts w:ascii="Times New Roman" w:cs="Times New Roman" w:eastAsia="Times New Roman" w:hAnsi="Times New Roman"/>
                  <w:sz w:val="16"/>
                  <w:szCs w:val="16"/>
                  <w:color w:val="0000EE"/>
                </w:rPr>
                <w:t xml:space="preserve">Form of Certificate of Incorporation of GRAIL, Inc. </w:t>
              </w:r>
            </w:hyperlink>
            <w:r>
              <w:rPr>
                <w:rFonts w:ascii="Times New Roman" w:cs="Times New Roman" w:eastAsia="Times New Roman" w:hAnsi="Times New Roman"/>
                <w:sz w:val="16"/>
                <w:szCs w:val="16"/>
                <w:color w:val="000000"/>
              </w:rPr>
              <w:t>*</w:t>
            </w:r>
          </w:p>
        </w:tc>
        <w:tc>
          <w:tcPr>
            <w:tcW w:w="300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3.2</w:t>
            </w:r>
          </w:p>
        </w:tc>
        <w:tc>
          <w:tcPr>
            <w:tcW w:w="338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r:id="rId23">
              <w:r>
                <w:rPr>
                  <w:rFonts w:ascii="Times New Roman" w:cs="Times New Roman" w:eastAsia="Times New Roman" w:hAnsi="Times New Roman"/>
                  <w:sz w:val="16"/>
                  <w:szCs w:val="16"/>
                  <w:color w:val="0000EE"/>
                </w:rPr>
                <w:t xml:space="preserve">Form of Bylaws of GRAIL, Inc. </w:t>
              </w:r>
            </w:hyperlink>
            <w:r>
              <w:rPr>
                <w:rFonts w:ascii="Times New Roman" w:cs="Times New Roman" w:eastAsia="Times New Roman" w:hAnsi="Times New Roman"/>
                <w:sz w:val="16"/>
                <w:szCs w:val="16"/>
                <w:color w:val="000000"/>
              </w:rPr>
              <w:t>*</w:t>
            </w:r>
          </w:p>
        </w:tc>
        <w:tc>
          <w:tcPr>
            <w:tcW w:w="536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3.3</w:t>
            </w:r>
          </w:p>
        </w:tc>
        <w:tc>
          <w:tcPr>
            <w:tcW w:w="8740" w:type="dxa"/>
            <w:vAlign w:val="bottom"/>
            <w:gridSpan w:val="33"/>
          </w:tcPr>
          <w:p>
            <w:pPr>
              <w:spacing w:after="0"/>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 xml:space="preserve">Form of Certificate of Conversion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Form of Tax Matters Agreement between GRAIL, LLC and Illumina, Inc.</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26">
              <w:r>
                <w:rPr>
                  <w:rFonts w:ascii="Times New Roman" w:cs="Times New Roman" w:eastAsia="Times New Roman" w:hAnsi="Times New Roman"/>
                  <w:sz w:val="16"/>
                  <w:szCs w:val="16"/>
                  <w:color w:val="0000EE"/>
                </w:rPr>
                <w:t xml:space="preserve">Form of Employee Matters Agreement between GRAIL, LLC and Illumina,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27">
              <w:r>
                <w:rPr>
                  <w:rFonts w:ascii="Times New Roman" w:cs="Times New Roman" w:eastAsia="Times New Roman" w:hAnsi="Times New Roman"/>
                  <w:sz w:val="16"/>
                  <w:szCs w:val="16"/>
                  <w:color w:val="0000EE"/>
                </w:rPr>
                <w:t xml:space="preserve">Form of Stockholder and Registration Rights Agreement between GRAIL, LLC and Illumina,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w w:val="99"/>
              </w:rPr>
            </w:pPr>
            <w:hyperlink r:id="rId28">
              <w:r>
                <w:rPr>
                  <w:rFonts w:ascii="Times New Roman" w:cs="Times New Roman" w:eastAsia="Times New Roman" w:hAnsi="Times New Roman"/>
                  <w:sz w:val="16"/>
                  <w:szCs w:val="16"/>
                  <w:color w:val="0000EE"/>
                  <w:w w:val="99"/>
                </w:rPr>
                <w:t>Agreement and Plan of Merger, dated as of September 20, 2020, among Illumina, Inc., SDG Ops, Inc., SDG Ops, LLC and GRAIL, Inc.</w:t>
              </w:r>
            </w:hyperlink>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18"/>
                <w:szCs w:val="18"/>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Amendment to the Agreement and Plan of Merger, dated as of September 20, 2020, among Illumina, Inc., SDG Ops, Inc., SDG Ops,</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60" w:type="dxa"/>
            <w:vAlign w:val="bottom"/>
            <w:tcBorders>
              <w:top w:val="single" w:sz="8" w:color="0000EE"/>
            </w:tcBorders>
            <w:gridSpan w:val="27"/>
          </w:tcPr>
          <w:p>
            <w:pPr>
              <w:spacing w:after="0" w:line="171"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 xml:space="preserve">LLC and GRAIL, Inc., dated as of February 4, 2021 </w:t>
              </w:r>
              <w:r>
                <w:rPr>
                  <w:rFonts w:ascii="Times New Roman" w:cs="Times New Roman" w:eastAsia="Times New Roman" w:hAnsi="Times New Roman"/>
                  <w:sz w:val="16"/>
                  <w:szCs w:val="16"/>
                  <w:color w:val="000000"/>
                </w:rPr>
                <w:t>*</w:t>
              </w:r>
            </w:hyperlink>
          </w:p>
        </w:tc>
        <w:tc>
          <w:tcPr>
            <w:tcW w:w="2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Amended and Restated Supply and Commercialization Agreement, dated as of February 28, 2017, by and between Illumina, Inc. and</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80" w:type="dxa"/>
            <w:vAlign w:val="bottom"/>
            <w:tcBorders>
              <w:top w:val="single" w:sz="8" w:color="0000EE"/>
            </w:tcBorders>
            <w:gridSpan w:val="28"/>
          </w:tcPr>
          <w:p>
            <w:pPr>
              <w:spacing w:after="0" w:line="17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 xml:space="preserve">GRAIL, Inc., as amended on September 27, 2017, August 18, 2021 and on May 18, 2023# </w:t>
              </w:r>
              <w:r>
                <w:rPr>
                  <w:rFonts w:ascii="Times New Roman" w:cs="Times New Roman" w:eastAsia="Times New Roman" w:hAnsi="Times New Roman"/>
                  <w:sz w:val="16"/>
                  <w:szCs w:val="16"/>
                  <w:color w:val="000000"/>
                </w:rPr>
                <w:t>*</w:t>
              </w:r>
            </w:hyperlink>
          </w:p>
        </w:tc>
        <w:tc>
          <w:tcPr>
            <w:tcW w:w="2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0" w:type="dxa"/>
            <w:vAlign w:val="bottom"/>
          </w:tcPr>
          <w:p>
            <w:pPr>
              <w:spacing w:after="0"/>
              <w:rPr>
                <w:sz w:val="19"/>
                <w:szCs w:val="19"/>
                <w:color w:val="auto"/>
              </w:rPr>
            </w:pPr>
          </w:p>
        </w:tc>
        <w:tc>
          <w:tcPr>
            <w:tcW w:w="8680" w:type="dxa"/>
            <w:vAlign w:val="bottom"/>
            <w:tcBorders>
              <w:bottom w:val="single" w:sz="8" w:color="0000EE"/>
            </w:tcBorders>
            <w:gridSpan w:val="32"/>
          </w:tcPr>
          <w:p>
            <w:pPr>
              <w:spacing w:after="0"/>
              <w:rPr>
                <w:rFonts w:ascii="Times New Roman" w:cs="Times New Roman" w:eastAsia="Times New Roman" w:hAnsi="Times New Roman"/>
                <w:sz w:val="16"/>
                <w:szCs w:val="16"/>
                <w:color w:val="0000EE"/>
                <w:w w:val="99"/>
              </w:rPr>
            </w:pPr>
            <w:hyperlink r:id="rId31">
              <w:r>
                <w:rPr>
                  <w:rFonts w:ascii="Times New Roman" w:cs="Times New Roman" w:eastAsia="Times New Roman" w:hAnsi="Times New Roman"/>
                  <w:sz w:val="16"/>
                  <w:szCs w:val="16"/>
                  <w:color w:val="0000EE"/>
                  <w:w w:val="99"/>
                </w:rPr>
                <w:t>Form of Fourth Amendment to the Amended and Restated Supply and Commercialization Agreement by and between Illumina, Inc. and</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3"/>
          </w:tcPr>
          <w:p>
            <w:pPr>
              <w:spacing w:after="0" w:line="171" w:lineRule="exact"/>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 xml:space="preserve">GRAIL, LLC# </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19"/>
                <w:szCs w:val="19"/>
                <w:color w:val="auto"/>
              </w:rPr>
            </w:pPr>
          </w:p>
        </w:tc>
        <w:tc>
          <w:tcPr>
            <w:tcW w:w="246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w w:val="98"/>
              </w:rPr>
            </w:pPr>
            <w:hyperlink r:id="rId32">
              <w:r>
                <w:rPr>
                  <w:rFonts w:ascii="Times New Roman" w:cs="Times New Roman" w:eastAsia="Times New Roman" w:hAnsi="Times New Roman"/>
                  <w:sz w:val="16"/>
                  <w:szCs w:val="16"/>
                  <w:color w:val="0000EE"/>
                  <w:w w:val="98"/>
                </w:rPr>
                <w:t>Form of 2024 Incentive Award Plan+*</w:t>
              </w:r>
            </w:hyperlink>
          </w:p>
        </w:tc>
        <w:tc>
          <w:tcPr>
            <w:tcW w:w="628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Pr>
          <w:p>
            <w:pPr>
              <w:spacing w:after="0"/>
              <w:rPr>
                <w:sz w:val="19"/>
                <w:szCs w:val="19"/>
                <w:color w:val="auto"/>
              </w:rPr>
            </w:pPr>
          </w:p>
        </w:tc>
        <w:tc>
          <w:tcPr>
            <w:tcW w:w="28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w w:val="98"/>
              </w:rPr>
            </w:pPr>
            <w:hyperlink r:id="rId33">
              <w:r>
                <w:rPr>
                  <w:rFonts w:ascii="Times New Roman" w:cs="Times New Roman" w:eastAsia="Times New Roman" w:hAnsi="Times New Roman"/>
                  <w:sz w:val="16"/>
                  <w:szCs w:val="16"/>
                  <w:color w:val="0000EE"/>
                  <w:w w:val="98"/>
                </w:rPr>
                <w:t>Form of Restricted Stock Unit Agreement+*</w:t>
              </w:r>
            </w:hyperlink>
          </w:p>
        </w:tc>
        <w:tc>
          <w:tcPr>
            <w:tcW w:w="590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80" w:type="dxa"/>
            <w:vAlign w:val="bottom"/>
          </w:tcPr>
          <w:p>
            <w:pPr>
              <w:spacing w:after="0"/>
              <w:rPr>
                <w:sz w:val="23"/>
                <w:szCs w:val="23"/>
                <w:color w:val="auto"/>
              </w:rPr>
            </w:pPr>
          </w:p>
        </w:tc>
        <w:tc>
          <w:tcPr>
            <w:tcW w:w="23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8"/>
              </w:rPr>
            </w:pPr>
            <w:hyperlink r:id="rId34">
              <w:r>
                <w:rPr>
                  <w:rFonts w:ascii="Times New Roman" w:cs="Times New Roman" w:eastAsia="Times New Roman" w:hAnsi="Times New Roman"/>
                  <w:sz w:val="16"/>
                  <w:szCs w:val="16"/>
                  <w:color w:val="0000EE"/>
                  <w:w w:val="98"/>
                </w:rPr>
                <w:t>Form of Stock Option Agreement+*</w:t>
              </w:r>
            </w:hyperlink>
          </w:p>
        </w:tc>
        <w:tc>
          <w:tcPr>
            <w:tcW w:w="6420" w:type="dxa"/>
            <w:vAlign w:val="bottom"/>
            <w:gridSpan w:val="25"/>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Form of Indemnification Agreement between GRAIL, LLC and each of its directors and executive officers+*</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80" w:type="dxa"/>
            <w:vAlign w:val="bottom"/>
          </w:tcPr>
          <w:p>
            <w:pPr>
              <w:spacing w:after="0"/>
              <w:rPr>
                <w:sz w:val="19"/>
                <w:szCs w:val="19"/>
                <w:color w:val="auto"/>
              </w:rPr>
            </w:pPr>
          </w:p>
        </w:tc>
        <w:tc>
          <w:tcPr>
            <w:tcW w:w="6940" w:type="dxa"/>
            <w:vAlign w:val="bottom"/>
            <w:tcBorders>
              <w:top w:val="single" w:sz="8" w:color="0000EE"/>
            </w:tcBorders>
            <w:gridSpan w:val="25"/>
          </w:tcPr>
          <w:p>
            <w:pPr>
              <w:spacing w:after="0"/>
              <w:rPr>
                <w:rFonts w:ascii="Times New Roman" w:cs="Times New Roman" w:eastAsia="Times New Roman" w:hAnsi="Times New Roman"/>
                <w:sz w:val="16"/>
                <w:szCs w:val="16"/>
                <w:color w:val="0000EE"/>
              </w:rPr>
            </w:pPr>
            <w:hyperlink r:id="rId36">
              <w:r>
                <w:rPr>
                  <w:rFonts w:ascii="Times New Roman" w:cs="Times New Roman" w:eastAsia="Times New Roman" w:hAnsi="Times New Roman"/>
                  <w:sz w:val="16"/>
                  <w:szCs w:val="16"/>
                  <w:color w:val="0000EE"/>
                </w:rPr>
                <w:t>Form of 2024 Employee Stock Purchase Plan+*</w:t>
              </w:r>
            </w:hyperlink>
          </w:p>
        </w:tc>
        <w:tc>
          <w:tcPr>
            <w:tcW w:w="18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Pr>
          <w:p>
            <w:pPr>
              <w:spacing w:after="0"/>
              <w:rPr>
                <w:sz w:val="23"/>
                <w:szCs w:val="23"/>
                <w:color w:val="auto"/>
              </w:rPr>
            </w:pPr>
          </w:p>
        </w:tc>
        <w:tc>
          <w:tcPr>
            <w:tcW w:w="402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8"/>
              </w:rPr>
            </w:pPr>
            <w:hyperlink r:id="rId37">
              <w:r>
                <w:rPr>
                  <w:rFonts w:ascii="Times New Roman" w:cs="Times New Roman" w:eastAsia="Times New Roman" w:hAnsi="Times New Roman"/>
                  <w:sz w:val="16"/>
                  <w:szCs w:val="16"/>
                  <w:color w:val="0000EE"/>
                  <w:w w:val="98"/>
                </w:rPr>
                <w:t>Form of Cash-Based Equity Appreciation Award Agreement+*</w:t>
              </w:r>
            </w:hyperlink>
          </w:p>
        </w:tc>
        <w:tc>
          <w:tcPr>
            <w:tcW w:w="4720" w:type="dxa"/>
            <w:vAlign w:val="bottom"/>
            <w:gridSpan w:val="19"/>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80" w:type="dxa"/>
            <w:vAlign w:val="bottom"/>
          </w:tcPr>
          <w:p>
            <w:pPr>
              <w:spacing w:after="0"/>
              <w:rPr>
                <w:sz w:val="19"/>
                <w:szCs w:val="19"/>
                <w:color w:val="auto"/>
              </w:rPr>
            </w:pPr>
          </w:p>
        </w:tc>
        <w:tc>
          <w:tcPr>
            <w:tcW w:w="61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8"/>
              </w:rPr>
            </w:pPr>
            <w:hyperlink r:id="rId38">
              <w:r>
                <w:rPr>
                  <w:rFonts w:ascii="Times New Roman" w:cs="Times New Roman" w:eastAsia="Times New Roman" w:hAnsi="Times New Roman"/>
                  <w:sz w:val="16"/>
                  <w:szCs w:val="16"/>
                  <w:color w:val="0000EE"/>
                  <w:w w:val="98"/>
                </w:rPr>
                <w:t>Employment Offer Letter, between GRAIL, LLC and Robert Ragusa, dated October 14, 2021+*</w:t>
              </w:r>
            </w:hyperlink>
          </w:p>
        </w:tc>
        <w:tc>
          <w:tcPr>
            <w:tcW w:w="26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80" w:type="dxa"/>
            <w:vAlign w:val="bottom"/>
          </w:tcPr>
          <w:p>
            <w:pPr>
              <w:spacing w:after="0"/>
              <w:rPr>
                <w:sz w:val="19"/>
                <w:szCs w:val="19"/>
                <w:color w:val="auto"/>
              </w:rPr>
            </w:pPr>
          </w:p>
        </w:tc>
        <w:tc>
          <w:tcPr>
            <w:tcW w:w="520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8"/>
              </w:rPr>
            </w:pPr>
            <w:hyperlink r:id="rId39">
              <w:r>
                <w:rPr>
                  <w:rFonts w:ascii="Times New Roman" w:cs="Times New Roman" w:eastAsia="Times New Roman" w:hAnsi="Times New Roman"/>
                  <w:sz w:val="16"/>
                  <w:szCs w:val="16"/>
                  <w:color w:val="0000EE"/>
                  <w:w w:val="98"/>
                </w:rPr>
                <w:t>Letter Agreement, between GRAIL, Inc. and Aaron Freidin, dated July 5, 2018+*</w:t>
              </w:r>
            </w:hyperlink>
          </w:p>
        </w:tc>
        <w:tc>
          <w:tcPr>
            <w:tcW w:w="35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tcPr>
          <w:p>
            <w:pPr>
              <w:spacing w:after="0"/>
              <w:rPr>
                <w:sz w:val="19"/>
                <w:szCs w:val="19"/>
                <w:color w:val="auto"/>
              </w:rPr>
            </w:pPr>
          </w:p>
        </w:tc>
        <w:tc>
          <w:tcPr>
            <w:tcW w:w="566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8"/>
              </w:rPr>
            </w:pPr>
            <w:hyperlink r:id="rId40">
              <w:r>
                <w:rPr>
                  <w:rFonts w:ascii="Times New Roman" w:cs="Times New Roman" w:eastAsia="Times New Roman" w:hAnsi="Times New Roman"/>
                  <w:sz w:val="16"/>
                  <w:szCs w:val="16"/>
                  <w:color w:val="0000EE"/>
                  <w:w w:val="98"/>
                </w:rPr>
                <w:t>Employment Offer Letter, between GRAIL, Inc. and Josh Ofman, dated May 13, 2019+*</w:t>
              </w:r>
            </w:hyperlink>
          </w:p>
        </w:tc>
        <w:tc>
          <w:tcPr>
            <w:tcW w:w="308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80" w:type="dxa"/>
            <w:vAlign w:val="bottom"/>
          </w:tcPr>
          <w:p>
            <w:pPr>
              <w:spacing w:after="0"/>
              <w:rPr>
                <w:sz w:val="19"/>
                <w:szCs w:val="19"/>
                <w:color w:val="auto"/>
              </w:rPr>
            </w:pPr>
          </w:p>
        </w:tc>
        <w:tc>
          <w:tcPr>
            <w:tcW w:w="854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w w:val="99"/>
              </w:rPr>
            </w:pPr>
            <w:hyperlink r:id="rId41">
              <w:r>
                <w:rPr>
                  <w:rFonts w:ascii="Times New Roman" w:cs="Times New Roman" w:eastAsia="Times New Roman" w:hAnsi="Times New Roman"/>
                  <w:sz w:val="16"/>
                  <w:szCs w:val="16"/>
                  <w:color w:val="0000EE"/>
                  <w:w w:val="99"/>
                </w:rPr>
                <w:t>License Agreement by and between The Chinese University of Hong Kong and Cirina Limited (No. TC1510005), dated as of April 7,</w:t>
              </w:r>
            </w:hyperlink>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3"/>
          </w:tcPr>
          <w:p>
            <w:pPr>
              <w:spacing w:after="0" w:line="171" w:lineRule="exact"/>
              <w:rPr>
                <w:rFonts w:ascii="Times New Roman" w:cs="Times New Roman" w:eastAsia="Times New Roman" w:hAnsi="Times New Roman"/>
                <w:sz w:val="16"/>
                <w:szCs w:val="16"/>
                <w:color w:val="0000EE"/>
              </w:rPr>
            </w:pPr>
            <w:hyperlink r:id="rId41">
              <w:r>
                <w:rPr>
                  <w:rFonts w:ascii="Times New Roman" w:cs="Times New Roman" w:eastAsia="Times New Roman" w:hAnsi="Times New Roman"/>
                  <w:sz w:val="16"/>
                  <w:szCs w:val="16"/>
                  <w:color w:val="0000EE"/>
                </w:rPr>
                <w:t>2016, as amended May 29,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19"/>
                <w:szCs w:val="19"/>
                <w:color w:val="auto"/>
              </w:rPr>
            </w:pPr>
          </w:p>
        </w:tc>
        <w:tc>
          <w:tcPr>
            <w:tcW w:w="854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w w:val="99"/>
              </w:rPr>
            </w:pPr>
            <w:hyperlink r:id="rId42">
              <w:r>
                <w:rPr>
                  <w:rFonts w:ascii="Times New Roman" w:cs="Times New Roman" w:eastAsia="Times New Roman" w:hAnsi="Times New Roman"/>
                  <w:sz w:val="16"/>
                  <w:szCs w:val="16"/>
                  <w:color w:val="0000EE"/>
                  <w:w w:val="99"/>
                </w:rPr>
                <w:t>License Agreement by and between The Chinese University of Hong Kong and Cirina Limited (No. TC1510006), dated as of April 7,</w:t>
              </w:r>
            </w:hyperlink>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3"/>
          </w:tcPr>
          <w:p>
            <w:pPr>
              <w:spacing w:after="0" w:line="171" w:lineRule="exact"/>
              <w:rPr>
                <w:rFonts w:ascii="Times New Roman" w:cs="Times New Roman" w:eastAsia="Times New Roman" w:hAnsi="Times New Roman"/>
                <w:sz w:val="16"/>
                <w:szCs w:val="16"/>
                <w:color w:val="0000EE"/>
              </w:rPr>
            </w:pPr>
            <w:hyperlink r:id="rId42">
              <w:r>
                <w:rPr>
                  <w:rFonts w:ascii="Times New Roman" w:cs="Times New Roman" w:eastAsia="Times New Roman" w:hAnsi="Times New Roman"/>
                  <w:sz w:val="16"/>
                  <w:szCs w:val="16"/>
                  <w:color w:val="0000EE"/>
                </w:rPr>
                <w:t>2016, as amended May 29,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43">
              <w:r>
                <w:rPr>
                  <w:rFonts w:ascii="Times New Roman" w:cs="Times New Roman" w:eastAsia="Times New Roman" w:hAnsi="Times New Roman"/>
                  <w:sz w:val="16"/>
                  <w:szCs w:val="16"/>
                  <w:color w:val="0000EE"/>
                </w:rPr>
                <w:t>License Agreement by and between The Chinese University of Hong Kong and Cirina Limited (No. TC1711655), dated as of May 29,</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top w:val="single" w:sz="8" w:color="0000EE"/>
              <w:bottom w:val="single" w:sz="8" w:color="0000EE"/>
            </w:tcBorders>
            <w:gridSpan w:val="2"/>
          </w:tcPr>
          <w:p>
            <w:pPr>
              <w:spacing w:after="0" w:line="171" w:lineRule="exact"/>
              <w:rPr>
                <w:rFonts w:ascii="Times New Roman" w:cs="Times New Roman" w:eastAsia="Times New Roman" w:hAnsi="Times New Roman"/>
                <w:sz w:val="16"/>
                <w:szCs w:val="16"/>
                <w:color w:val="0000EE"/>
                <w:w w:val="95"/>
              </w:rPr>
            </w:pPr>
            <w:hyperlink r:id="rId43">
              <w:r>
                <w:rPr>
                  <w:rFonts w:ascii="Times New Roman" w:cs="Times New Roman" w:eastAsia="Times New Roman" w:hAnsi="Times New Roman"/>
                  <w:sz w:val="16"/>
                  <w:szCs w:val="16"/>
                  <w:color w:val="0000EE"/>
                  <w:w w:val="95"/>
                </w:rPr>
                <w:t>2017#*</w:t>
              </w:r>
            </w:hyperlink>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License Agreement by and between The Chinese University of Hong Kong and Cirina Limited (No. TC1711656), dated as of May 29,</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top w:val="single" w:sz="8" w:color="0000EE"/>
              <w:bottom w:val="single" w:sz="8" w:color="0000EE"/>
            </w:tcBorders>
            <w:gridSpan w:val="2"/>
          </w:tcPr>
          <w:p>
            <w:pPr>
              <w:spacing w:after="0" w:line="171" w:lineRule="exact"/>
              <w:rPr>
                <w:rFonts w:ascii="Times New Roman" w:cs="Times New Roman" w:eastAsia="Times New Roman" w:hAnsi="Times New Roman"/>
                <w:sz w:val="16"/>
                <w:szCs w:val="16"/>
                <w:color w:val="0000EE"/>
                <w:w w:val="95"/>
              </w:rPr>
            </w:pPr>
            <w:hyperlink r:id="rId44">
              <w:r>
                <w:rPr>
                  <w:rFonts w:ascii="Times New Roman" w:cs="Times New Roman" w:eastAsia="Times New Roman" w:hAnsi="Times New Roman"/>
                  <w:sz w:val="16"/>
                  <w:szCs w:val="16"/>
                  <w:color w:val="0000EE"/>
                  <w:w w:val="95"/>
                </w:rPr>
                <w:t>2017#*</w:t>
              </w:r>
            </w:hyperlink>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45">
              <w:r>
                <w:rPr>
                  <w:rFonts w:ascii="Times New Roman" w:cs="Times New Roman" w:eastAsia="Times New Roman" w:hAnsi="Times New Roman"/>
                  <w:sz w:val="16"/>
                  <w:szCs w:val="16"/>
                  <w:color w:val="0000EE"/>
                </w:rPr>
                <w:t>License Agreement by and between The Chinese University of Hong Kong and Cirina Limited (No. TC1711657), dated as of May 29,</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top w:val="single" w:sz="8" w:color="0000EE"/>
              <w:bottom w:val="single" w:sz="8" w:color="0000EE"/>
            </w:tcBorders>
            <w:gridSpan w:val="2"/>
          </w:tcPr>
          <w:p>
            <w:pPr>
              <w:spacing w:after="0" w:line="171" w:lineRule="exact"/>
              <w:rPr>
                <w:rFonts w:ascii="Times New Roman" w:cs="Times New Roman" w:eastAsia="Times New Roman" w:hAnsi="Times New Roman"/>
                <w:sz w:val="16"/>
                <w:szCs w:val="16"/>
                <w:color w:val="0000EE"/>
                <w:w w:val="95"/>
              </w:rPr>
            </w:pPr>
            <w:hyperlink r:id="rId45">
              <w:r>
                <w:rPr>
                  <w:rFonts w:ascii="Times New Roman" w:cs="Times New Roman" w:eastAsia="Times New Roman" w:hAnsi="Times New Roman"/>
                  <w:sz w:val="16"/>
                  <w:szCs w:val="16"/>
                  <w:color w:val="0000EE"/>
                  <w:w w:val="95"/>
                </w:rPr>
                <w:t>2017#*</w:t>
              </w:r>
            </w:hyperlink>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46">
              <w:r>
                <w:rPr>
                  <w:rFonts w:ascii="Times New Roman" w:cs="Times New Roman" w:eastAsia="Times New Roman" w:hAnsi="Times New Roman"/>
                  <w:sz w:val="16"/>
                  <w:szCs w:val="16"/>
                  <w:color w:val="0000EE"/>
                </w:rPr>
                <w:t>Lease by and between MENLO PREHC I, LLC, MENLO PREPI I, LLC, TPI Investors 9, LLC and GRAIL, Inc., dated as of May 5,</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71" w:lineRule="exact"/>
              <w:rPr>
                <w:rFonts w:ascii="Times New Roman" w:cs="Times New Roman" w:eastAsia="Times New Roman" w:hAnsi="Times New Roman"/>
                <w:sz w:val="16"/>
                <w:szCs w:val="16"/>
                <w:color w:val="0000EE"/>
                <w:w w:val="94"/>
              </w:rPr>
            </w:pPr>
            <w:hyperlink r:id="rId46">
              <w:r>
                <w:rPr>
                  <w:rFonts w:ascii="Times New Roman" w:cs="Times New Roman" w:eastAsia="Times New Roman" w:hAnsi="Times New Roman"/>
                  <w:sz w:val="16"/>
                  <w:szCs w:val="16"/>
                  <w:color w:val="0000EE"/>
                  <w:w w:val="94"/>
                </w:rPr>
                <w:t>2016*</w:t>
              </w:r>
            </w:hyperlink>
          </w:p>
        </w:tc>
        <w:tc>
          <w:tcPr>
            <w:tcW w:w="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80" w:type="dxa"/>
            <w:vAlign w:val="bottom"/>
          </w:tcPr>
          <w:p>
            <w:pPr>
              <w:spacing w:after="0"/>
              <w:rPr>
                <w:sz w:val="19"/>
                <w:szCs w:val="19"/>
                <w:color w:val="auto"/>
              </w:rPr>
            </w:pPr>
          </w:p>
        </w:tc>
        <w:tc>
          <w:tcPr>
            <w:tcW w:w="8740" w:type="dxa"/>
            <w:vAlign w:val="bottom"/>
            <w:tcBorders>
              <w:bottom w:val="single" w:sz="8" w:color="0000EE"/>
            </w:tcBorders>
            <w:gridSpan w:val="33"/>
          </w:tcPr>
          <w:p>
            <w:pPr>
              <w:spacing w:after="0"/>
              <w:rPr>
                <w:rFonts w:ascii="Times New Roman" w:cs="Times New Roman" w:eastAsia="Times New Roman" w:hAnsi="Times New Roman"/>
                <w:sz w:val="16"/>
                <w:szCs w:val="16"/>
                <w:color w:val="0000EE"/>
                <w:w w:val="99"/>
              </w:rPr>
            </w:pPr>
            <w:hyperlink r:id="rId47">
              <w:r>
                <w:rPr>
                  <w:rFonts w:ascii="Times New Roman" w:cs="Times New Roman" w:eastAsia="Times New Roman" w:hAnsi="Times New Roman"/>
                  <w:sz w:val="16"/>
                  <w:szCs w:val="16"/>
                  <w:color w:val="0000EE"/>
                  <w:w w:val="99"/>
                </w:rPr>
                <w:t>First Amendment to Lease among MENLO PREHC I, LLC, MENLO PREPI I, LLC, TPI Investors 9, LLC and GRAIL, Inc., dated as of</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bottom w:val="single" w:sz="8" w:color="0000EE"/>
            </w:tcBorders>
            <w:gridSpan w:val="3"/>
          </w:tcPr>
          <w:p>
            <w:pPr>
              <w:spacing w:after="0" w:line="171" w:lineRule="exact"/>
              <w:rPr>
                <w:rFonts w:ascii="Times New Roman" w:cs="Times New Roman" w:eastAsia="Times New Roman" w:hAnsi="Times New Roman"/>
                <w:sz w:val="16"/>
                <w:szCs w:val="16"/>
                <w:color w:val="0000EE"/>
                <w:w w:val="98"/>
              </w:rPr>
            </w:pPr>
            <w:hyperlink r:id="rId47">
              <w:r>
                <w:rPr>
                  <w:rFonts w:ascii="Times New Roman" w:cs="Times New Roman" w:eastAsia="Times New Roman" w:hAnsi="Times New Roman"/>
                  <w:sz w:val="16"/>
                  <w:szCs w:val="16"/>
                  <w:color w:val="0000EE"/>
                  <w:w w:val="98"/>
                </w:rPr>
                <w:t>June 8, 2017*</w:t>
              </w:r>
            </w:hyperlink>
          </w:p>
        </w:tc>
        <w:tc>
          <w:tcPr>
            <w:tcW w:w="784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80" w:type="dxa"/>
            <w:vAlign w:val="bottom"/>
          </w:tcPr>
          <w:p>
            <w:pPr>
              <w:spacing w:after="0"/>
              <w:rPr>
                <w:sz w:val="19"/>
                <w:szCs w:val="19"/>
                <w:color w:val="auto"/>
              </w:rPr>
            </w:pPr>
          </w:p>
        </w:tc>
        <w:tc>
          <w:tcPr>
            <w:tcW w:w="654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8"/>
              </w:rPr>
            </w:pPr>
            <w:hyperlink r:id="rId48">
              <w:r>
                <w:rPr>
                  <w:rFonts w:ascii="Times New Roman" w:cs="Times New Roman" w:eastAsia="Times New Roman" w:hAnsi="Times New Roman"/>
                  <w:sz w:val="16"/>
                  <w:szCs w:val="16"/>
                  <w:color w:val="0000EE"/>
                  <w:w w:val="98"/>
                </w:rPr>
                <w:t>Lease Agreement by and between PP Office Owner 1, L.P. and GRAIL, Inc., dated as of June 4, 2020*</w:t>
              </w:r>
            </w:hyperlink>
          </w:p>
        </w:tc>
        <w:tc>
          <w:tcPr>
            <w:tcW w:w="22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80" w:type="dxa"/>
            <w:vAlign w:val="bottom"/>
          </w:tcPr>
          <w:p>
            <w:pPr>
              <w:spacing w:after="0"/>
              <w:rPr>
                <w:sz w:val="19"/>
                <w:szCs w:val="19"/>
                <w:color w:val="auto"/>
              </w:rPr>
            </w:pPr>
          </w:p>
        </w:tc>
        <w:tc>
          <w:tcPr>
            <w:tcW w:w="8740" w:type="dxa"/>
            <w:vAlign w:val="bottom"/>
            <w:gridSpan w:val="33"/>
          </w:tcPr>
          <w:p>
            <w:pPr>
              <w:spacing w:after="0"/>
              <w:rPr>
                <w:rFonts w:ascii="Times New Roman" w:cs="Times New Roman" w:eastAsia="Times New Roman" w:hAnsi="Times New Roman"/>
                <w:sz w:val="16"/>
                <w:szCs w:val="16"/>
                <w:color w:val="0000EE"/>
              </w:rPr>
            </w:pPr>
            <w:hyperlink r:id="rId49">
              <w:r>
                <w:rPr>
                  <w:rFonts w:ascii="Times New Roman" w:cs="Times New Roman" w:eastAsia="Times New Roman" w:hAnsi="Times New Roman"/>
                  <w:sz w:val="16"/>
                  <w:szCs w:val="16"/>
                  <w:color w:val="0000EE"/>
                </w:rPr>
                <w:t xml:space="preserve">List of subsidiaries of GRAIL,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19"/>
                <w:szCs w:val="19"/>
                <w:color w:val="auto"/>
              </w:rPr>
            </w:pPr>
          </w:p>
        </w:tc>
        <w:tc>
          <w:tcPr>
            <w:tcW w:w="6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w w:val="98"/>
              </w:rPr>
              <w:t>Preliminary Information Statement of GRAIL, LLC, subject to completion, dated June 3, 2024</w:t>
            </w:r>
          </w:p>
        </w:tc>
        <w:tc>
          <w:tcPr>
            <w:tcW w:w="27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680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380" w:hanging="371"/>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720"/>
          </w:cols>
          <w:pgMar w:left="1080" w:top="254" w:right="1099" w:bottom="1440" w:gutter="0" w:footer="0" w:header="0"/>
        </w:sectPr>
      </w:pPr>
    </w:p>
    <w:bookmarkStart w:id="5" w:name="page6"/>
    <w:bookmarkEnd w:id="5"/>
    <w:p>
      <w:pPr>
        <w:ind w:left="371" w:hanging="371"/>
        <w:spacing w:after="0"/>
        <w:tabs>
          <w:tab w:leader="none" w:pos="37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Indicates management contract or compensatory plan.</w:t>
      </w:r>
    </w:p>
    <w:p>
      <w:pPr>
        <w:spacing w:after="0" w:line="23" w:lineRule="exact"/>
        <w:rPr>
          <w:sz w:val="20"/>
          <w:szCs w:val="20"/>
          <w:color w:val="auto"/>
        </w:rPr>
      </w:pPr>
    </w:p>
    <w:p>
      <w:pPr>
        <w:ind w:left="371" w:right="199" w:hanging="371"/>
        <w:spacing w:after="0" w:line="289" w:lineRule="auto"/>
        <w:tabs>
          <w:tab w:leader="none" w:pos="371"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601(b)(10) of Regulation S-K, portions of this exhibit have been omitted as the registrant has determined that the omitted information is (i) not material and (ii) the type of information that the registrant customarily and actually treats as private or confidential.</w:t>
      </w:r>
    </w:p>
    <w:p>
      <w:pPr>
        <w:sectPr>
          <w:pgSz w:w="11900" w:h="16838" w:orient="portrait"/>
          <w:cols w:equalWidth="0" w:num="1">
            <w:col w:w="9370"/>
          </w:cols>
          <w:pgMar w:left="1089" w:top="254" w:right="1440"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SIGNATURE</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on Form 10 to be signed on its behalf by the undersigned,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  /s/ Robert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2669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Robert Ragusa</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June 3, 2024</w:t>
      </w:r>
    </w:p>
    <w:p>
      <w:pPr>
        <w:sectPr>
          <w:pgSz w:w="11900" w:h="16838" w:orient="portrait"/>
          <w:cols w:equalWidth="0" w:num="1">
            <w:col w:w="9540"/>
          </w:cols>
          <w:pgMar w:left="1080" w:top="252"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6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49" w:lineRule="exact"/>
        <w:rPr>
          <w:sz w:val="20"/>
          <w:szCs w:val="20"/>
          <w:color w:val="auto"/>
        </w:rPr>
      </w:pPr>
    </w:p>
    <w:p>
      <w:pPr>
        <w:jc w:val="both"/>
        <w:ind w:left="760" w:right="20"/>
        <w:spacing w:after="0" w:line="281" w:lineRule="auto"/>
        <w:rPr>
          <w:sz w:val="20"/>
          <w:szCs w:val="20"/>
          <w:color w:val="auto"/>
        </w:rPr>
      </w:pPr>
      <w:r>
        <w:rPr>
          <w:rFonts w:ascii="Times New Roman" w:cs="Times New Roman" w:eastAsia="Times New Roman" w:hAnsi="Times New Roman"/>
          <w:sz w:val="16"/>
          <w:szCs w:val="16"/>
          <w:b w:val="1"/>
          <w:bCs w:val="1"/>
          <w:color w:val="FF4338"/>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8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FF4338"/>
        </w:rPr>
        <w:t>PRELIMINARY AND SUBJECT TO COMPLETION, DATED JUNE 3, 2024</w:t>
      </w:r>
    </w:p>
    <w:p>
      <w:pPr>
        <w:spacing w:after="0" w:line="1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7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1525 O’Brien Drive</w:t>
      </w:r>
    </w:p>
    <w:p>
      <w:pPr>
        <w:spacing w:after="0" w:line="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Menlo Park, California 94025</w:t>
      </w:r>
    </w:p>
    <w:p>
      <w:pPr>
        <w:spacing w:after="0" w:line="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135255</wp:posOffset>
            </wp:positionV>
            <wp:extent cx="12998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8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Immediately prior to the completion of the spin-off, GRAIL will be converted into a Delaware corporation and will be renamed GRAIL, Inc. To effect the spin-off, Illumina, Inc., or “Illumina,” will 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w:t>
      </w:r>
    </w:p>
    <w:p>
      <w:pPr>
        <w:spacing w:after="0" w:line="70"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 You should consult your own tax advisor as to the tax consequences of the distribution to you, including potential tax consequences under state, local and non-U.S. tax laws.</w:t>
      </w:r>
    </w:p>
    <w:p>
      <w:pPr>
        <w:spacing w:after="0" w:line="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If you are a record holder of Illumina common stock as of the record date, for every six shares of Illumina common stock you hold on that date, you will be entitled to receive one share of GRAIL common stock. Illumina will distribute the shares of GRAIL common stock in 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113 of this Information Statement, if you sell your Illumina common stock in the “regular-way” market after the record date and on or before the distribution date, you also will be selling your right to receive shares of GRAIL common stock in connection with the distribution.</w:t>
      </w:r>
    </w:p>
    <w:p>
      <w:pPr>
        <w:spacing w:after="0" w:line="70"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distribution will be effective as of         , New York City time, on         , 2024. Immediately after the distribution becomes effective, GRAIL will be an independent, publicly traded company.</w:t>
      </w:r>
    </w:p>
    <w:p>
      <w:pPr>
        <w:spacing w:after="0" w:line="48" w:lineRule="exact"/>
        <w:rPr>
          <w:sz w:val="20"/>
          <w:szCs w:val="20"/>
          <w:color w:val="auto"/>
        </w:rPr>
      </w:pPr>
    </w:p>
    <w:p>
      <w:pPr>
        <w:ind w:left="760"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Illumina’s stockholders are not required to vote on or take any other action in connection with the spin-off. We are not asking you for a proxy, and request that you do not send us a proxy. </w:t>
      </w:r>
      <w:r>
        <w:rPr>
          <w:rFonts w:ascii="Times New Roman" w:cs="Times New Roman" w:eastAsia="Times New Roman" w:hAnsi="Times New Roman"/>
          <w:sz w:val="16"/>
          <w:szCs w:val="16"/>
          <w:color w:val="auto"/>
        </w:rPr>
        <w:t>Illumina’s stockholders will not be required to pay any consideration for the shares of GRAIL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they receive in the spin-off, and they will not be required to surrender or exchange their common stock of Illumina or take any other action in connection with the spin-off.</w:t>
      </w:r>
    </w:p>
    <w:p>
      <w:pPr>
        <w:spacing w:after="0" w:line="65"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We are an “emerging growth company” as defined in the Jumpstart Our Business Startups Act of 2012.</w:t>
      </w:r>
    </w:p>
    <w:p>
      <w:pPr>
        <w:spacing w:after="0" w:line="102" w:lineRule="exact"/>
        <w:rPr>
          <w:sz w:val="20"/>
          <w:szCs w:val="20"/>
          <w:color w:val="auto"/>
        </w:rPr>
      </w:pPr>
    </w:p>
    <w:p>
      <w:pPr>
        <w:ind w:left="760" w:right="5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in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31 of this Information Statement.</w:t>
      </w:r>
    </w:p>
    <w:p>
      <w:pPr>
        <w:spacing w:after="0" w:line="45" w:lineRule="exact"/>
        <w:rPr>
          <w:sz w:val="20"/>
          <w:szCs w:val="20"/>
          <w:color w:val="auto"/>
        </w:rPr>
      </w:pPr>
    </w:p>
    <w:p>
      <w:pPr>
        <w:ind w:left="760" w:right="3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This Information Statement is not an offer to sell, or a solicitation of an offer to buy, any securities.</w:t>
      </w:r>
    </w:p>
    <w:p>
      <w:pPr>
        <w:spacing w:after="0" w:line="10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             , 2024.</w:t>
      </w:r>
    </w:p>
    <w:p>
      <w:pPr>
        <w:spacing w:after="0" w:line="104" w:lineRule="exact"/>
        <w:rPr>
          <w:sz w:val="20"/>
          <w:szCs w:val="20"/>
          <w:color w:val="auto"/>
        </w:rPr>
      </w:pPr>
    </w:p>
    <w:p>
      <w:pPr>
        <w:jc w:val="center"/>
        <w:ind w:left="1100" w:right="20"/>
        <w:spacing w:after="0" w:line="278" w:lineRule="auto"/>
        <w:rPr>
          <w:sz w:val="20"/>
          <w:szCs w:val="20"/>
          <w:color w:val="auto"/>
        </w:rPr>
      </w:pPr>
      <w:r>
        <w:rPr>
          <w:rFonts w:ascii="Times New Roman" w:cs="Times New Roman" w:eastAsia="Times New Roman" w:hAnsi="Times New Roman"/>
          <w:sz w:val="16"/>
          <w:szCs w:val="16"/>
          <w:color w:val="auto"/>
        </w:rPr>
        <w:t>This Information Statement will be made publicly available on or about             , 2024. Notice of this Information Statement’s availability will be first sent to Illumina stockholders on or about             , 2024.</w:t>
      </w:r>
    </w:p>
    <w:p>
      <w:pPr>
        <w:sectPr>
          <w:pgSz w:w="11900" w:h="16838" w:orient="portrait"/>
          <w:cols w:equalWidth="0" w:num="1">
            <w:col w:w="10480"/>
          </w:cols>
          <w:pgMar w:left="320" w:top="121"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93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EE"/>
              </w:rPr>
              <w:t>INDUSTRY AND MARKET DATA</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80" w:type="dxa"/>
            <w:vAlign w:val="bottom"/>
            <w:gridSpan w:val="20"/>
            <w:vMerge w:val="continue"/>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TRADEMARKS AND COPYRIGHTS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BASIS OF FINANCIAL PRESENTATION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82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6"/>
              </w:rPr>
              <w:t>SUMMARY</w:t>
            </w:r>
          </w:p>
        </w:tc>
        <w:tc>
          <w:tcPr>
            <w:tcW w:w="1960" w:type="dxa"/>
            <w:vAlign w:val="bottom"/>
            <w:tcBorders>
              <w:top w:val="single" w:sz="8" w:color="0000EE"/>
            </w:tcBorders>
            <w:gridSpan w:val="8"/>
          </w:tcPr>
          <w:p>
            <w:pPr>
              <w:spacing w:after="0"/>
              <w:rPr>
                <w:sz w:val="14"/>
                <w:szCs w:val="14"/>
                <w:color w:val="auto"/>
              </w:rPr>
            </w:pPr>
          </w:p>
        </w:tc>
        <w:tc>
          <w:tcPr>
            <w:tcW w:w="6600" w:type="dxa"/>
            <w:vAlign w:val="bottom"/>
            <w:gridSpan w:val="10"/>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STATEMENT CONCERNING FORWARD-LOOKING STATEMENTS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70"/>
        </w:trPr>
        <w:tc>
          <w:tcPr>
            <w:tcW w:w="570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THE SPIN-OFF</w:t>
            </w:r>
          </w:p>
        </w:tc>
        <w:tc>
          <w:tcPr>
            <w:tcW w:w="3680" w:type="dxa"/>
            <w:vAlign w:val="bottom"/>
            <w:gridSpan w:val="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DIVIDEND POLICY</w:t>
            </w:r>
          </w:p>
        </w:tc>
        <w:tc>
          <w:tcPr>
            <w:tcW w:w="7980" w:type="dxa"/>
            <w:vAlign w:val="bottom"/>
            <w:gridSpan w:val="1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6"/>
              </w:rPr>
              <w:t>CAPITALIZATION</w:t>
            </w:r>
          </w:p>
        </w:tc>
        <w:tc>
          <w:tcPr>
            <w:tcW w:w="8080" w:type="dxa"/>
            <w:vAlign w:val="bottom"/>
            <w:gridSpan w:val="1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SELECTED HISTORICAL FINANCIAL DATA</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tcBorders>
              <w:bottom w:val="single" w:sz="8" w:color="0000EE"/>
            </w:tcBorders>
            <w:gridSpan w:val="18"/>
          </w:tcPr>
          <w:p>
            <w:pPr>
              <w:spacing w:after="0" w:line="171" w:lineRule="exact"/>
              <w:rPr>
                <w:sz w:val="20"/>
                <w:szCs w:val="20"/>
                <w:color w:val="auto"/>
              </w:rPr>
            </w:pPr>
            <w:r>
              <w:rPr>
                <w:rFonts w:ascii="Times New Roman" w:cs="Times New Roman" w:eastAsia="Times New Roman" w:hAnsi="Times New Roman"/>
                <w:sz w:val="16"/>
                <w:szCs w:val="16"/>
                <w:color w:val="0000EE"/>
                <w:w w:val="98"/>
              </w:rPr>
              <w:t>UNAUDITED PRO FORMA CONDENSED CONSOLIDATED FINANCIAL STATEMENTS</w:t>
            </w:r>
          </w:p>
        </w:tc>
        <w:tc>
          <w:tcPr>
            <w:tcW w:w="3300" w:type="dxa"/>
            <w:vAlign w:val="bottom"/>
            <w:gridSpan w:val="2"/>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70"/>
        </w:trPr>
        <w:tc>
          <w:tcPr>
            <w:tcW w:w="76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7"/>
              </w:rPr>
              <w:t>BUSINESS</w:t>
            </w:r>
          </w:p>
        </w:tc>
        <w:tc>
          <w:tcPr>
            <w:tcW w:w="8620" w:type="dxa"/>
            <w:vAlign w:val="bottom"/>
            <w:gridSpan w:val="1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70"/>
        </w:trPr>
        <w:tc>
          <w:tcPr>
            <w:tcW w:w="1160" w:type="dxa"/>
            <w:vAlign w:val="bottom"/>
            <w:tcBorders>
              <w:top w:val="single" w:sz="8" w:color="0000EE"/>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00" w:type="dxa"/>
            <w:vAlign w:val="bottom"/>
            <w:tcBorders>
              <w:top w:val="single" w:sz="8" w:color="0000EE"/>
            </w:tcBorders>
            <w:gridSpan w:val="15"/>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2160" w:type="dxa"/>
            <w:vAlign w:val="bottom"/>
            <w:gridSpan w:val="7"/>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SECURITY OWNERSHIP OF CERTAIN BENEFICIAL OWNERS AND MANAGEMENT</w:t>
            </w:r>
          </w:p>
        </w:tc>
        <w:tc>
          <w:tcPr>
            <w:tcW w:w="3440" w:type="dxa"/>
            <w:vAlign w:val="bottom"/>
            <w:gridSpan w:val="3"/>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CERTAIN RELATIONSHIPS AND RELATED PARTY TRANSACTIONS</w:t>
            </w:r>
          </w:p>
        </w:tc>
        <w:tc>
          <w:tcPr>
            <w:tcW w:w="4540" w:type="dxa"/>
            <w:vAlign w:val="bottom"/>
            <w:gridSpan w:val="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OUR CAPITAL STOCK</w:t>
            </w:r>
          </w:p>
        </w:tc>
        <w:tc>
          <w:tcPr>
            <w:tcW w:w="6460" w:type="dxa"/>
            <w:vAlign w:val="bottom"/>
            <w:gridSpan w:val="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6000" w:type="dxa"/>
            <w:vAlign w:val="bottom"/>
            <w:gridSpan w:val="7"/>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70"/>
        </w:trPr>
        <w:tc>
          <w:tcPr>
            <w:tcW w:w="394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5440" w:type="dxa"/>
            <w:vAlign w:val="bottom"/>
            <w:gridSpan w:val="6"/>
          </w:tcPr>
          <w:p>
            <w:pPr>
              <w:spacing w:after="0"/>
              <w:rPr>
                <w:sz w:val="14"/>
                <w:szCs w:val="14"/>
                <w:color w:val="auto"/>
              </w:rPr>
            </w:pPr>
          </w:p>
        </w:tc>
        <w:tc>
          <w:tcPr>
            <w:tcW w:w="3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INDUSTRY AND MARKET DATA</w:t>
      </w:r>
    </w:p>
    <w:p>
      <w:pPr>
        <w:spacing w:after="0" w:line="199"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w:t>
      </w:r>
    </w:p>
    <w:p>
      <w:pPr>
        <w:spacing w:after="0" w:line="3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199" w:lineRule="exact"/>
        <w:rPr>
          <w:sz w:val="20"/>
          <w:szCs w:val="20"/>
          <w:color w:val="auto"/>
        </w:rPr>
      </w:pPr>
    </w:p>
    <w:p>
      <w:pPr>
        <w:ind w:left="760" w:right="20" w:firstLine="388"/>
        <w:spacing w:after="0" w:line="234" w:lineRule="auto"/>
        <w:rPr>
          <w:sz w:val="20"/>
          <w:szCs w:val="20"/>
          <w:color w:val="auto"/>
        </w:rPr>
      </w:pPr>
      <w:r>
        <w:rPr>
          <w:rFonts w:ascii="Times New Roman" w:cs="Times New Roman" w:eastAsia="Times New Roman" w:hAnsi="Times New Roman"/>
          <w:sz w:val="16"/>
          <w:szCs w:val="16"/>
          <w:color w:val="auto"/>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 names, trademarks, service marks, and copyrights.</w:t>
      </w: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BASIS OF FINANCIAL PRESENTATION</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acquired the common stock of GRAIL that it did not own and completed its acquisition of GRAIL on August 18, 2021. Our consolidated balance sheets as of December 31, 2023 and January 1, 2023, and our consolidated statements of operations, comprehensive loss, and cash flows for the period from January 2, 2022 to January 1, 2023, the period from January 2, 2023 to December 31, 2023, and the period from August 19, 2021 to January 2, 2022 (the “Successor”) reflect the new basis of accounting established in connection with the acquisition of GRAIL on August 18, 2021 and for the period from January 1, 2021 to August 18, 2021 (the “Predecessor”) reflect the predecessor activity of GRAIL prior to the acquisition. A black line distinguishes the periods before and after the acquisition of GRAIL because these periods are not comparable.</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w:t>
      </w:r>
    </w:p>
    <w:p>
      <w:pPr>
        <w:spacing w:after="0" w:line="73" w:lineRule="exact"/>
        <w:rPr>
          <w:sz w:val="20"/>
          <w:szCs w:val="20"/>
          <w:color w:val="auto"/>
        </w:rPr>
      </w:pPr>
    </w:p>
    <w:p>
      <w:pPr>
        <w:ind w:left="1620" w:hanging="375"/>
        <w:spacing w:after="0"/>
        <w:tabs>
          <w:tab w:leader="none" w:pos="1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2023 refer to the fiscal year ended December 31, 2023, which was 52 weeks;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2022 refer to the fiscal year ended January 1, 2023, which was 52 weeks; and</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2021 refer either to the Predecessor period from January 1, 2021 to August 18, 2021 (the “2021 predecessor period”), or the Successor period from August 19, 2021 to January 2, 2022 (the “2021 successor period”).</w:t>
      </w:r>
    </w:p>
    <w:p>
      <w:pPr>
        <w:spacing w:after="0" w:line="14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460"/>
          </w:cols>
          <w:pgMar w:left="320" w:top="419" w:right="11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2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6171565" cy="532511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20" w:right="160" w:firstLine="375"/>
        <w:spacing w:after="0" w:line="277" w:lineRule="auto"/>
        <w:rPr>
          <w:sz w:val="20"/>
          <w:szCs w:val="20"/>
          <w:color w:val="auto"/>
        </w:rPr>
      </w:pPr>
      <w:r>
        <w:rPr>
          <w:rFonts w:ascii="Times New Roman" w:cs="Times New Roman" w:eastAsia="Times New Roman" w:hAnsi="Times New Roman"/>
          <w:sz w:val="15"/>
          <w:szCs w:val="15"/>
          <w:color w:val="auto"/>
        </w:rPr>
        <w:t>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Operations” beginning on pages 31 and 186, respectively, of this Information Statement, and our historical consolidated financial statements and the notes to those financial statements appearing elsewhere in this Information Statement.</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 this Information Statement, unless the context otherwise requires:</w:t>
      </w:r>
    </w:p>
    <w:p>
      <w:pPr>
        <w:spacing w:after="0" w:line="114" w:lineRule="exact"/>
        <w:rPr>
          <w:sz w:val="20"/>
          <w:szCs w:val="20"/>
          <w:color w:val="auto"/>
        </w:rPr>
      </w:pPr>
    </w:p>
    <w:p>
      <w:pPr>
        <w:ind w:left="1760" w:right="80" w:hanging="366"/>
        <w:spacing w:after="0" w:line="278" w:lineRule="auto"/>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“we,” “our,” and “us” refer to GRAIL, LLC and its consolidated subsidiaries prior to the effective time of its conversion to a corporation and to GRAIL, Inc. and its consolidated subsidiaries on and after the effective time of such conversion;</w:t>
      </w:r>
    </w:p>
    <w:p>
      <w:pPr>
        <w:spacing w:after="0" w:line="61" w:lineRule="exact"/>
        <w:rPr>
          <w:rFonts w:ascii="Times New Roman" w:cs="Times New Roman" w:eastAsia="Times New Roman" w:hAnsi="Times New Roman"/>
          <w:sz w:val="16"/>
          <w:szCs w:val="16"/>
          <w:color w:val="auto"/>
        </w:rPr>
      </w:pPr>
    </w:p>
    <w:p>
      <w:pPr>
        <w:ind w:left="1760" w:right="460" w:hanging="366"/>
        <w:spacing w:after="0" w:line="278" w:lineRule="auto"/>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refers to Illumina, Inc. and its consolidated subsidiaries other than, for all periods following the Spin-Off (as defined below), GRAIL;</w:t>
      </w:r>
    </w:p>
    <w:p>
      <w:pPr>
        <w:spacing w:after="0" w:line="61"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refers to the transaction in which Illumina will distribute to its stockholders at least 85.5% of the shares of our common stock owned by Illumina;</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Date” refers to the date on which the Distribution occurs; and</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refers to the transaction in which we will be separated from Illumina.</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920" w:firstLine="375"/>
        <w:spacing w:after="0" w:line="268" w:lineRule="auto"/>
        <w:rPr>
          <w:sz w:val="20"/>
          <w:szCs w:val="20"/>
          <w:color w:val="auto"/>
        </w:rPr>
      </w:pPr>
      <w:r>
        <w:rPr>
          <w:rFonts w:ascii="Times New Roman" w:cs="Times New Roman" w:eastAsia="Times New Roman" w:hAnsi="Times New Roman"/>
          <w:sz w:val="15"/>
          <w:szCs w:val="15"/>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U.S. Food and Drug Administration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2" w:lineRule="exact"/>
        <w:rPr>
          <w:sz w:val="20"/>
          <w:szCs w:val="20"/>
          <w:color w:val="auto"/>
        </w:rPr>
      </w:pPr>
    </w:p>
    <w:p>
      <w:pPr>
        <w:ind w:left="920" w:right="40" w:firstLine="375"/>
        <w:spacing w:after="0" w:line="258" w:lineRule="auto"/>
        <w:rPr>
          <w:sz w:val="20"/>
          <w:szCs w:val="20"/>
          <w:color w:val="auto"/>
        </w:rPr>
      </w:pPr>
      <w:r>
        <w:rPr>
          <w:rFonts w:ascii="Times New Roman" w:cs="Times New Roman" w:eastAsia="Times New Roman" w:hAnsi="Times New Roman"/>
          <w:sz w:val="16"/>
          <w:szCs w:val="16"/>
          <w:color w:val="auto"/>
        </w:rPr>
        <w:t>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20"/>
          </w:cols>
          <w:pgMar w:left="320" w:top="419"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24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6171565" cy="492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5"/>
          <w:szCs w:val="15"/>
          <w:color w:val="auto"/>
        </w:rPr>
        <w:t xml:space="preserve">(“USPSTF”),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5"/>
          <w:szCs w:val="15"/>
          <w:i w:val="1"/>
          <w:iCs w:val="1"/>
          <w:color w:val="auto"/>
        </w:rPr>
        <w:t>Cancer Facts &amp; Figures 2024</w:t>
      </w:r>
      <w:r>
        <w:rPr>
          <w:rFonts w:ascii="Times New Roman" w:cs="Times New Roman" w:eastAsia="Times New Roman" w:hAnsi="Times New Roman"/>
          <w:sz w:val="15"/>
          <w:szCs w:val="15"/>
          <w:color w:val="auto"/>
        </w:rPr>
        <w:t>, cancers for which there are grade A and B recommendations published by the USPSTF (breast, cervical, colorectal,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5"/>
          <w:szCs w:val="15"/>
          <w:i w:val="1"/>
          <w:iCs w:val="1"/>
          <w:color w:val="auto"/>
        </w:rPr>
        <w:t>Cancer Epidemiology, Biomarkers &amp; Prevention</w:t>
      </w:r>
      <w:r>
        <w:rPr>
          <w:rFonts w:ascii="Times New Roman" w:cs="Times New Roman" w:eastAsia="Times New Roman" w:hAnsi="Times New Roman"/>
          <w:sz w:val="15"/>
          <w:szCs w:val="15"/>
          <w:color w:val="auto"/>
        </w:rPr>
        <w:t xml:space="preserve"> (Cancer Epidemiol Biomarkers Prev. 2021; 30:460–8) that estimated the potential impact of MCED testing on mortality reduction based on test performance in our CCGA-2 study and using 2006 to 2015 data from the Surveillance, Epidemiology, and End Results Program of the U.S. National Cancer Institute (“SEER”) for ages</w:t>
      </w:r>
    </w:p>
    <w:p>
      <w:pPr>
        <w:spacing w:after="0" w:line="8"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16"/>
          <w:szCs w:val="16"/>
          <w:color w:val="auto"/>
        </w:rPr>
        <w:t xml:space="preserve">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(Data. 2017; 2(30):2–16) estimated that diagnosing cancer early could result in $26 billion in annual cost-savings in the United States.</w:t>
      </w:r>
    </w:p>
    <w:p>
      <w:pPr>
        <w:spacing w:after="0" w:line="170"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w:t>
      </w:r>
    </w:p>
    <w:p>
      <w:pPr>
        <w:spacing w:after="0" w:line="173" w:lineRule="exact"/>
        <w:rPr>
          <w:sz w:val="20"/>
          <w:szCs w:val="20"/>
          <w:color w:val="auto"/>
        </w:rPr>
      </w:pPr>
    </w:p>
    <w:p>
      <w:pPr>
        <w:ind w:left="920" w:right="160" w:firstLine="375"/>
        <w:spacing w:after="0" w:line="258" w:lineRule="auto"/>
        <w:rPr>
          <w:sz w:val="20"/>
          <w:szCs w:val="20"/>
          <w:color w:val="auto"/>
        </w:rPr>
      </w:pPr>
      <w:r>
        <w:rPr>
          <w:rFonts w:ascii="Times New Roman" w:cs="Times New Roman" w:eastAsia="Times New Roman" w:hAnsi="Times New Roman"/>
          <w:sz w:val="16"/>
          <w:szCs w:val="16"/>
          <w:color w:val="auto"/>
        </w:rPr>
        <w:t>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20"/>
          </w:cols>
          <w:pgMar w:left="320" w:top="419" w:right="1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24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6171565" cy="492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6"/>
          <w:szCs w:val="16"/>
          <w:color w:val="auto"/>
        </w:rPr>
        <w:t xml:space="preserve">(“ESMO”),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Our industry leadership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5" w:lineRule="exact"/>
        <w:rPr>
          <w:sz w:val="20"/>
          <w:szCs w:val="20"/>
          <w:color w:val="auto"/>
        </w:rPr>
      </w:pPr>
    </w:p>
    <w:p>
      <w:pPr>
        <w:ind w:left="920" w:right="180" w:firstLine="375"/>
        <w:spacing w:after="0" w:line="250" w:lineRule="auto"/>
        <w:rPr>
          <w:sz w:val="20"/>
          <w:szCs w:val="20"/>
          <w:color w:val="auto"/>
        </w:rPr>
      </w:pPr>
      <w:r>
        <w:rPr>
          <w:rFonts w:ascii="Times New Roman" w:cs="Times New Roman" w:eastAsia="Times New Roman" w:hAnsi="Times New Roman"/>
          <w:sz w:val="16"/>
          <w:szCs w:val="16"/>
          <w:color w:val="auto"/>
        </w:rPr>
        <w:t>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to cover MCED screening for FDA-approved MCED tests. Galleri has not been approved or cleared by the FDA and obtaining PMA approval can take several years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w:t>
      </w:r>
    </w:p>
    <w:p>
      <w:pPr>
        <w:spacing w:after="0" w:line="172" w:lineRule="exact"/>
        <w:rPr>
          <w:sz w:val="20"/>
          <w:szCs w:val="20"/>
          <w:color w:val="auto"/>
        </w:rPr>
      </w:pPr>
    </w:p>
    <w:p>
      <w:pPr>
        <w:ind w:left="920" w:firstLine="375"/>
        <w:spacing w:after="0" w:line="267" w:lineRule="auto"/>
        <w:rPr>
          <w:sz w:val="20"/>
          <w:szCs w:val="20"/>
          <w:color w:val="auto"/>
        </w:rPr>
      </w:pPr>
      <w:r>
        <w:rPr>
          <w:rFonts w:ascii="Times New Roman" w:cs="Times New Roman" w:eastAsia="Times New Roman" w:hAnsi="Times New Roman"/>
          <w:sz w:val="15"/>
          <w:szCs w:val="15"/>
          <w:color w:val="auto"/>
        </w:rPr>
        <w:t>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positive predictive value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w:t>
      </w: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00"/>
          </w:cols>
          <w:pgMar w:left="320" w:top="419"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81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6171565" cy="51816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16"/>
          <w:szCs w:val="16"/>
          <w:color w:val="auto"/>
        </w:rPr>
        <w:t>(“PPV”)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165"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a targeted methylation approach, which entails interrogating specific methylation sites within a genome to assess methylation patterns and which serves as the technological basis for our Galleri test,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assay had a clinical limit of detection of approximately 150 parts per million, which was significantly lower than other approaches we assessed. For additional information, see “Business—Methylation Technology Platform.”</w:t>
      </w:r>
    </w:p>
    <w:p>
      <w:pPr>
        <w:spacing w:after="0" w:line="168" w:lineRule="exact"/>
        <w:rPr>
          <w:sz w:val="20"/>
          <w:szCs w:val="20"/>
          <w:color w:val="auto"/>
        </w:rPr>
      </w:pPr>
    </w:p>
    <w:p>
      <w:pPr>
        <w:ind w:left="920" w:right="140" w:firstLine="375"/>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760" w:right="20" w:hanging="366"/>
        <w:spacing w:after="0" w:line="252"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Precision oncology portfolio: </w:t>
      </w:r>
      <w:r>
        <w:rPr>
          <w:rFonts w:ascii="Times New Roman" w:cs="Times New Roman" w:eastAsia="Times New Roman" w:hAnsi="Times New Roman"/>
          <w:sz w:val="16"/>
          <w:szCs w:val="16"/>
          <w:color w:val="auto"/>
        </w:rPr>
        <w:t>We are developing our precision oncology portfolio and launched our research use only (“RUO”)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760" w:right="220" w:hanging="366"/>
        <w:spacing w:after="0" w:line="281"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patients with non-specific signs and symptoms, but with a clinical</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00"/>
          </w:cols>
          <w:pgMar w:left="320" w:top="419" w:right="1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81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6171565" cy="51816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20"/>
        <w:spacing w:after="0" w:line="251" w:lineRule="auto"/>
        <w:rPr>
          <w:sz w:val="20"/>
          <w:szCs w:val="20"/>
          <w:color w:val="auto"/>
        </w:rPr>
      </w:pPr>
      <w:r>
        <w:rPr>
          <w:rFonts w:ascii="Times New Roman" w:cs="Times New Roman" w:eastAsia="Times New Roman" w:hAnsi="Times New Roman"/>
          <w:sz w:val="16"/>
          <w:szCs w:val="16"/>
          <w:color w:val="auto"/>
        </w:rPr>
        <w:t xml:space="preserve">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accurately identify where the cancer signal origin was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90%. Product development efforts are ongoing, and we currently consider the launch of our DAC test as a medium-to longer-term objective over approximately the next three to five years, subject to a number of factors, including determining the requirements for reimbursement in the United States.</w:t>
      </w:r>
    </w:p>
    <w:p>
      <w:pPr>
        <w:spacing w:after="0" w:line="170" w:lineRule="exact"/>
        <w:rPr>
          <w:sz w:val="20"/>
          <w:szCs w:val="20"/>
          <w:color w:val="auto"/>
        </w:rPr>
      </w:pPr>
    </w:p>
    <w:p>
      <w:pPr>
        <w:ind w:left="920" w:right="480" w:firstLine="375"/>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760" w:hanging="366"/>
        <w:spacing w:after="0" w:line="250"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screening test, Galleri. </w:t>
      </w:r>
      <w:r>
        <w:rPr>
          <w:rFonts w:ascii="Times New Roman" w:cs="Times New Roman" w:eastAsia="Times New Roman" w:hAnsi="Times New Roman"/>
          <w:sz w:val="16"/>
          <w:szCs w:val="16"/>
          <w:color w:val="auto"/>
        </w:rPr>
        <w:t>Galleri is a commercially available MCED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screening test that is setting the standard for multi-cancer early detection. While Galleri has not been approved or cleared by the FDA, we believe Galleri is clinically validated as a screening test based on the results of its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has demonstrated a high positive predictive value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89" w:lineRule="exact"/>
        <w:rPr>
          <w:rFonts w:ascii="Times New Roman" w:cs="Times New Roman" w:eastAsia="Times New Roman" w:hAnsi="Times New Roman"/>
          <w:sz w:val="16"/>
          <w:szCs w:val="16"/>
          <w:color w:val="auto"/>
        </w:rPr>
      </w:pPr>
    </w:p>
    <w:p>
      <w:pPr>
        <w:ind w:left="1760" w:hanging="366"/>
        <w:spacing w:after="0" w:line="252"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is significant, with more than 300 million individuals globally over the age of 50 (our intended use population), including more than 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will evaluate</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00"/>
          </w:cols>
          <w:pgMar w:left="320" w:top="419" w:right="1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96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extLst>
                    </a:blip>
                    <a:srcRect/>
                    <a:stretch>
                      <a:fillRect/>
                    </a:stretch>
                  </pic:blipFill>
                  <pic:spPr bwMode="auto">
                    <a:xfrm>
                      <a:off x="0" y="0"/>
                      <a:ext cx="6171565" cy="51968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40"/>
        <w:spacing w:after="0" w:line="263" w:lineRule="auto"/>
        <w:rPr>
          <w:sz w:val="20"/>
          <w:szCs w:val="20"/>
          <w:color w:val="auto"/>
        </w:rPr>
      </w:pPr>
      <w:r>
        <w:rPr>
          <w:rFonts w:ascii="Times New Roman" w:cs="Times New Roman" w:eastAsia="Times New Roman" w:hAnsi="Times New Roman"/>
          <w:sz w:val="16"/>
          <w:szCs w:val="16"/>
          <w:color w:val="auto"/>
        </w:rPr>
        <w:t>the final results from the NHS-Galleri Trial, which are expected to be available in 2026, before determining whether to implement the Galleri test in the NHS. Our commercial leadership is further supported by our high-capacity laboratories to enable population screening volumes.</w:t>
      </w:r>
    </w:p>
    <w:p>
      <w:pPr>
        <w:spacing w:after="0" w:line="71" w:lineRule="exact"/>
        <w:rPr>
          <w:sz w:val="20"/>
          <w:szCs w:val="20"/>
          <w:color w:val="auto"/>
        </w:rPr>
      </w:pPr>
    </w:p>
    <w:p>
      <w:pPr>
        <w:ind w:left="1760" w:right="60" w:hanging="366"/>
        <w:spacing w:after="0" w:line="250"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Unprecedented clinical studies and real-world experience. </w:t>
      </w:r>
      <w:r>
        <w:rPr>
          <w:rFonts w:ascii="Times New Roman" w:cs="Times New Roman" w:eastAsia="Times New Roman" w:hAnsi="Times New Roman"/>
          <w:sz w:val="16"/>
          <w:szCs w:val="16"/>
          <w:color w:val="auto"/>
        </w:rPr>
        <w:t>We designed and executed what we believe is the largest clinical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including PPV, cancer signal original prediction accuracy, and specificity, from our interventional PATHFINDER study, which involved analysis of diagnostic and care pathways outside of the case-control context,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7" w:lineRule="exact"/>
        <w:rPr>
          <w:rFonts w:ascii="Times New Roman" w:cs="Times New Roman" w:eastAsia="Times New Roman" w:hAnsi="Times New Roman"/>
          <w:sz w:val="16"/>
          <w:szCs w:val="16"/>
          <w:color w:val="auto"/>
        </w:rPr>
      </w:pPr>
    </w:p>
    <w:p>
      <w:pPr>
        <w:ind w:left="1760" w:right="20" w:hanging="366"/>
        <w:spacing w:after="0" w:line="251"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760" w:right="20" w:hanging="366"/>
        <w:spacing w:after="0" w:line="253"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and our products in development. Specifically, as of March 31, 2024, we have exclusive licenses to approximately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2" w:lineRule="exact"/>
        <w:rPr>
          <w:rFonts w:ascii="Times New Roman" w:cs="Times New Roman" w:eastAsia="Times New Roman" w:hAnsi="Times New Roman"/>
          <w:sz w:val="16"/>
          <w:szCs w:val="16"/>
          <w:color w:val="auto"/>
        </w:rPr>
      </w:pPr>
    </w:p>
    <w:p>
      <w:pPr>
        <w:ind w:left="1760" w:hanging="366"/>
        <w:spacing w:after="0" w:line="281"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00"/>
          </w:cols>
          <w:pgMar w:left="320" w:top="419"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060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6171565" cy="50603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1760" w:right="60"/>
        <w:spacing w:after="0" w:line="258" w:lineRule="auto"/>
        <w:rPr>
          <w:sz w:val="20"/>
          <w:szCs w:val="20"/>
          <w:color w:val="auto"/>
        </w:rPr>
      </w:pPr>
      <w:r>
        <w:rPr>
          <w:rFonts w:ascii="Times New Roman" w:cs="Times New Roman" w:eastAsia="Times New Roman" w:hAnsi="Times New Roman"/>
          <w:sz w:val="16"/>
          <w:szCs w:val="16"/>
          <w:color w:val="auto"/>
        </w:rPr>
        <w:t>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760" w:hanging="366"/>
        <w:spacing w:after="0" w:line="252" w:lineRule="auto"/>
        <w:tabs>
          <w:tab w:leader="none" w:pos="1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760" w:right="60" w:hanging="366"/>
        <w:spacing w:after="0" w:line="249" w:lineRule="auto"/>
        <w:tabs>
          <w:tab w:leader="none" w:pos="1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FDA approval and reimbursement and coverage from payors. </w:t>
      </w:r>
      <w:r>
        <w:rPr>
          <w:rFonts w:ascii="Times New Roman" w:cs="Times New Roman" w:eastAsia="Times New Roman" w:hAnsi="Times New Roman"/>
          <w:sz w:val="16"/>
          <w:szCs w:val="16"/>
          <w:color w:val="auto"/>
        </w:rPr>
        <w:t>Our ability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impact 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Galleri has not been approved or cleared by the FDA and obtaining PMA approval can take several years, if at all,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00"/>
          </w:cols>
          <w:pgMar w:left="320" w:top="419"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2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6171565" cy="51282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760" w:right="40" w:hanging="366"/>
        <w:spacing w:after="0" w:line="252"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We have also presented our data in more than 20 podium and 190 poster presentations at renowned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760" w:hanging="366"/>
        <w:spacing w:after="0" w:line="250"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any required non-inferiority studies using data (for example, clinical data and/or real world evidence data obtained through Galleri’s current commercial use) and/or bridging studies, which may be agreed upon with regulatory authorities. We will continue to improve our technologies and launch innovative products across the cancer care continuum.</w:t>
      </w:r>
    </w:p>
    <w:p>
      <w:pPr>
        <w:spacing w:after="0" w:line="88" w:lineRule="exact"/>
        <w:rPr>
          <w:rFonts w:ascii="Times New Roman" w:cs="Times New Roman" w:eastAsia="Times New Roman" w:hAnsi="Times New Roman"/>
          <w:sz w:val="16"/>
          <w:szCs w:val="16"/>
          <w:color w:val="auto"/>
        </w:rPr>
      </w:pPr>
    </w:p>
    <w:p>
      <w:pPr>
        <w:ind w:left="1760" w:hanging="366"/>
        <w:spacing w:after="0" w:line="270" w:lineRule="auto"/>
        <w:tabs>
          <w:tab w:leader="none" w:pos="1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 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0" w:lineRule="exact"/>
        <w:rPr>
          <w:rFonts w:ascii="Times New Roman" w:cs="Times New Roman" w:eastAsia="Times New Roman" w:hAnsi="Times New Roman"/>
          <w:sz w:val="15"/>
          <w:szCs w:val="15"/>
          <w:color w:val="auto"/>
        </w:rPr>
      </w:pPr>
    </w:p>
    <w:p>
      <w:pPr>
        <w:ind w:left="1760" w:right="140" w:hanging="366"/>
        <w:spacing w:after="0" w:line="256"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19" w:right="1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09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6171565" cy="530987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920" w:right="20" w:firstLine="375"/>
        <w:spacing w:after="0" w:line="263" w:lineRule="auto"/>
        <w:rPr>
          <w:sz w:val="20"/>
          <w:szCs w:val="20"/>
          <w:color w:val="auto"/>
        </w:rPr>
      </w:pPr>
      <w:r>
        <w:rPr>
          <w:rFonts w:ascii="Times New Roman" w:cs="Times New Roman" w:eastAsia="Times New Roman" w:hAnsi="Times New Roman"/>
          <w:sz w:val="16"/>
          <w:szCs w:val="16"/>
          <w:color w:val="auto"/>
        </w:rPr>
        <w:t>Ownership of GRAIL common stock is subject to numerous risks, including risks relating to the Spin-Off. The following list of risk factors is not exhaustive. Please read the information in the section entitled “Risk Factors” beginning on page 31 of this Information Statement for a more thorough description of these and other risks.</w:t>
      </w: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16" w:lineRule="exact"/>
        <w:rPr>
          <w:sz w:val="20"/>
          <w:szCs w:val="20"/>
          <w:color w:val="auto"/>
        </w:rPr>
      </w:pPr>
    </w:p>
    <w:p>
      <w:pPr>
        <w:ind w:left="1760" w:right="260" w:hanging="366"/>
        <w:spacing w:after="0" w:line="278"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rapidly evolving field and have a limited operating history, which make it difficult to evaluate our current business and predict our future performance.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54"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anticipate that we will continue to incur net losses for the coming years. We incurred net losses of $218.9 million and $193.7 million for the three months ended March 31, 2024 and April 2, 2023, respectively. Our net losses were $1.5 billion, $5.4 billion, $911.5 million and $336.2 million for fiscal year 2023 (which includes $718.5 million in goodwill and intangible impairment), fiscal year 2022 (which includes $4.7 billion in goodwill impairment), the 2021 successor period, and the 2021 predecessor period, respectively, and as of March 31, 2024, we had an accumulated deficit of $8.0 billion.</w:t>
      </w:r>
    </w:p>
    <w:p>
      <w:pPr>
        <w:spacing w:after="0" w:line="81" w:lineRule="exact"/>
        <w:rPr>
          <w:rFonts w:ascii="Times New Roman" w:cs="Times New Roman" w:eastAsia="Times New Roman" w:hAnsi="Times New Roman"/>
          <w:sz w:val="16"/>
          <w:szCs w:val="16"/>
          <w:color w:val="auto"/>
        </w:rPr>
      </w:pPr>
    </w:p>
    <w:p>
      <w:pPr>
        <w:ind w:left="1760" w:right="60" w:hanging="366"/>
        <w:spacing w:after="0" w:line="258"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w:t>
      </w:r>
    </w:p>
    <w:p>
      <w:pPr>
        <w:spacing w:after="0" w:line="77" w:lineRule="exact"/>
        <w:rPr>
          <w:rFonts w:ascii="Times New Roman" w:cs="Times New Roman" w:eastAsia="Times New Roman" w:hAnsi="Times New Roman"/>
          <w:sz w:val="16"/>
          <w:szCs w:val="16"/>
          <w:color w:val="auto"/>
        </w:rPr>
      </w:pPr>
    </w:p>
    <w:p>
      <w:pPr>
        <w:jc w:val="both"/>
        <w:ind w:left="1760" w:right="120" w:hanging="366"/>
        <w:spacing w:after="0" w:line="263"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our revenue is generated from sales of Galleri and we are highly dependent on it for our success.</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do not receive adequate coverage and reimbursement from third-party payors, if at all, our ability to expand access to our products beyond our existing sales channels will be limited and our overall commercial success will be limited.</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 products may fail to achieve the degree of market acceptance necessary for commercial success.</w:t>
      </w:r>
    </w:p>
    <w:p>
      <w:pPr>
        <w:spacing w:after="0" w:line="113" w:lineRule="exact"/>
        <w:rPr>
          <w:rFonts w:ascii="Times New Roman" w:cs="Times New Roman" w:eastAsia="Times New Roman" w:hAnsi="Times New Roman"/>
          <w:sz w:val="16"/>
          <w:szCs w:val="16"/>
          <w:color w:val="auto"/>
        </w:rPr>
      </w:pPr>
    </w:p>
    <w:p>
      <w:pPr>
        <w:ind w:left="1760" w:hanging="366"/>
        <w:spacing w:after="0" w:line="263"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generate sufficient revenue to offset our ongoing operating expenses and achieve and maintain profitability, and it may be difficult for us to offset the costs of our royalties, including the high-single-digit royalty in perpetuity that we will be required to pay to Illumina or our royalties payable to the Chinese University of Hong Kong.</w:t>
      </w:r>
    </w:p>
    <w:p>
      <w:pPr>
        <w:spacing w:after="0" w:line="73" w:lineRule="exact"/>
        <w:rPr>
          <w:rFonts w:ascii="Times New Roman" w:cs="Times New Roman" w:eastAsia="Times New Roman" w:hAnsi="Times New Roman"/>
          <w:sz w:val="16"/>
          <w:szCs w:val="16"/>
          <w:color w:val="auto"/>
        </w:rPr>
      </w:pPr>
    </w:p>
    <w:p>
      <w:pPr>
        <w:ind w:left="1760" w:right="160" w:hanging="366"/>
        <w:spacing w:after="0" w:line="263"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develop and commercialize new products, including enhanced versions of current products, and enhanced versions may require non-inferiority studies and/or bridging studies, which may require prior review and agreement from regulatory bodies.</w:t>
      </w:r>
    </w:p>
    <w:p>
      <w:pPr>
        <w:spacing w:after="0" w:line="73"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similar third-party products are developed and do not perform as intended or cause harm or injury to patients, the market for our products could be impaired.</w:t>
      </w:r>
    </w:p>
    <w:p>
      <w:pPr>
        <w:spacing w:after="0" w:line="61" w:lineRule="exact"/>
        <w:rPr>
          <w:rFonts w:ascii="Times New Roman" w:cs="Times New Roman" w:eastAsia="Times New Roman" w:hAnsi="Times New Roman"/>
          <w:sz w:val="16"/>
          <w:szCs w:val="16"/>
          <w:color w:val="auto"/>
        </w:rPr>
      </w:pPr>
    </w:p>
    <w:p>
      <w:pPr>
        <w:ind w:left="1760" w:right="260" w:hanging="366"/>
        <w:spacing w:after="0" w:line="278"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00"/>
          </w:cols>
          <w:pgMar w:left="320" w:top="419"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55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6171565" cy="55518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36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73" w:lineRule="exact"/>
        <w:rPr>
          <w:rFonts w:ascii="Times New Roman" w:cs="Times New Roman" w:eastAsia="Times New Roman" w:hAnsi="Times New Roman"/>
          <w:sz w:val="16"/>
          <w:szCs w:val="16"/>
          <w:color w:val="auto"/>
        </w:rPr>
      </w:pPr>
    </w:p>
    <w:p>
      <w:pPr>
        <w:ind w:left="1760" w:right="80" w:hanging="366"/>
        <w:spacing w:after="0" w:line="281" w:lineRule="auto"/>
        <w:tabs>
          <w:tab w:leader="none" w:pos="1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0" w:lineRule="exact"/>
        <w:rPr>
          <w:rFonts w:ascii="Times New Roman" w:cs="Times New Roman" w:eastAsia="Times New Roman" w:hAnsi="Times New Roman"/>
          <w:sz w:val="15"/>
          <w:szCs w:val="15"/>
          <w:color w:val="auto"/>
        </w:rPr>
      </w:pPr>
    </w:p>
    <w:p>
      <w:pPr>
        <w:ind w:left="1760" w:right="120" w:hanging="366"/>
        <w:spacing w:after="0" w:line="313" w:lineRule="auto"/>
        <w:tabs>
          <w:tab w:leader="none" w:pos="1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regulatory, and other proceedings, including those related to or resulting from the acquisition of our business by Illumina, could lead us to incur significant costs and adversely affect our business, results of operations, financial condition, and prospects.</w:t>
      </w:r>
    </w:p>
    <w:p>
      <w:pPr>
        <w:spacing w:after="0" w:line="37" w:lineRule="exact"/>
        <w:rPr>
          <w:rFonts w:ascii="Times New Roman" w:cs="Times New Roman" w:eastAsia="Times New Roman" w:hAnsi="Times New Roman"/>
          <w:sz w:val="15"/>
          <w:szCs w:val="15"/>
          <w:color w:val="auto"/>
        </w:rPr>
      </w:pPr>
    </w:p>
    <w:p>
      <w:pPr>
        <w:ind w:left="1760" w:right="80" w:hanging="366"/>
        <w:spacing w:after="0" w:line="254"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launched Galleri as a laboratory developed test (“LDT”), and plan to launch DAC as an LDT in the United States.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w:t>
      </w:r>
    </w:p>
    <w:p>
      <w:pPr>
        <w:spacing w:after="0" w:line="81" w:lineRule="exact"/>
        <w:rPr>
          <w:rFonts w:ascii="Times New Roman" w:cs="Times New Roman" w:eastAsia="Times New Roman" w:hAnsi="Times New Roman"/>
          <w:sz w:val="16"/>
          <w:szCs w:val="16"/>
          <w:color w:val="auto"/>
        </w:rPr>
      </w:pPr>
    </w:p>
    <w:p>
      <w:pPr>
        <w:ind w:left="1760" w:hanging="366"/>
        <w:spacing w:after="0" w:line="25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77" w:lineRule="exact"/>
        <w:rPr>
          <w:rFonts w:ascii="Times New Roman" w:cs="Times New Roman" w:eastAsia="Times New Roman" w:hAnsi="Times New Roman"/>
          <w:sz w:val="16"/>
          <w:szCs w:val="16"/>
          <w:color w:val="auto"/>
        </w:rPr>
      </w:pPr>
    </w:p>
    <w:p>
      <w:pPr>
        <w:ind w:left="1760" w:right="2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scale our operations successfully to support demand for our products, our business could suffer.</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5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77" w:lineRule="exact"/>
        <w:rPr>
          <w:rFonts w:ascii="Times New Roman" w:cs="Times New Roman" w:eastAsia="Times New Roman" w:hAnsi="Times New Roman"/>
          <w:sz w:val="16"/>
          <w:szCs w:val="16"/>
          <w:color w:val="auto"/>
        </w:rPr>
      </w:pPr>
    </w:p>
    <w:p>
      <w:pPr>
        <w:jc w:val="both"/>
        <w:ind w:left="1760" w:right="8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w:t>
      </w:r>
    </w:p>
    <w:p>
      <w:pPr>
        <w:spacing w:after="0" w:line="73" w:lineRule="exact"/>
        <w:rPr>
          <w:rFonts w:ascii="Times New Roman" w:cs="Times New Roman" w:eastAsia="Times New Roman" w:hAnsi="Times New Roman"/>
          <w:sz w:val="16"/>
          <w:szCs w:val="16"/>
          <w:color w:val="auto"/>
        </w:rPr>
      </w:pPr>
    </w:p>
    <w:p>
      <w:pPr>
        <w:ind w:left="1760" w:right="2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3" w:lineRule="exact"/>
        <w:rPr>
          <w:rFonts w:ascii="Times New Roman" w:cs="Times New Roman" w:eastAsia="Times New Roman" w:hAnsi="Times New Roman"/>
          <w:sz w:val="16"/>
          <w:szCs w:val="16"/>
          <w:color w:val="auto"/>
        </w:rPr>
      </w:pPr>
    </w:p>
    <w:p>
      <w:pPr>
        <w:ind w:left="1760" w:right="60" w:hanging="366"/>
        <w:spacing w:after="0" w:line="27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Distribution does not qualify as a transaction that is tax-free for U.S. federal income tax purposes, Illumina and its stockholders could be subject to significant tax liability.</w:t>
      </w:r>
    </w:p>
    <w:p>
      <w:pPr>
        <w:spacing w:after="0" w:line="61" w:lineRule="exact"/>
        <w:rPr>
          <w:rFonts w:ascii="Times New Roman" w:cs="Times New Roman" w:eastAsia="Times New Roman" w:hAnsi="Times New Roman"/>
          <w:sz w:val="16"/>
          <w:szCs w:val="16"/>
          <w:color w:val="auto"/>
        </w:rPr>
      </w:pPr>
    </w:p>
    <w:p>
      <w:pPr>
        <w:jc w:val="both"/>
        <w:ind w:left="1760" w:right="48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280"/>
          </w:cols>
          <w:pgMar w:left="320" w:top="419" w:right="1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32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6171565" cy="53327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42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agree to numerous restrictions to preserve the non-recognition treatment of the Distribution, which may reduce our strategic and operating flexibility.</w:t>
      </w:r>
    </w:p>
    <w:p>
      <w:pPr>
        <w:spacing w:after="0" w:line="61" w:lineRule="exact"/>
        <w:rPr>
          <w:rFonts w:ascii="Times New Roman" w:cs="Times New Roman" w:eastAsia="Times New Roman" w:hAnsi="Times New Roman"/>
          <w:sz w:val="16"/>
          <w:szCs w:val="16"/>
          <w:color w:val="auto"/>
        </w:rPr>
      </w:pPr>
    </w:p>
    <w:p>
      <w:pPr>
        <w:ind w:left="1760" w:right="64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achieve some or all of the benefits that we expect to achieve from the Spin-Off, which could materially adversely affect our business, financial condition and results of operations.</w:t>
      </w:r>
    </w:p>
    <w:p>
      <w:pPr>
        <w:spacing w:after="0" w:line="61"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market for our common stock currently exists and an active trading market may not develop or be sustained after the Spin-Off. Following the Spin-Off our stock price may fluctuate significantly.</w:t>
      </w:r>
    </w:p>
    <w:p>
      <w:pPr>
        <w:spacing w:after="0" w:line="61" w:lineRule="exact"/>
        <w:rPr>
          <w:rFonts w:ascii="Times New Roman" w:cs="Times New Roman" w:eastAsia="Times New Roman" w:hAnsi="Times New Roman"/>
          <w:sz w:val="16"/>
          <w:szCs w:val="16"/>
          <w:color w:val="auto"/>
        </w:rPr>
      </w:pPr>
    </w:p>
    <w:p>
      <w:pPr>
        <w:ind w:left="1760" w:right="32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analysts do not publish research or reports about our business or if they publish negative evaluations of our stock, the price of our stock could decline.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 or our products.</w:t>
      </w:r>
    </w:p>
    <w:p>
      <w:pPr>
        <w:spacing w:after="0" w:line="61"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37" w:lineRule="exact"/>
        <w:rPr>
          <w:rFonts w:ascii="Times New Roman" w:cs="Times New Roman" w:eastAsia="Times New Roman" w:hAnsi="Times New Roman"/>
          <w:sz w:val="15"/>
          <w:szCs w:val="15"/>
          <w:color w:val="auto"/>
        </w:rPr>
      </w:pPr>
    </w:p>
    <w:p>
      <w:pPr>
        <w:ind w:left="1760" w:right="8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04" w:lineRule="exact"/>
        <w:rPr>
          <w:sz w:val="20"/>
          <w:szCs w:val="20"/>
          <w:color w:val="auto"/>
        </w:rPr>
      </w:pPr>
    </w:p>
    <w:p>
      <w:pPr>
        <w:ind w:left="920" w:firstLine="375"/>
        <w:spacing w:after="0" w:line="266" w:lineRule="auto"/>
        <w:rPr>
          <w:sz w:val="20"/>
          <w:szCs w:val="20"/>
          <w:color w:val="auto"/>
        </w:rPr>
      </w:pPr>
      <w:r>
        <w:rPr>
          <w:rFonts w:ascii="Times New Roman" w:cs="Times New Roman" w:eastAsia="Times New Roman" w:hAnsi="Times New Roman"/>
          <w:sz w:val="15"/>
          <w:szCs w:val="15"/>
          <w:color w:val="auto"/>
        </w:rPr>
        <w:t>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102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102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 European Commission adopted a decision (the “EC Divestment Decision”) requiring Illumina to (among other things) divest GRAIL.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See the section entitled “The Spin-Off—Background” beginning on page 102 of this Information Statement for more detail. On December 17, 2023, Illumina announced that it will divest GRAIL. On</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 2024, Illumina announced plans for the separation of GRAIL from Illumina via the Spin-Off.</w:t>
      </w:r>
    </w:p>
    <w:p>
      <w:pPr>
        <w:spacing w:after="0" w:line="180"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 and re-establish the royalty arrangement it previously had in place with GRAIL, which was suspended while GRAIL was owned by Illumina and will continue to be suspended until the earlier of two-and-a-half years or any earlier change of control of GRAIL, at which time royalty payments will resume.</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00"/>
          </w:cols>
          <w:pgMar w:left="320" w:top="419"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49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6171565" cy="54914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20" w:firstLine="375"/>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920" w:right="120" w:firstLine="375"/>
        <w:spacing w:after="0" w:line="253"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6"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be $20 million for GRAIL and estimated to range from $60 million to $75 million for Illumina if the Spin-Off is completed. If the Spin-Off is not completed for any reason, the one-time transaction costs will generally be limited to the transaction costs incurred for services rendered as of the date the Spin-Off is abandoned, which will be less than the amounts noted above. Our management will also have devoted significant time to manage the Spin-Off process, which will decrease the time they will have to manage our business. See the section entitled “The Spin-Off—Conditions to the Spin-Off” beginning on page 113 of this Information Statement for more detail.</w:t>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920" w:right="60" w:firstLine="375"/>
        <w:spacing w:after="0" w:line="281" w:lineRule="auto"/>
        <w:rPr>
          <w:sz w:val="20"/>
          <w:szCs w:val="20"/>
          <w:color w:val="auto"/>
        </w:rPr>
      </w:pPr>
      <w:r>
        <w:rPr>
          <w:rFonts w:ascii="Times New Roman" w:cs="Times New Roman" w:eastAsia="Times New Roman" w:hAnsi="Times New Roman"/>
          <w:sz w:val="15"/>
          <w:szCs w:val="15"/>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10" w:lineRule="exact"/>
        <w:rPr>
          <w:sz w:val="20"/>
          <w:szCs w:val="20"/>
          <w:color w:val="auto"/>
        </w:rPr>
      </w:pPr>
    </w:p>
    <w:p>
      <w:pPr>
        <w:jc w:val="both"/>
        <w:ind w:left="1760" w:right="220" w:hanging="366"/>
        <w:spacing w:after="0" w:line="266"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Opportunity for continued ownership of GRAIL by Illumina stockholders. The Spin-Off will provide Illumina stockholders the 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hanging="366"/>
        <w:spacing w:after="0" w:line="260"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20" w:hanging="366"/>
        <w:spacing w:after="0" w:line="284"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260"/>
          </w:cols>
          <w:pgMar w:left="320" w:top="419" w:right="1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660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6171565" cy="46602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allow each company to focus on its distinct strategic priorities and individual business risk and return profiles.</w:t>
      </w:r>
    </w:p>
    <w:p>
      <w:pPr>
        <w:spacing w:after="0" w:line="110" w:lineRule="exact"/>
        <w:rPr>
          <w:sz w:val="20"/>
          <w:szCs w:val="20"/>
          <w:color w:val="auto"/>
        </w:rPr>
      </w:pPr>
    </w:p>
    <w:p>
      <w:pPr>
        <w:ind w:left="1760" w:right="100" w:hanging="366"/>
        <w:spacing w:after="0" w:line="260" w:lineRule="auto"/>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760" w:right="160" w:hanging="366"/>
        <w:spacing w:after="0" w:line="255"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w:t>
      </w:r>
    </w:p>
    <w:p>
      <w:pPr>
        <w:spacing w:after="0" w:line="76" w:lineRule="exact"/>
        <w:rPr>
          <w:rFonts w:ascii="Times New Roman" w:cs="Times New Roman" w:eastAsia="Times New Roman" w:hAnsi="Times New Roman"/>
          <w:sz w:val="16"/>
          <w:szCs w:val="16"/>
          <w:color w:val="auto"/>
        </w:rPr>
      </w:pPr>
    </w:p>
    <w:p>
      <w:pPr>
        <w:ind w:left="1760" w:right="80" w:hanging="366"/>
        <w:spacing w:after="0" w:line="257"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 expects to be restricted from taking certain transactions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w:t>
      </w:r>
    </w:p>
    <w:p>
      <w:pPr>
        <w:spacing w:after="0" w:line="74" w:lineRule="exact"/>
        <w:rPr>
          <w:rFonts w:ascii="Times New Roman" w:cs="Times New Roman" w:eastAsia="Times New Roman" w:hAnsi="Times New Roman"/>
          <w:sz w:val="16"/>
          <w:szCs w:val="16"/>
          <w:color w:val="auto"/>
        </w:rPr>
      </w:pPr>
    </w:p>
    <w:p>
      <w:pPr>
        <w:jc w:val="both"/>
        <w:ind w:left="1760" w:right="160" w:hanging="366"/>
        <w:spacing w:after="0" w:line="260"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760" w:hanging="366"/>
        <w:spacing w:after="0" w:line="275"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Uncertainty regarding share prices</w:t>
      </w:r>
      <w:r>
        <w:rPr>
          <w:rFonts w:ascii="Times New Roman" w:cs="Times New Roman" w:eastAsia="Times New Roman" w:hAnsi="Times New Roman"/>
          <w:sz w:val="15"/>
          <w:szCs w:val="15"/>
          <w:color w:val="auto"/>
        </w:rPr>
        <w:t>. We cannot predict the effect of the Distribution on the trading prices of Illumina’s and GRAIL’s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51" w:lineRule="exact"/>
        <w:rPr>
          <w:sz w:val="20"/>
          <w:szCs w:val="20"/>
          <w:color w:val="auto"/>
        </w:rPr>
      </w:pPr>
    </w:p>
    <w:p>
      <w:pPr>
        <w:ind w:left="920" w:right="20" w:firstLine="375"/>
        <w:spacing w:after="0" w:line="255" w:lineRule="auto"/>
        <w:rPr>
          <w:sz w:val="20"/>
          <w:szCs w:val="20"/>
          <w:color w:val="auto"/>
        </w:rPr>
      </w:pPr>
      <w:r>
        <w:rPr>
          <w:rFonts w:ascii="Times New Roman" w:cs="Times New Roman" w:eastAsia="Times New Roman" w:hAnsi="Times New Roman"/>
          <w:sz w:val="16"/>
          <w:szCs w:val="16"/>
          <w:color w:val="auto"/>
        </w:rPr>
        <w:t>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104, respectively, of this Information Statement.</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00"/>
          </w:cols>
          <w:pgMar w:left="320" w:top="419"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015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6171565" cy="50152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920" w:right="100" w:firstLine="375"/>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760" w:hanging="366"/>
        <w:spacing w:after="0"/>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jc w:val="both"/>
        <w:ind w:left="176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760" w:right="120" w:hanging="366"/>
        <w:spacing w:after="0" w:line="278" w:lineRule="auto"/>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920" w:right="40" w:firstLine="375"/>
        <w:spacing w:after="0" w:line="269" w:lineRule="auto"/>
        <w:rPr>
          <w:sz w:val="20"/>
          <w:szCs w:val="20"/>
          <w:color w:val="auto"/>
        </w:rPr>
      </w:pPr>
      <w:r>
        <w:rPr>
          <w:rFonts w:ascii="Times New Roman" w:cs="Times New Roman" w:eastAsia="Times New Roman" w:hAnsi="Times New Roman"/>
          <w:sz w:val="15"/>
          <w:szCs w:val="15"/>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58" w:lineRule="exact"/>
        <w:rPr>
          <w:sz w:val="20"/>
          <w:szCs w:val="20"/>
          <w:color w:val="auto"/>
        </w:rPr>
      </w:pPr>
    </w:p>
    <w:p>
      <w:pPr>
        <w:ind w:left="920" w:right="60" w:firstLine="375"/>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04"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We are a Delaware limited liability company. Immediately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00"/>
          </w:cols>
          <w:pgMar w:left="320" w:top="419"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1357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6171565" cy="13576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00"/>
          </w:cols>
          <w:pgMar w:left="320" w:top="419"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612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6171565" cy="56121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QUESTIONS AND ANSWERS ABOUT THE SPIN-OFF</w:t>
      </w:r>
    </w:p>
    <w:p>
      <w:pPr>
        <w:spacing w:after="0" w:line="199" w:lineRule="exact"/>
        <w:rPr>
          <w:sz w:val="20"/>
          <w:szCs w:val="20"/>
          <w:color w:val="auto"/>
        </w:rPr>
      </w:pPr>
    </w:p>
    <w:p>
      <w:pPr>
        <w:ind w:left="920" w:right="280" w:firstLine="375"/>
        <w:spacing w:after="0" w:line="278" w:lineRule="auto"/>
        <w:rPr>
          <w:sz w:val="20"/>
          <w:szCs w:val="20"/>
          <w:color w:val="auto"/>
        </w:rPr>
      </w:pPr>
      <w:r>
        <w:rPr>
          <w:rFonts w:ascii="Times New Roman" w:cs="Times New Roman" w:eastAsia="Times New Roman" w:hAnsi="Times New Roman"/>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272" w:lineRule="exact"/>
        <w:rPr>
          <w:sz w:val="20"/>
          <w:szCs w:val="20"/>
          <w:color w:val="auto"/>
        </w:rPr>
      </w:pPr>
    </w:p>
    <w:p>
      <w:pPr>
        <w:ind w:left="1300" w:hanging="370"/>
        <w:spacing w:after="0"/>
        <w:tabs>
          <w:tab w:leader="none" w:pos="1300"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am I receiving this Information Statement?</w:t>
      </w:r>
    </w:p>
    <w:p>
      <w:pPr>
        <w:spacing w:after="0" w:line="118" w:lineRule="exact"/>
        <w:rPr>
          <w:sz w:val="20"/>
          <w:szCs w:val="20"/>
          <w:color w:val="auto"/>
        </w:rPr>
      </w:pPr>
    </w:p>
    <w:p>
      <w:pPr>
        <w:ind w:left="1300" w:hanging="370"/>
        <w:spacing w:after="0" w:line="258" w:lineRule="auto"/>
        <w:tabs>
          <w:tab w:leader="none" w:pos="13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making this Information Statement available to you because you are a holder of shares of Illumina common stock. If you are a holder of shares of Illumina common stock as of the Record Date (as defined below), for every six shares of Illumina common stock that you hold as of the Record Date, you will be entitled to receive one share of GRAIL common stock. This Information Statement is intended to help you understand how the Spin-Off will affect your post-Distribution ownership in each of Illumina and GRAIL.</w:t>
      </w:r>
    </w:p>
    <w:p>
      <w:pPr>
        <w:spacing w:after="0" w:line="288" w:lineRule="exact"/>
        <w:rPr>
          <w:sz w:val="20"/>
          <w:szCs w:val="20"/>
          <w:color w:val="auto"/>
        </w:rPr>
      </w:pPr>
    </w:p>
    <w:p>
      <w:pPr>
        <w:ind w:left="1300" w:hanging="370"/>
        <w:spacing w:after="0"/>
        <w:tabs>
          <w:tab w:leader="none" w:pos="1300"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Spin-Off?</w:t>
      </w:r>
    </w:p>
    <w:p>
      <w:pPr>
        <w:spacing w:after="0" w:line="118" w:lineRule="exact"/>
        <w:rPr>
          <w:sz w:val="20"/>
          <w:szCs w:val="20"/>
          <w:color w:val="auto"/>
        </w:rPr>
      </w:pPr>
    </w:p>
    <w:p>
      <w:pPr>
        <w:ind w:left="1300" w:hanging="370"/>
        <w:spacing w:after="0"/>
        <w:tabs>
          <w:tab w:leader="none" w:pos="1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is the method by which we will separate from Illumina. In the Spin-Off, Illumina will distribute to its stockholders at least</w:t>
      </w:r>
    </w:p>
    <w:p>
      <w:pPr>
        <w:spacing w:after="0" w:line="23" w:lineRule="exact"/>
        <w:rPr>
          <w:rFonts w:ascii="Times New Roman" w:cs="Times New Roman" w:eastAsia="Times New Roman" w:hAnsi="Times New Roman"/>
          <w:sz w:val="16"/>
          <w:szCs w:val="16"/>
          <w:color w:val="auto"/>
        </w:rPr>
      </w:pPr>
    </w:p>
    <w:p>
      <w:pPr>
        <w:ind w:left="1300" w:right="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w:t>
      </w:r>
    </w:p>
    <w:p>
      <w:pPr>
        <w:spacing w:after="0" w:line="292" w:lineRule="exact"/>
        <w:rPr>
          <w:sz w:val="20"/>
          <w:szCs w:val="20"/>
          <w:color w:val="auto"/>
        </w:rPr>
      </w:pPr>
    </w:p>
    <w:p>
      <w:pPr>
        <w:ind w:left="1300" w:hanging="370"/>
        <w:spacing w:after="0"/>
        <w:tabs>
          <w:tab w:leader="none" w:pos="130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number of Illumina shares I own change as a result of the Spin-Off?</w:t>
      </w:r>
    </w:p>
    <w:p>
      <w:pPr>
        <w:spacing w:after="0" w:line="118" w:lineRule="exact"/>
        <w:rPr>
          <w:sz w:val="20"/>
          <w:szCs w:val="20"/>
          <w:color w:val="auto"/>
        </w:rPr>
      </w:pPr>
    </w:p>
    <w:p>
      <w:pPr>
        <w:ind w:left="1300" w:hanging="370"/>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number of shares of Illumina common stock you own will not change as a result of the Spin-Off.</w:t>
      </w:r>
    </w:p>
    <w:p>
      <w:pPr>
        <w:spacing w:after="0" w:line="324" w:lineRule="exact"/>
        <w:rPr>
          <w:sz w:val="20"/>
          <w:szCs w:val="20"/>
          <w:color w:val="auto"/>
        </w:rPr>
      </w:pPr>
    </w:p>
    <w:p>
      <w:pPr>
        <w:ind w:left="1300" w:hanging="370"/>
        <w:spacing w:after="0"/>
        <w:tabs>
          <w:tab w:leader="none" w:pos="130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reasons for the Spin-Off?</w:t>
      </w:r>
    </w:p>
    <w:p>
      <w:pPr>
        <w:spacing w:after="0" w:line="118" w:lineRule="exact"/>
        <w:rPr>
          <w:sz w:val="20"/>
          <w:szCs w:val="20"/>
          <w:color w:val="auto"/>
        </w:rPr>
      </w:pPr>
    </w:p>
    <w:p>
      <w:pPr>
        <w:ind w:left="1300" w:right="160" w:hanging="370"/>
        <w:spacing w:after="0" w:line="255" w:lineRule="auto"/>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09" w:lineRule="exact"/>
        <w:rPr>
          <w:rFonts w:ascii="Times New Roman" w:cs="Times New Roman" w:eastAsia="Times New Roman" w:hAnsi="Times New Roman"/>
          <w:sz w:val="16"/>
          <w:szCs w:val="16"/>
          <w:color w:val="auto"/>
        </w:rPr>
      </w:pPr>
    </w:p>
    <w:p>
      <w:pPr>
        <w:ind w:left="1760" w:right="320" w:hanging="366"/>
        <w:spacing w:after="0" w:line="266" w:lineRule="auto"/>
        <w:tabs>
          <w:tab w:leader="none" w:pos="17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hanging="366"/>
        <w:spacing w:after="0" w:line="260" w:lineRule="auto"/>
        <w:tabs>
          <w:tab w:leader="none" w:pos="17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20" w:hanging="366"/>
        <w:spacing w:after="0" w:line="266" w:lineRule="auto"/>
        <w:tabs>
          <w:tab w:leader="none" w:pos="17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260"/>
          </w:cols>
          <w:pgMar w:left="320" w:top="419" w:right="1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74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6171565" cy="57404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760" w:right="100" w:hanging="366"/>
        <w:spacing w:after="0" w:line="260" w:lineRule="auto"/>
        <w:tabs>
          <w:tab w:leader="none" w:pos="1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64"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104, respectively, of this Information Statement.</w:t>
      </w:r>
    </w:p>
    <w:p>
      <w:pPr>
        <w:spacing w:after="0" w:line="291" w:lineRule="exact"/>
        <w:rPr>
          <w:sz w:val="20"/>
          <w:szCs w:val="20"/>
          <w:color w:val="auto"/>
        </w:rPr>
      </w:pPr>
    </w:p>
    <w:p>
      <w:pPr>
        <w:ind w:left="1300" w:hanging="370"/>
        <w:spacing w:after="0"/>
        <w:tabs>
          <w:tab w:leader="none" w:pos="130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is the separation of GRAIL structured as a spin-off?</w:t>
      </w:r>
    </w:p>
    <w:p>
      <w:pPr>
        <w:spacing w:after="0" w:line="118" w:lineRule="exact"/>
        <w:rPr>
          <w:sz w:val="20"/>
          <w:szCs w:val="20"/>
          <w:color w:val="auto"/>
        </w:rPr>
      </w:pPr>
    </w:p>
    <w:p>
      <w:pPr>
        <w:ind w:left="1300" w:right="220" w:hanging="370"/>
        <w:spacing w:after="0" w:line="278" w:lineRule="auto"/>
        <w:tabs>
          <w:tab w:leader="none" w:pos="13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believes that a tax-free distribution of our shares is the most efficient way to separate our business from Illumina in a manner that will achieve the above benefits.</w:t>
      </w:r>
    </w:p>
    <w:p>
      <w:pPr>
        <w:spacing w:after="0" w:line="272" w:lineRule="exact"/>
        <w:rPr>
          <w:sz w:val="20"/>
          <w:szCs w:val="20"/>
          <w:color w:val="auto"/>
        </w:rPr>
      </w:pPr>
    </w:p>
    <w:p>
      <w:pPr>
        <w:ind w:left="1300" w:hanging="370"/>
        <w:spacing w:after="0"/>
        <w:tabs>
          <w:tab w:leader="none" w:pos="130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I receive in the Spin-Off in respect of my shares of Illumina common stock?</w:t>
      </w:r>
    </w:p>
    <w:p>
      <w:pPr>
        <w:spacing w:after="0" w:line="118" w:lineRule="exact"/>
        <w:rPr>
          <w:sz w:val="20"/>
          <w:szCs w:val="20"/>
          <w:color w:val="auto"/>
        </w:rPr>
      </w:pPr>
    </w:p>
    <w:p>
      <w:pPr>
        <w:ind w:left="1300" w:hanging="370"/>
        <w:spacing w:after="0" w:line="255" w:lineRule="auto"/>
        <w:tabs>
          <w:tab w:leader="none" w:pos="1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holder of Illumina common stock, for every six shares of Illumina common stock you hold on the Record Date, you will receive a dividend of one share of GRAIL common stock. The distribution agent will distribute only whole shares of our common stock in the Spin-Off. See “—How will fractional shares be treated in the Distribution?” beginning on page 21 of this Information Statement for more information on the treatment of the fractional shares you may be entitled to receive in the Distribution. Your proportionate interest in Illumina will not change as a result of the Spin-Off.</w:t>
      </w:r>
    </w:p>
    <w:p>
      <w:pPr>
        <w:spacing w:after="0" w:line="292" w:lineRule="exact"/>
        <w:rPr>
          <w:sz w:val="20"/>
          <w:szCs w:val="20"/>
          <w:color w:val="auto"/>
        </w:rPr>
      </w:pPr>
    </w:p>
    <w:p>
      <w:pPr>
        <w:ind w:left="1300" w:hanging="370"/>
        <w:spacing w:after="0"/>
        <w:tabs>
          <w:tab w:leader="none" w:pos="130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being distributed in the Spin-Off?</w:t>
      </w:r>
    </w:p>
    <w:p>
      <w:pPr>
        <w:spacing w:after="0" w:line="118" w:lineRule="exact"/>
        <w:rPr>
          <w:sz w:val="20"/>
          <w:szCs w:val="20"/>
          <w:color w:val="auto"/>
        </w:rPr>
      </w:pPr>
    </w:p>
    <w:p>
      <w:pPr>
        <w:ind w:left="1300" w:right="40" w:hanging="370"/>
        <w:spacing w:after="0" w:line="253" w:lineRule="auto"/>
        <w:tabs>
          <w:tab w:leader="none" w:pos="13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approximately 159.3 million shares of Illumina common stock outstanding as of April 26, 2024, and assuming that Illumina retains a 14.5% ownership interest in us, a total of approximately 26.6 million shares of GRAIL common stock will be distributed to Illumina’s stockholders and approximately 4.5 million shares of GRAIL common stock will be retained by Illumina. The actual number of shares of our common stock that Illumina will distribute will 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Stock—Common Stock” beginning on page 238 of this Information Statement.</w:t>
      </w:r>
    </w:p>
    <w:p>
      <w:pPr>
        <w:spacing w:after="0" w:line="292" w:lineRule="exact"/>
        <w:rPr>
          <w:sz w:val="20"/>
          <w:szCs w:val="20"/>
          <w:color w:val="auto"/>
        </w:rPr>
      </w:pPr>
    </w:p>
    <w:p>
      <w:pPr>
        <w:ind w:left="1300" w:hanging="370"/>
        <w:spacing w:after="0"/>
        <w:tabs>
          <w:tab w:leader="none" w:pos="130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record date for the Distribution?</w:t>
      </w:r>
    </w:p>
    <w:p>
      <w:pPr>
        <w:spacing w:after="0" w:line="118" w:lineRule="exact"/>
        <w:rPr>
          <w:sz w:val="20"/>
          <w:szCs w:val="20"/>
          <w:color w:val="auto"/>
        </w:rPr>
      </w:pPr>
    </w:p>
    <w:p>
      <w:pPr>
        <w:ind w:left="1300" w:hanging="370"/>
        <w:spacing w:after="0"/>
        <w:tabs>
          <w:tab w:leader="none" w:pos="13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will determine record ownership as of the close of business on             , 2024 (the “Record Date”).</w:t>
      </w:r>
    </w:p>
    <w:p>
      <w:pPr>
        <w:spacing w:after="0" w:line="324" w:lineRule="exact"/>
        <w:rPr>
          <w:sz w:val="20"/>
          <w:szCs w:val="20"/>
          <w:color w:val="auto"/>
        </w:rPr>
      </w:pPr>
    </w:p>
    <w:p>
      <w:pPr>
        <w:ind w:left="1300" w:hanging="370"/>
        <w:spacing w:after="0"/>
        <w:tabs>
          <w:tab w:leader="none" w:pos="1300" w:val="left"/>
        </w:tabs>
        <w:numPr>
          <w:ilvl w:val="0"/>
          <w:numId w:val="3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When will the Distribution occur?</w:t>
      </w:r>
    </w:p>
    <w:p>
      <w:pPr>
        <w:spacing w:after="0" w:line="118" w:lineRule="exact"/>
        <w:rPr>
          <w:sz w:val="20"/>
          <w:szCs w:val="20"/>
          <w:color w:val="auto"/>
        </w:rPr>
      </w:pPr>
    </w:p>
    <w:p>
      <w:pPr>
        <w:ind w:left="1300" w:right="20" w:hanging="370"/>
        <w:spacing w:after="0" w:line="258" w:lineRule="auto"/>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will be effective as of         , New York City time, on         , 2024 (the “Distribution Date”). On or shortly after the Distribution Date, the whole shares of our common stock will be credited in book-entry accounts for Illumina stockholders entitled to receive the shares in the Distribution. See “—How will Illumina distribute shares of our common stock?” beginning on page 20 of this Information Statement for more information on how to access your book-entry account or your bank,</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00"/>
          </w:cols>
          <w:pgMar w:left="320" w:top="419" w:right="1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23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6171565" cy="523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brokerage or other account holding the GRAIL common stock you receive in the Distribution on and following the Distribution Date.</w:t>
      </w:r>
    </w:p>
    <w:p>
      <w:pPr>
        <w:spacing w:after="0" w:line="324" w:lineRule="exact"/>
        <w:rPr>
          <w:sz w:val="20"/>
          <w:szCs w:val="20"/>
          <w:color w:val="auto"/>
        </w:rPr>
      </w:pPr>
    </w:p>
    <w:p>
      <w:pPr>
        <w:ind w:left="1300" w:hanging="370"/>
        <w:spacing w:after="0"/>
        <w:tabs>
          <w:tab w:leader="none" w:pos="1300"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 I have to do to participate in the Distribution?</w:t>
      </w:r>
    </w:p>
    <w:p>
      <w:pPr>
        <w:spacing w:after="0" w:line="118" w:lineRule="exact"/>
        <w:rPr>
          <w:sz w:val="20"/>
          <w:szCs w:val="20"/>
          <w:color w:val="auto"/>
        </w:rPr>
      </w:pPr>
    </w:p>
    <w:p>
      <w:pPr>
        <w:ind w:left="1300" w:right="20" w:hanging="370"/>
        <w:spacing w:after="0" w:line="255" w:lineRule="auto"/>
        <w:tabs>
          <w:tab w:leader="none" w:pos="1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w:t>
      </w:r>
    </w:p>
    <w:p>
      <w:pPr>
        <w:spacing w:after="0" w:line="292" w:lineRule="exact"/>
        <w:rPr>
          <w:sz w:val="20"/>
          <w:szCs w:val="20"/>
          <w:color w:val="auto"/>
        </w:rPr>
      </w:pPr>
    </w:p>
    <w:p>
      <w:pPr>
        <w:ind w:left="1300" w:right="580" w:hanging="370"/>
        <w:spacing w:after="0" w:line="284" w:lineRule="auto"/>
        <w:tabs>
          <w:tab w:leader="none" w:pos="1300" w:val="left"/>
        </w:tabs>
        <w:numPr>
          <w:ilvl w:val="0"/>
          <w:numId w:val="3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If I sell my shares of Illumina common stock on or before the Distribution Date, will I still be entitled to receive shares of GRAIL common stock in the Distribution?</w:t>
      </w:r>
    </w:p>
    <w:p>
      <w:pPr>
        <w:spacing w:after="0" w:line="56" w:lineRule="exact"/>
        <w:rPr>
          <w:sz w:val="20"/>
          <w:szCs w:val="20"/>
          <w:color w:val="auto"/>
        </w:rPr>
      </w:pPr>
    </w:p>
    <w:p>
      <w:pPr>
        <w:ind w:left="1300" w:right="20" w:hanging="370"/>
        <w:spacing w:after="0" w:line="253" w:lineRule="auto"/>
        <w:tabs>
          <w:tab w:leader="none" w:pos="1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113 of this Information Statement for more information.</w:t>
      </w:r>
    </w:p>
    <w:p>
      <w:pPr>
        <w:spacing w:after="0" w:line="292" w:lineRule="exact"/>
        <w:rPr>
          <w:sz w:val="20"/>
          <w:szCs w:val="20"/>
          <w:color w:val="auto"/>
        </w:rPr>
      </w:pPr>
    </w:p>
    <w:p>
      <w:pPr>
        <w:ind w:left="1300" w:hanging="370"/>
        <w:spacing w:after="0"/>
        <w:tabs>
          <w:tab w:leader="none" w:pos="1300"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Is the completion of the Spin-Off subject to the satisfaction or waiver of any conditions?</w:t>
      </w:r>
    </w:p>
    <w:p>
      <w:pPr>
        <w:spacing w:after="0" w:line="118" w:lineRule="exact"/>
        <w:rPr>
          <w:sz w:val="20"/>
          <w:szCs w:val="20"/>
          <w:color w:val="auto"/>
        </w:rPr>
      </w:pPr>
    </w:p>
    <w:p>
      <w:pPr>
        <w:ind w:left="1300" w:hanging="370"/>
        <w:spacing w:after="0"/>
        <w:tabs>
          <w:tab w:leader="none" w:pos="1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completion of the Spin-Off is subject to the satisfaction, or the Illumina Board’s waiver, of the following conditions:</w:t>
      </w:r>
    </w:p>
    <w:p>
      <w:pPr>
        <w:spacing w:after="0" w:line="11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the Nasdaq Global Select Market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760" w:hanging="366"/>
        <w:spacing w:after="0" w:line="255" w:lineRule="auto"/>
        <w:tabs>
          <w:tab w:leader="none" w:pos="17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effectiveness and validity of Illumina’s private letter ruling from the U.S. Internal Revenue Service (“IRS”)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U.S. Internal Revenue Code of 1986, as amended (the “Code”).</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00"/>
          </w:cols>
          <w:pgMar w:left="320" w:top="419" w:right="1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96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6171565" cy="51968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20" w:hanging="366"/>
        <w:spacing w:after="0" w:line="263" w:lineRule="auto"/>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760" w:right="100" w:hanging="366"/>
        <w:spacing w:after="0" w:line="263" w:lineRule="auto"/>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73" w:lineRule="exact"/>
        <w:rPr>
          <w:rFonts w:ascii="Times New Roman" w:cs="Times New Roman" w:eastAsia="Times New Roman" w:hAnsi="Times New Roman"/>
          <w:sz w:val="16"/>
          <w:szCs w:val="16"/>
          <w:color w:val="auto"/>
        </w:rPr>
      </w:pPr>
    </w:p>
    <w:p>
      <w:pPr>
        <w:ind w:left="1760" w:right="300" w:hanging="366"/>
        <w:spacing w:after="0" w:line="278" w:lineRule="auto"/>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760" w:right="240" w:hanging="366"/>
        <w:spacing w:after="0" w:line="278" w:lineRule="auto"/>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as members of our post-Distribution Board of Directors (the “Board”), the individuals listed in this Information Statement, and such individuals shall be the members of our Board immediately after the Distribution; and</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62" w:lineRule="exact"/>
        <w:rPr>
          <w:sz w:val="20"/>
          <w:szCs w:val="20"/>
          <w:color w:val="auto"/>
        </w:rPr>
      </w:pPr>
    </w:p>
    <w:p>
      <w:pPr>
        <w:ind w:left="1300"/>
        <w:spacing w:after="0" w:line="270" w:lineRule="auto"/>
        <w:rPr>
          <w:sz w:val="20"/>
          <w:szCs w:val="20"/>
          <w:color w:val="auto"/>
        </w:rPr>
      </w:pPr>
      <w:r>
        <w:rPr>
          <w:rFonts w:ascii="Times New Roman" w:cs="Times New Roman" w:eastAsia="Times New Roman" w:hAnsi="Times New Roman"/>
          <w:sz w:val="15"/>
          <w:szCs w:val="15"/>
          <w:color w:val="auto"/>
        </w:rPr>
        <w:t>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subject to the terms of the Separation and Distribution Agreement.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284" w:lineRule="exact"/>
        <w:rPr>
          <w:sz w:val="20"/>
          <w:szCs w:val="20"/>
          <w:color w:val="auto"/>
        </w:rPr>
      </w:pPr>
    </w:p>
    <w:p>
      <w:pPr>
        <w:ind w:left="1300" w:hanging="370"/>
        <w:spacing w:after="0"/>
        <w:tabs>
          <w:tab w:leader="none" w:pos="1300" w:val="left"/>
        </w:tabs>
        <w:numPr>
          <w:ilvl w:val="0"/>
          <w:numId w:val="4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Can Illumina decide to cancel the Distribution even if all the conditions have been satisfied?</w:t>
      </w:r>
    </w:p>
    <w:p>
      <w:pPr>
        <w:spacing w:after="0" w:line="118" w:lineRule="exact"/>
        <w:rPr>
          <w:sz w:val="20"/>
          <w:szCs w:val="20"/>
          <w:color w:val="auto"/>
        </w:rPr>
      </w:pPr>
    </w:p>
    <w:p>
      <w:pPr>
        <w:ind w:left="1300" w:right="20" w:hanging="370"/>
        <w:spacing w:after="0" w:line="255" w:lineRule="auto"/>
        <w:tabs>
          <w:tab w:leader="none" w:pos="1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Illumina Board may, in its sole discretion, subject to the terms of the Separation and Distribution Agreement,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113 of this Information Statement.</w:t>
      </w:r>
    </w:p>
    <w:p>
      <w:pPr>
        <w:spacing w:after="0" w:line="292" w:lineRule="exact"/>
        <w:rPr>
          <w:sz w:val="20"/>
          <w:szCs w:val="20"/>
          <w:color w:val="auto"/>
        </w:rPr>
      </w:pPr>
    </w:p>
    <w:p>
      <w:pPr>
        <w:ind w:left="1300" w:hanging="370"/>
        <w:spacing w:after="0"/>
        <w:tabs>
          <w:tab w:leader="none" w:pos="1300" w:val="left"/>
        </w:tabs>
        <w:numPr>
          <w:ilvl w:val="0"/>
          <w:numId w:val="4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distribute shares of our common stock?</w:t>
      </w:r>
    </w:p>
    <w:p>
      <w:pPr>
        <w:spacing w:after="0" w:line="116" w:lineRule="exact"/>
        <w:rPr>
          <w:sz w:val="20"/>
          <w:szCs w:val="20"/>
          <w:color w:val="auto"/>
        </w:rPr>
      </w:pPr>
    </w:p>
    <w:p>
      <w:pPr>
        <w:ind w:left="1300" w:right="60" w:hanging="370"/>
        <w:spacing w:after="0" w:line="256" w:lineRule="auto"/>
        <w:tabs>
          <w:tab w:leader="none" w:pos="13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Registered stockholders. </w:t>
      </w:r>
      <w:r>
        <w:rPr>
          <w:rFonts w:ascii="Times New Roman" w:cs="Times New Roman" w:eastAsia="Times New Roman" w:hAnsi="Times New Roman"/>
          <w:sz w:val="16"/>
          <w:szCs w:val="16"/>
          <w:color w:val="auto"/>
        </w:rPr>
        <w:t>If you are a registered stockholder (meaning you own your shares of Illumina common stock directly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Illumina’s transfer agent, Computershare Trust Company, N.A. (“Computershare”)), our distribution agent will credit the whole shares of our common stock you receive in the Distribution to a new book-entry account with our transfer agent, Computershare, on or shortly after the Distribution Date. Our distribution agent will mail you a book-entry account statement that reflects the number of whole shares of our common stock you own. You will be able to access information regarding</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320"/>
          </w:cols>
          <w:pgMar w:left="320" w:top="419"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663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140"/>
        <w:spacing w:after="0" w:line="278" w:lineRule="auto"/>
        <w:rPr>
          <w:sz w:val="20"/>
          <w:szCs w:val="20"/>
          <w:color w:val="auto"/>
        </w:rPr>
      </w:pPr>
      <w:r>
        <w:rPr>
          <w:rFonts w:ascii="Times New Roman" w:cs="Times New Roman" w:eastAsia="Times New Roman" w:hAnsi="Times New Roman"/>
          <w:sz w:val="16"/>
          <w:szCs w:val="16"/>
          <w:color w:val="auto"/>
        </w:rPr>
        <w:t>your book-entry account holding the GRAIL shares at www.computershare.com/us.com or www-us.computershare.com/Investor/#Home or by calling +1 (781) 575 2879 or (877) 373 6374 (toll free).</w:t>
      </w:r>
    </w:p>
    <w:p>
      <w:pPr>
        <w:spacing w:after="0" w:line="48" w:lineRule="exact"/>
        <w:rPr>
          <w:sz w:val="20"/>
          <w:szCs w:val="20"/>
          <w:color w:val="auto"/>
        </w:rPr>
      </w:pPr>
    </w:p>
    <w:p>
      <w:pPr>
        <w:ind w:left="1300" w:right="18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“Street name” or beneficial stockholders. </w:t>
      </w:r>
      <w:r>
        <w:rPr>
          <w:rFonts w:ascii="Times New Roman" w:cs="Times New Roman" w:eastAsia="Times New Roman" w:hAnsi="Times New Roman"/>
          <w:sz w:val="16"/>
          <w:szCs w:val="16"/>
          <w:color w:val="auto"/>
        </w:rPr>
        <w:t>If you own your shares of Illumina common stock beneficially through a bank, broker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your bank, broker or other nominee will credit your account with the whole shares of our common stock you receive in the Distribution on or shortly after the Distribution Date. Please contact your bank, broker or other nominee for further information about your account.</w:t>
      </w:r>
    </w:p>
    <w:p>
      <w:pPr>
        <w:spacing w:after="0" w:line="65" w:lineRule="exact"/>
        <w:rPr>
          <w:sz w:val="20"/>
          <w:szCs w:val="20"/>
          <w:color w:val="auto"/>
        </w:rPr>
      </w:pPr>
    </w:p>
    <w:p>
      <w:pPr>
        <w:ind w:left="1300" w:right="220"/>
        <w:spacing w:after="0" w:line="278" w:lineRule="auto"/>
        <w:rPr>
          <w:sz w:val="20"/>
          <w:szCs w:val="20"/>
          <w:color w:val="auto"/>
        </w:rPr>
      </w:pPr>
      <w:r>
        <w:rPr>
          <w:rFonts w:ascii="Times New Roman" w:cs="Times New Roman" w:eastAsia="Times New Roman" w:hAnsi="Times New Roman"/>
          <w:sz w:val="16"/>
          <w:szCs w:val="16"/>
          <w:color w:val="auto"/>
        </w:rPr>
        <w:t>We will not issue any physical stock certificates to any stockholders, even if requested. See the section entitled “The Spin-Off—When and How You Will Receive GRAIL Shares” beginning on page 106 of this Information Statement for a more detailed explanation.</w:t>
      </w:r>
    </w:p>
    <w:p>
      <w:pPr>
        <w:spacing w:after="0" w:line="272" w:lineRule="exact"/>
        <w:rPr>
          <w:sz w:val="20"/>
          <w:szCs w:val="20"/>
          <w:color w:val="auto"/>
        </w:rPr>
      </w:pPr>
    </w:p>
    <w:p>
      <w:pPr>
        <w:ind w:left="1300" w:hanging="370"/>
        <w:spacing w:after="0"/>
        <w:tabs>
          <w:tab w:leader="none" w:pos="1300" w:val="left"/>
        </w:tabs>
        <w:numPr>
          <w:ilvl w:val="0"/>
          <w:numId w:val="4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fractional shares be treated in the Distribution?</w:t>
      </w:r>
    </w:p>
    <w:p>
      <w:pPr>
        <w:spacing w:after="0" w:line="118" w:lineRule="exact"/>
        <w:rPr>
          <w:sz w:val="20"/>
          <w:szCs w:val="20"/>
          <w:color w:val="auto"/>
        </w:rPr>
      </w:pPr>
    </w:p>
    <w:p>
      <w:pPr>
        <w:ind w:left="1300" w:right="20" w:hanging="370"/>
        <w:spacing w:after="0" w:line="251" w:lineRule="auto"/>
        <w:tabs>
          <w:tab w:leader="none" w:pos="13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one trading day following the Distribution Date. See “—How will GRAIL common stock trade?” beginning on page 22 of this Information Statement for additional information regarding “when-issued” trading and the section entitled “The Spin-Off—Treatment of Fractional Shares” beginning on page 107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w:t>
      </w:r>
    </w:p>
    <w:p>
      <w:pPr>
        <w:spacing w:after="0" w:line="295" w:lineRule="exact"/>
        <w:rPr>
          <w:sz w:val="20"/>
          <w:szCs w:val="20"/>
          <w:color w:val="auto"/>
        </w:rPr>
      </w:pPr>
    </w:p>
    <w:p>
      <w:pPr>
        <w:ind w:left="1300" w:hanging="370"/>
        <w:spacing w:after="0"/>
        <w:tabs>
          <w:tab w:leader="none" w:pos="1300" w:val="left"/>
        </w:tabs>
        <w:numPr>
          <w:ilvl w:val="0"/>
          <w:numId w:val="5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U.S. federal income tax consequences to me of the Distribution?</w:t>
      </w:r>
    </w:p>
    <w:p>
      <w:pPr>
        <w:spacing w:after="0" w:line="118" w:lineRule="exact"/>
        <w:rPr>
          <w:sz w:val="20"/>
          <w:szCs w:val="20"/>
          <w:color w:val="auto"/>
        </w:rPr>
      </w:pPr>
    </w:p>
    <w:p>
      <w:pPr>
        <w:ind w:left="1300" w:hanging="370"/>
        <w:spacing w:after="0" w:line="251" w:lineRule="auto"/>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108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108 of this Information Statement for more information regarding the potential tax consequences to you of the Spin-Off.</w:t>
      </w:r>
    </w:p>
    <w:p>
      <w:pPr>
        <w:spacing w:after="0" w:line="71" w:lineRule="exact"/>
        <w:rPr>
          <w:rFonts w:ascii="Times New Roman" w:cs="Times New Roman" w:eastAsia="Times New Roman" w:hAnsi="Times New Roman"/>
          <w:sz w:val="16"/>
          <w:szCs w:val="16"/>
          <w:color w:val="auto"/>
        </w:rPr>
      </w:pPr>
    </w:p>
    <w:p>
      <w:pPr>
        <w:ind w:left="1300" w:right="50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300"/>
          </w:cols>
          <w:pgMar w:left="320" w:top="419"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476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6171565" cy="54762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hanging="370"/>
        <w:spacing w:after="0"/>
        <w:tabs>
          <w:tab w:leader="none" w:pos="1300"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Does GRAIL intend to pay cash dividends?</w:t>
      </w:r>
    </w:p>
    <w:p>
      <w:pPr>
        <w:spacing w:after="0" w:line="118" w:lineRule="exact"/>
        <w:rPr>
          <w:sz w:val="20"/>
          <w:szCs w:val="20"/>
          <w:color w:val="auto"/>
        </w:rPr>
      </w:pPr>
    </w:p>
    <w:p>
      <w:pPr>
        <w:ind w:left="1300" w:hanging="370"/>
        <w:spacing w:after="0" w:line="252" w:lineRule="auto"/>
        <w:tabs>
          <w:tab w:leader="none" w:pos="13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w:t>
      </w:r>
    </w:p>
    <w:p>
      <w:pPr>
        <w:spacing w:after="0" w:line="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page 115 of this Information Statement for more information.</w:t>
      </w:r>
    </w:p>
    <w:p>
      <w:pPr>
        <w:spacing w:after="0" w:line="307" w:lineRule="exact"/>
        <w:rPr>
          <w:sz w:val="20"/>
          <w:szCs w:val="20"/>
          <w:color w:val="auto"/>
        </w:rPr>
      </w:pPr>
    </w:p>
    <w:p>
      <w:pPr>
        <w:ind w:left="1300" w:hanging="370"/>
        <w:spacing w:after="0"/>
        <w:tabs>
          <w:tab w:leader="none" w:pos="1300" w:val="left"/>
        </w:tabs>
        <w:numPr>
          <w:ilvl w:val="0"/>
          <w:numId w:val="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GRAIL common stock trade?</w:t>
      </w:r>
    </w:p>
    <w:p>
      <w:pPr>
        <w:spacing w:after="0" w:line="118" w:lineRule="exact"/>
        <w:rPr>
          <w:sz w:val="20"/>
          <w:szCs w:val="20"/>
          <w:color w:val="auto"/>
        </w:rPr>
      </w:pPr>
    </w:p>
    <w:p>
      <w:pPr>
        <w:ind w:left="1300" w:hanging="370"/>
        <w:spacing w:after="0"/>
        <w:tabs>
          <w:tab w:leader="none" w:pos="13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there is no public market for our common stock. We intend to list our common stock on Nasdaq under the ticker symbol “GRAL.”</w:t>
      </w:r>
    </w:p>
    <w:p>
      <w:pPr>
        <w:spacing w:after="0" w:line="113" w:lineRule="exact"/>
        <w:rPr>
          <w:rFonts w:ascii="Times New Roman" w:cs="Times New Roman" w:eastAsia="Times New Roman" w:hAnsi="Times New Roman"/>
          <w:sz w:val="15"/>
          <w:szCs w:val="15"/>
          <w:color w:val="auto"/>
        </w:rPr>
      </w:pPr>
    </w:p>
    <w:p>
      <w:pPr>
        <w:ind w:left="130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one trading day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113 of this Information Statement for more information. We cannot predict the trading prices for our common stock before, on or after the Distribution Date.</w:t>
      </w:r>
    </w:p>
    <w:p>
      <w:pPr>
        <w:spacing w:after="0" w:line="295" w:lineRule="exact"/>
        <w:rPr>
          <w:sz w:val="20"/>
          <w:szCs w:val="20"/>
          <w:color w:val="auto"/>
        </w:rPr>
      </w:pPr>
    </w:p>
    <w:p>
      <w:pPr>
        <w:ind w:left="1300" w:hanging="370"/>
        <w:spacing w:after="0"/>
        <w:tabs>
          <w:tab w:leader="none" w:pos="1300" w:val="left"/>
        </w:tabs>
        <w:numPr>
          <w:ilvl w:val="0"/>
          <w:numId w:val="5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the listing of Illumina’s common stock?</w:t>
      </w:r>
    </w:p>
    <w:p>
      <w:pPr>
        <w:spacing w:after="0" w:line="118" w:lineRule="exact"/>
        <w:rPr>
          <w:sz w:val="20"/>
          <w:szCs w:val="20"/>
          <w:color w:val="auto"/>
        </w:rPr>
      </w:pPr>
    </w:p>
    <w:p>
      <w:pPr>
        <w:ind w:left="1300" w:hanging="370"/>
        <w:spacing w:after="0"/>
        <w:tabs>
          <w:tab w:leader="none" w:pos="13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common stock will continue to trade on Nasdaq under the ticker symbol “ILMN” after the Distribution.</w:t>
      </w:r>
    </w:p>
    <w:p>
      <w:pPr>
        <w:spacing w:after="0" w:line="324" w:lineRule="exact"/>
        <w:rPr>
          <w:sz w:val="20"/>
          <w:szCs w:val="20"/>
          <w:color w:val="auto"/>
        </w:rPr>
      </w:pPr>
    </w:p>
    <w:p>
      <w:pPr>
        <w:ind w:left="1300" w:hanging="370"/>
        <w:spacing w:after="0"/>
        <w:tabs>
          <w:tab w:leader="none" w:pos="1300" w:val="left"/>
        </w:tabs>
        <w:numPr>
          <w:ilvl w:val="0"/>
          <w:numId w:val="5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Spin-Off affect the trading price of my Illumina common stock?</w:t>
      </w:r>
    </w:p>
    <w:p>
      <w:pPr>
        <w:spacing w:after="0" w:line="118" w:lineRule="exact"/>
        <w:rPr>
          <w:sz w:val="20"/>
          <w:szCs w:val="20"/>
          <w:color w:val="auto"/>
        </w:rPr>
      </w:pPr>
    </w:p>
    <w:p>
      <w:pPr>
        <w:ind w:left="1300" w:hanging="370"/>
        <w:spacing w:after="0" w:line="254" w:lineRule="auto"/>
        <w:tabs>
          <w:tab w:leader="none" w:pos="1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w:t>
      </w:r>
    </w:p>
    <w:p>
      <w:pPr>
        <w:spacing w:after="0" w:line="69" w:lineRule="exact"/>
        <w:rPr>
          <w:rFonts w:ascii="Times New Roman" w:cs="Times New Roman" w:eastAsia="Times New Roman" w:hAnsi="Times New Roman"/>
          <w:sz w:val="16"/>
          <w:szCs w:val="16"/>
          <w:color w:val="auto"/>
        </w:rPr>
      </w:pPr>
    </w:p>
    <w:p>
      <w:pPr>
        <w:ind w:left="1300" w:right="1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after the Spin-Off, the combined equity value of Illumina and GRAIL will be less than Illumina’s equity value before the Spin-Off.</w:t>
      </w:r>
    </w:p>
    <w:p>
      <w:pPr>
        <w:spacing w:after="0" w:line="272" w:lineRule="exact"/>
        <w:rPr>
          <w:sz w:val="20"/>
          <w:szCs w:val="20"/>
          <w:color w:val="auto"/>
        </w:rPr>
      </w:pPr>
    </w:p>
    <w:p>
      <w:pPr>
        <w:ind w:left="1300" w:hanging="370"/>
        <w:spacing w:after="0"/>
        <w:tabs>
          <w:tab w:leader="none" w:pos="1300"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Illumina’s equity incentive awards in connection with the Spin-Off?</w:t>
      </w:r>
    </w:p>
    <w:p>
      <w:pPr>
        <w:spacing w:after="0" w:line="118" w:lineRule="exact"/>
        <w:rPr>
          <w:sz w:val="20"/>
          <w:szCs w:val="20"/>
          <w:color w:val="auto"/>
        </w:rPr>
      </w:pPr>
    </w:p>
    <w:p>
      <w:pPr>
        <w:ind w:left="1300" w:right="20" w:hanging="370"/>
        <w:spacing w:after="0" w:line="258" w:lineRule="auto"/>
        <w:tabs>
          <w:tab w:leader="none" w:pos="1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280"/>
          </w:cols>
          <w:pgMar w:left="320" w:top="419"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770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6171565" cy="57708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16"/>
          <w:szCs w:val="16"/>
          <w:color w:val="auto"/>
        </w:rPr>
        <w:t>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w:t>
      </w:r>
    </w:p>
    <w:p>
      <w:pPr>
        <w:spacing w:after="0" w:line="284" w:lineRule="exact"/>
        <w:rPr>
          <w:sz w:val="20"/>
          <w:szCs w:val="20"/>
          <w:color w:val="auto"/>
        </w:rPr>
      </w:pPr>
    </w:p>
    <w:p>
      <w:pPr>
        <w:ind w:left="1300" w:hanging="370"/>
        <w:spacing w:after="0"/>
        <w:tabs>
          <w:tab w:leader="none" w:pos="1300" w:val="left"/>
        </w:tabs>
        <w:numPr>
          <w:ilvl w:val="0"/>
          <w:numId w:val="6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GRAIL’s cash-based equity incentive awards in connection with the Spin-Off?</w:t>
      </w:r>
    </w:p>
    <w:p>
      <w:pPr>
        <w:spacing w:after="0" w:line="118" w:lineRule="exact"/>
        <w:rPr>
          <w:sz w:val="20"/>
          <w:szCs w:val="20"/>
          <w:color w:val="auto"/>
        </w:rPr>
      </w:pPr>
    </w:p>
    <w:p>
      <w:pPr>
        <w:ind w:left="1300" w:right="20" w:hanging="370"/>
        <w:spacing w:after="0" w:line="253" w:lineRule="auto"/>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GRAIL cash-based equity incentive award (each, a “Cash-Based Equity Award”) outstanding as of the Distribution Date will convert into an equity-based award that settles in shares of GRAIL common stock, with the number of shares subject to such award generally determined based on the value of the award (with certain adjustments) at the time of the Distribution, compared to the market capitalization of GRAIL for the four trading days following the Distribution, and will otherwise continue to be subject to the same terms and conditions following the Distribution Date (each such converted award, a “GRAIL RSU”). For additional information regarding such conversion methodology, see the section entitled “Certain Relationships and Related Party Transactions—Agreements with Illumina—Employee Matters Agreement” beginning on page 234 of this Information Statement.</w:t>
      </w:r>
    </w:p>
    <w:p>
      <w:pPr>
        <w:spacing w:after="0" w:line="292" w:lineRule="exact"/>
        <w:rPr>
          <w:sz w:val="20"/>
          <w:szCs w:val="20"/>
          <w:color w:val="auto"/>
        </w:rPr>
      </w:pPr>
    </w:p>
    <w:p>
      <w:pPr>
        <w:ind w:left="1300" w:hanging="370"/>
        <w:spacing w:after="0"/>
        <w:tabs>
          <w:tab w:leader="none" w:pos="1300" w:val="left"/>
        </w:tabs>
        <w:numPr>
          <w:ilvl w:val="0"/>
          <w:numId w:val="6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GRAIL’s relationship be with Illumina following the Spin-Off?</w:t>
      </w:r>
    </w:p>
    <w:p>
      <w:pPr>
        <w:spacing w:after="0" w:line="118" w:lineRule="exact"/>
        <w:rPr>
          <w:sz w:val="20"/>
          <w:szCs w:val="20"/>
          <w:color w:val="auto"/>
        </w:rPr>
      </w:pPr>
    </w:p>
    <w:p>
      <w:pPr>
        <w:ind w:left="1300" w:right="20" w:hanging="370"/>
        <w:spacing w:after="0" w:line="250" w:lineRule="auto"/>
        <w:tabs>
          <w:tab w:leader="none" w:pos="13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 Employee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Employee Matters Agreement, and Stockholder and Registration Rights Agreement, see the sections entitled “Risk Factors—Risks Relating to the Spin-Off” and “Certain Relationships and Related Party Transactions” beginning on pages 90 and 233, respectively, of this Information Statement.</w:t>
      </w:r>
    </w:p>
    <w:p>
      <w:pPr>
        <w:spacing w:after="0" w:line="301" w:lineRule="exact"/>
        <w:rPr>
          <w:sz w:val="20"/>
          <w:szCs w:val="20"/>
          <w:color w:val="auto"/>
        </w:rPr>
      </w:pPr>
    </w:p>
    <w:p>
      <w:pPr>
        <w:ind w:left="1300" w:hanging="370"/>
        <w:spacing w:after="0"/>
        <w:tabs>
          <w:tab w:leader="none" w:pos="1300" w:val="left"/>
        </w:tabs>
        <w:numPr>
          <w:ilvl w:val="0"/>
          <w:numId w:val="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vote any shares of GRAIL common stock it retains?</w:t>
      </w:r>
    </w:p>
    <w:p>
      <w:pPr>
        <w:spacing w:after="0" w:line="118" w:lineRule="exact"/>
        <w:rPr>
          <w:sz w:val="20"/>
          <w:szCs w:val="20"/>
          <w:color w:val="auto"/>
        </w:rPr>
      </w:pPr>
    </w:p>
    <w:p>
      <w:pPr>
        <w:ind w:left="1300" w:right="340" w:hanging="370"/>
        <w:spacing w:after="0" w:line="258" w:lineRule="auto"/>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 Stockholder and Registration Rights Agreement” beginning on page 235 of this Information Statement.</w:t>
      </w:r>
    </w:p>
    <w:p>
      <w:pPr>
        <w:spacing w:after="0" w:line="288" w:lineRule="exact"/>
        <w:rPr>
          <w:sz w:val="20"/>
          <w:szCs w:val="20"/>
          <w:color w:val="auto"/>
        </w:rPr>
      </w:pPr>
    </w:p>
    <w:p>
      <w:pPr>
        <w:ind w:left="1300" w:hanging="370"/>
        <w:spacing w:after="0"/>
        <w:tabs>
          <w:tab w:leader="none" w:pos="1300"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does Illumina intend to do with any shares of GRAIL common stock it retains?</w:t>
      </w:r>
    </w:p>
    <w:p>
      <w:pPr>
        <w:spacing w:after="0" w:line="118" w:lineRule="exact"/>
        <w:rPr>
          <w:sz w:val="20"/>
          <w:szCs w:val="20"/>
          <w:color w:val="auto"/>
        </w:rPr>
      </w:pPr>
    </w:p>
    <w:p>
      <w:pPr>
        <w:ind w:left="1300" w:hanging="370"/>
        <w:spacing w:after="0" w:line="254" w:lineRule="auto"/>
        <w:tabs>
          <w:tab w:leader="none" w:pos="13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300"/>
          </w:cols>
          <w:pgMar w:left="320" w:top="419" w:right="1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6466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6171565" cy="64662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600"/>
        <w:spacing w:after="0" w:line="278" w:lineRule="auto"/>
        <w:rPr>
          <w:sz w:val="20"/>
          <w:szCs w:val="20"/>
          <w:color w:val="auto"/>
        </w:rPr>
      </w:pPr>
      <w:r>
        <w:rPr>
          <w:rFonts w:ascii="Times New Roman" w:cs="Times New Roman" w:eastAsia="Times New Roman" w:hAnsi="Times New Roman"/>
          <w:sz w:val="16"/>
          <w:szCs w:val="16"/>
          <w:color w:val="auto"/>
        </w:rPr>
        <w:t>stockholders or securityholders as dividends or in exchange for outstanding shares of Illumina common stock, indebtedness or other securities, or any combination thereof.</w:t>
      </w:r>
    </w:p>
    <w:p>
      <w:pPr>
        <w:spacing w:after="0" w:line="272" w:lineRule="exact"/>
        <w:rPr>
          <w:sz w:val="20"/>
          <w:szCs w:val="20"/>
          <w:color w:val="auto"/>
        </w:rPr>
      </w:pPr>
    </w:p>
    <w:p>
      <w:pPr>
        <w:ind w:left="1300" w:hanging="370"/>
        <w:spacing w:after="0"/>
        <w:tabs>
          <w:tab w:leader="none" w:pos="1300" w:val="left"/>
        </w:tabs>
        <w:numPr>
          <w:ilvl w:val="0"/>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will manage GRAIL following the Spin-Off?</w:t>
      </w:r>
    </w:p>
    <w:p>
      <w:pPr>
        <w:spacing w:after="0" w:line="118" w:lineRule="exact"/>
        <w:rPr>
          <w:sz w:val="20"/>
          <w:szCs w:val="20"/>
          <w:color w:val="auto"/>
        </w:rPr>
      </w:pPr>
    </w:p>
    <w:p>
      <w:pPr>
        <w:ind w:left="1300" w:right="120" w:hanging="370"/>
        <w:spacing w:after="0" w:line="263" w:lineRule="auto"/>
        <w:tabs>
          <w:tab w:leader="none" w:pos="13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is led by Robert Ragusa, who is GRAIL’s Chief Executive Officer, and Aaron Freidin, who is GRAIL’s Chief Financial Officer. For more information regarding GRAIL’s directors and management, see the section entitled “Management” beginning on page 213 of this Information Statement.</w:t>
      </w:r>
    </w:p>
    <w:p>
      <w:pPr>
        <w:spacing w:after="0" w:line="284" w:lineRule="exact"/>
        <w:rPr>
          <w:sz w:val="20"/>
          <w:szCs w:val="20"/>
          <w:color w:val="auto"/>
        </w:rPr>
      </w:pPr>
    </w:p>
    <w:p>
      <w:pPr>
        <w:ind w:left="1300" w:hanging="370"/>
        <w:spacing w:after="0"/>
        <w:tabs>
          <w:tab w:leader="none" w:pos="1300" w:val="left"/>
        </w:tabs>
        <w:numPr>
          <w:ilvl w:val="0"/>
          <w:numId w:val="7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 I have appraisal rights in connection with the Spin-Off?</w:t>
      </w:r>
    </w:p>
    <w:p>
      <w:pPr>
        <w:spacing w:after="0" w:line="118" w:lineRule="exact"/>
        <w:rPr>
          <w:sz w:val="20"/>
          <w:szCs w:val="20"/>
          <w:color w:val="auto"/>
        </w:rPr>
      </w:pPr>
    </w:p>
    <w:p>
      <w:pPr>
        <w:ind w:left="1300" w:hanging="370"/>
        <w:spacing w:after="0"/>
        <w:tabs>
          <w:tab w:leader="none" w:pos="13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Holders of Illumina common stock are not entitled to appraisal rights in connection with the Spin-Off.</w:t>
      </w:r>
    </w:p>
    <w:p>
      <w:pPr>
        <w:spacing w:after="0" w:line="324" w:lineRule="exact"/>
        <w:rPr>
          <w:sz w:val="20"/>
          <w:szCs w:val="20"/>
          <w:color w:val="auto"/>
        </w:rPr>
      </w:pPr>
    </w:p>
    <w:p>
      <w:pPr>
        <w:ind w:left="1300" w:hanging="370"/>
        <w:spacing w:after="0"/>
        <w:tabs>
          <w:tab w:leader="none" w:pos="1300"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is the transfer agent and registrar for GRAIL common stock?</w:t>
      </w:r>
    </w:p>
    <w:p>
      <w:pPr>
        <w:spacing w:after="0" w:line="118" w:lineRule="exact"/>
        <w:rPr>
          <w:sz w:val="20"/>
          <w:szCs w:val="20"/>
          <w:color w:val="auto"/>
        </w:rPr>
      </w:pPr>
    </w:p>
    <w:p>
      <w:pPr>
        <w:ind w:left="1300" w:hanging="370"/>
        <w:spacing w:after="0"/>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is the transfer agent and registrar for GRAIL common stock.</w:t>
      </w:r>
    </w:p>
    <w:p>
      <w:pPr>
        <w:spacing w:after="0" w:line="324" w:lineRule="exact"/>
        <w:rPr>
          <w:sz w:val="20"/>
          <w:szCs w:val="20"/>
          <w:color w:val="auto"/>
        </w:rPr>
      </w:pPr>
    </w:p>
    <w:p>
      <w:pPr>
        <w:ind w:left="1300" w:hanging="370"/>
        <w:spacing w:after="0"/>
        <w:tabs>
          <w:tab w:leader="none" w:pos="1300"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Are there risks associated with owning shares of GRAIL common stock?</w:t>
      </w:r>
    </w:p>
    <w:p>
      <w:pPr>
        <w:spacing w:after="0" w:line="118" w:lineRule="exact"/>
        <w:rPr>
          <w:sz w:val="20"/>
          <w:szCs w:val="20"/>
          <w:color w:val="auto"/>
        </w:rPr>
      </w:pPr>
    </w:p>
    <w:p>
      <w:pPr>
        <w:ind w:left="1300" w:hanging="370"/>
        <w:spacing w:after="0" w:line="263" w:lineRule="auto"/>
        <w:tabs>
          <w:tab w:leader="none" w:pos="13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31 of this Information Statement.</w:t>
      </w:r>
    </w:p>
    <w:p>
      <w:pPr>
        <w:spacing w:after="0" w:line="284" w:lineRule="exact"/>
        <w:rPr>
          <w:sz w:val="20"/>
          <w:szCs w:val="20"/>
          <w:color w:val="auto"/>
        </w:rPr>
      </w:pPr>
    </w:p>
    <w:p>
      <w:pPr>
        <w:ind w:left="1300" w:hanging="370"/>
        <w:spacing w:after="0"/>
        <w:tabs>
          <w:tab w:leader="none" w:pos="1300"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Where can I get more information?</w:t>
      </w:r>
    </w:p>
    <w:p>
      <w:pPr>
        <w:spacing w:after="0" w:line="118" w:lineRule="exact"/>
        <w:rPr>
          <w:sz w:val="20"/>
          <w:szCs w:val="20"/>
          <w:color w:val="auto"/>
        </w:rPr>
      </w:pPr>
    </w:p>
    <w:p>
      <w:pPr>
        <w:ind w:left="1300" w:hanging="370"/>
        <w:spacing w:after="0"/>
        <w:tabs>
          <w:tab w:leader="none" w:pos="13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relating to the mechanics of the Distribution, you should contact the distribution agent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Computershare Trust Company, N.A.</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150 Royall Street</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Canton, MA 02021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(877) 373-6374</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web.queries@computershare.com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Before the Spin-Off, if you have any questions relating to the Spin-Off, you should contact Illumina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(858) 202-4500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ir@illumina.com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After the Spin-Off, if you have any questions relating to GRAIL, you should contact us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(833) 694-2553</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ir@grail.com</w:t>
      </w:r>
    </w:p>
    <w:p>
      <w:pPr>
        <w:spacing w:after="0" w:line="180" w:lineRule="exact"/>
        <w:rPr>
          <w:sz w:val="20"/>
          <w:szCs w:val="20"/>
          <w:color w:val="auto"/>
        </w:rPr>
      </w:pPr>
    </w:p>
    <w:p>
      <w:pPr>
        <w:ind w:left="920" w:right="60" w:firstLine="375"/>
        <w:spacing w:after="0" w:line="263" w:lineRule="auto"/>
        <w:rPr>
          <w:sz w:val="20"/>
          <w:szCs w:val="20"/>
          <w:color w:val="auto"/>
        </w:rPr>
      </w:pPr>
      <w:r>
        <w:rPr>
          <w:rFonts w:ascii="Times New Roman" w:cs="Times New Roman" w:eastAsia="Times New Roman" w:hAnsi="Times New Roman"/>
          <w:sz w:val="16"/>
          <w:szCs w:val="16"/>
          <w:color w:val="auto"/>
        </w:rPr>
        <w:t>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280"/>
          </w:cols>
          <w:pgMar w:left="320" w:top="419" w:right="1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61"/>
        </w:trPr>
        <w:tc>
          <w:tcPr>
            <w:tcW w:w="266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SUMMARY OF THE SPIN-OFF</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Distributing Company</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Illumina, Inc., or “Illumina,” a Delaware corporation that holds all of our common stock</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issued and outstanding prior to the Distribution. After the Distribution, Illumina will own</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up to 14.5% of the shares of our common stock.</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Distributed Company</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LLC, or “GRAIL,” a Delaware limited liability company and a wholly owned</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subsidiary of Illumina. Immediately prior to the completion of the Spin-Off, GRAIL will</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be converted into a Delaware corporation and will be renamed GRAIL, Inc. After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Spin-Off, we will be an independent, publicly traded company.</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Distributed Securities</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At least 85.5% of the shares of our common stock owned by Illumina, which will be at</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least 85.5% of our common stock issued and outstanding immediately prior to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Illumina may retain up to 14.5% of the outstanding shares of GRAIL’s</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common stock. The IRS private letter ruling requires that all retained shares be sold or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otherwise disposed of by Illumina as soon as warranted consistent with the business</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reasons for the retention of those shares, but in no event later than five years after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Such dispositions could include a sale of its shares for cash, distributions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common stock to Illumina stockholders or securityholders as dividends or in</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exchange for outstanding shares of Illumina common stock, indebtedness or other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securities, or any combination thereof. Based on the approximately 159.3 million shares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Illumina common stock outstanding on April 26, 2024, and applying the distribution ratio</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pursuant to which, for every six shares of Illumina common stock outstanding, one share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common stock will be distributed, approximately 26.6 million shares of GRAIL</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common stock will be distributed in the aggregate.</w:t>
            </w:r>
          </w:p>
        </w:tc>
      </w:tr>
      <w:tr>
        <w:trPr>
          <w:trHeight w:val="388"/>
        </w:trPr>
        <w:tc>
          <w:tcPr>
            <w:tcW w:w="2660" w:type="dxa"/>
            <w:vAlign w:val="bottom"/>
            <w:tcBorders>
              <w:left w:val="single" w:sz="8" w:color="auto"/>
            </w:tcBorders>
          </w:tcPr>
          <w:p>
            <w:pPr>
              <w:spacing w:after="0"/>
              <w:rPr>
                <w:sz w:val="24"/>
                <w:szCs w:val="24"/>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In connection with the Spin-Off, each Cash-Based Equity Award outstanding as of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Date will convert into GRAIL RSUs.</w:t>
            </w:r>
          </w:p>
        </w:tc>
      </w:tr>
      <w:tr>
        <w:trPr>
          <w:trHeight w:val="405"/>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Record Date</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The Record Date is the close of business on             , 2024.</w:t>
            </w:r>
          </w:p>
        </w:tc>
      </w:tr>
      <w:tr>
        <w:trPr>
          <w:trHeight w:val="417"/>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Distribution Date</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The Distribution Date is             , 2024.</w:t>
            </w:r>
          </w:p>
        </w:tc>
      </w:tr>
      <w:tr>
        <w:trPr>
          <w:trHeight w:val="400"/>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Distribution Ratio</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For every six shares of Illumina common stock each Illumina stockholder holds on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Record Date, such stockholder will receive one share of our common stock.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agent will distribute only whole shares of our common stock in the Spin-Off.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See the section entitled “The Spin-Off—Treatment of Fractional Shares” beginning on</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page 107 of this Information Statement for more detail. Please note that if you sell your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shares of Illumina common stock on or before the Distribution Date, the buyer of those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shares may in some circumstances be entitled to receive the shares of our common stock to</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be distributed in respect of the Illumina shares that you sold. For more information, see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section entitled “The</w:t>
            </w:r>
          </w:p>
        </w:tc>
      </w:tr>
      <w:tr>
        <w:trPr>
          <w:trHeight w:val="138"/>
        </w:trPr>
        <w:tc>
          <w:tcPr>
            <w:tcW w:w="2660" w:type="dxa"/>
            <w:vAlign w:val="bottom"/>
            <w:tcBorders>
              <w:left w:val="single" w:sz="8" w:color="auto"/>
              <w:bottom w:val="single" w:sz="8" w:color="auto"/>
            </w:tcBorders>
          </w:tcPr>
          <w:p>
            <w:pPr>
              <w:spacing w:after="0"/>
              <w:rPr>
                <w:sz w:val="12"/>
                <w:szCs w:val="12"/>
                <w:color w:val="auto"/>
              </w:rPr>
            </w:pPr>
          </w:p>
        </w:tc>
        <w:tc>
          <w:tcPr>
            <w:tcW w:w="7060" w:type="dxa"/>
            <w:vAlign w:val="bottom"/>
            <w:tcBorders>
              <w:bottom w:val="single" w:sz="8" w:color="auto"/>
              <w:right w:val="single" w:sz="8" w:color="auto"/>
            </w:tcBorders>
          </w:tcPr>
          <w:p>
            <w:pPr>
              <w:spacing w:after="0"/>
              <w:rPr>
                <w:sz w:val="12"/>
                <w:szCs w:val="12"/>
                <w:color w:val="auto"/>
              </w:rPr>
            </w:pPr>
          </w:p>
        </w:tc>
      </w:tr>
      <w:tr>
        <w:trPr>
          <w:trHeight w:val="318"/>
        </w:trPr>
        <w:tc>
          <w:tcPr>
            <w:tcW w:w="2660" w:type="dxa"/>
            <w:vAlign w:val="bottom"/>
          </w:tcPr>
          <w:p>
            <w:pPr>
              <w:spacing w:after="0"/>
              <w:rPr>
                <w:sz w:val="24"/>
                <w:szCs w:val="24"/>
                <w:color w:val="auto"/>
              </w:rPr>
            </w:pPr>
          </w:p>
        </w:tc>
        <w:tc>
          <w:tcPr>
            <w:tcW w:w="706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25</w:t>
            </w:r>
          </w:p>
        </w:tc>
      </w:tr>
    </w:tbl>
    <w:p>
      <w:pPr>
        <w:sectPr>
          <w:pgSz w:w="11900" w:h="16838" w:orient="portrait"/>
          <w:cols w:equalWidth="0" w:num="1">
            <w:col w:w="10480"/>
          </w:cols>
          <w:pgMar w:left="320" w:top="419" w:right="10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8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Spin-Off—Trading Prior to the Distribution Date” beginning on page 113 of this</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Information Statement.</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Distribution</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On the Distribution Date, Illumina will release the shares of our common stock to the</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distribution agent to distribute to Illumina stockholders. Illumina will distribute our shares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 book-entry form and thus we will not issue any physical stock certificates. You will not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be required to make any payment, surrender or exchange your shares of Illumina common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stock or take any other action to receive your shares of our common stock.</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Fractional Shares</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Illumina stockholders. Instead, the distribution agent will first aggregate fractional shares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into whole shares, then sell the whole shares in the open market at prevailing market prices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on behalf of Illumina stockholders entitled to receive a fractional share, and finally</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distribute the aggregate cash proceeds of the sales, net of brokerage fees and other costs,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pro rata to these holders (net of any required withholding for taxes applicable to each</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holder). If you receive cash in lieu of fractional shares, you will not be entitled to any</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interest on the payments. The cash you receive in lieu of fractional shares generally will,</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for U.S. federal income tax purposes, be taxable as described under the section entitled</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Spin-Off—Material U.S. Federal Income Tax Consequences of the Spin-Off”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beginning on page 108 of this Information Statement.</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Conditions to the Spin-Off</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Completion of the Spin-Off is subject to the satisfaction, or the Illumina Board’s waiver,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following conditions: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Illumina Board shall have authorized and approved the Distribution and not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withdrawn such authorization and approval, and shall have declared the dividend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our common stock to Illumina stockholders;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ancillary agreements contemplated by the Separation and Distribution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Agreement shall have been executed by each party to those agreements;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our common stock shall have been accepted for listing on Nasdaq or another</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national securities exchange approved by Illumina, subject to official notice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issuance;</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SEC shall have declared effective our Registration Statement on Form 10, of</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which this Information Statement is a part, under the Exchange Act, and no stop</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order suspending the effectiveness of the Registration Statement shall be in effect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and no proceedings for that purpose shall be pending before or threatened by the</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SEC;</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continuing effectiveness and validity of Illumina’s private letter ruling from the</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IRS and the receipt and continuing effectiveness and validity of a favorable written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opinion of</w:t>
            </w:r>
          </w:p>
        </w:tc>
      </w:tr>
      <w:tr>
        <w:trPr>
          <w:trHeight w:val="138"/>
        </w:trPr>
        <w:tc>
          <w:tcPr>
            <w:tcW w:w="2800" w:type="dxa"/>
            <w:vAlign w:val="bottom"/>
            <w:tcBorders>
              <w:left w:val="single" w:sz="8" w:color="auto"/>
              <w:bottom w:val="single" w:sz="8" w:color="auto"/>
            </w:tcBorders>
          </w:tcPr>
          <w:p>
            <w:pPr>
              <w:spacing w:after="0"/>
              <w:rPr>
                <w:sz w:val="12"/>
                <w:szCs w:val="12"/>
                <w:color w:val="auto"/>
              </w:rPr>
            </w:pPr>
          </w:p>
        </w:tc>
        <w:tc>
          <w:tcPr>
            <w:tcW w:w="6920" w:type="dxa"/>
            <w:vAlign w:val="bottom"/>
            <w:tcBorders>
              <w:bottom w:val="single" w:sz="8" w:color="auto"/>
              <w:right w:val="single" w:sz="8" w:color="auto"/>
            </w:tcBorders>
          </w:tcPr>
          <w:p>
            <w:pPr>
              <w:spacing w:after="0"/>
              <w:rPr>
                <w:sz w:val="12"/>
                <w:szCs w:val="12"/>
                <w:color w:val="auto"/>
              </w:rPr>
            </w:pPr>
          </w:p>
        </w:tc>
      </w:tr>
      <w:tr>
        <w:trPr>
          <w:trHeight w:val="318"/>
        </w:trPr>
        <w:tc>
          <w:tcPr>
            <w:tcW w:w="2800" w:type="dxa"/>
            <w:vAlign w:val="bottom"/>
          </w:tcPr>
          <w:p>
            <w:pPr>
              <w:spacing w:after="0"/>
              <w:rPr>
                <w:sz w:val="24"/>
                <w:szCs w:val="24"/>
                <w:color w:val="auto"/>
              </w:rPr>
            </w:pPr>
          </w:p>
        </w:tc>
        <w:tc>
          <w:tcPr>
            <w:tcW w:w="69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26</w:t>
            </w:r>
          </w:p>
        </w:tc>
      </w:tr>
    </w:tbl>
    <w:p>
      <w:pPr>
        <w:sectPr>
          <w:pgSz w:w="11900" w:h="16838" w:orient="portrait"/>
          <w:cols w:equalWidth="0" w:num="1">
            <w:col w:w="10480"/>
          </w:cols>
          <w:pgMar w:left="320" w:top="419" w:right="10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7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6171565" cy="51739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Cravath, Swaine &amp; Moore LLP each substantially to the effect that, subject to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limitations specified therein and the accuracy of and compliance with certain</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representations, warranties, and covenants, the Spin-Off will qualify for non-</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recognition of gain and loss under Sections 355 and 368 of the Code;</w:t>
      </w:r>
    </w:p>
    <w:p>
      <w:pPr>
        <w:spacing w:after="0" w:line="97" w:lineRule="exact"/>
        <w:rPr>
          <w:sz w:val="20"/>
          <w:szCs w:val="20"/>
          <w:color w:val="auto"/>
        </w:rPr>
      </w:pPr>
    </w:p>
    <w:p>
      <w:pPr>
        <w:ind w:left="4940" w:right="140" w:hanging="262"/>
        <w:spacing w:after="0" w:line="258" w:lineRule="auto"/>
        <w:tabs>
          <w:tab w:leader="none" w:pos="49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7" w:lineRule="exact"/>
        <w:rPr>
          <w:rFonts w:ascii="Times New Roman" w:cs="Times New Roman" w:eastAsia="Times New Roman" w:hAnsi="Times New Roman"/>
          <w:sz w:val="16"/>
          <w:szCs w:val="16"/>
          <w:color w:val="auto"/>
        </w:rPr>
      </w:pPr>
    </w:p>
    <w:p>
      <w:pPr>
        <w:ind w:left="4940" w:right="100" w:hanging="262"/>
        <w:spacing w:after="0" w:line="258" w:lineRule="auto"/>
        <w:tabs>
          <w:tab w:leader="none" w:pos="49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77" w:lineRule="exact"/>
        <w:rPr>
          <w:rFonts w:ascii="Times New Roman" w:cs="Times New Roman" w:eastAsia="Times New Roman" w:hAnsi="Times New Roman"/>
          <w:sz w:val="16"/>
          <w:szCs w:val="16"/>
          <w:color w:val="auto"/>
        </w:rPr>
      </w:pPr>
    </w:p>
    <w:p>
      <w:pPr>
        <w:ind w:left="4940" w:right="260" w:hanging="262"/>
        <w:spacing w:after="0" w:line="263" w:lineRule="auto"/>
        <w:tabs>
          <w:tab w:leader="none" w:pos="49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73" w:lineRule="exact"/>
        <w:rPr>
          <w:rFonts w:ascii="Times New Roman" w:cs="Times New Roman" w:eastAsia="Times New Roman" w:hAnsi="Times New Roman"/>
          <w:sz w:val="16"/>
          <w:szCs w:val="16"/>
          <w:color w:val="auto"/>
        </w:rPr>
      </w:pPr>
    </w:p>
    <w:p>
      <w:pPr>
        <w:ind w:left="4940" w:right="40" w:hanging="262"/>
        <w:spacing w:after="0" w:line="263" w:lineRule="auto"/>
        <w:tabs>
          <w:tab w:leader="none" w:pos="49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immediately after the Distribution; and</w:t>
      </w:r>
    </w:p>
    <w:p>
      <w:pPr>
        <w:spacing w:after="0" w:line="73" w:lineRule="exact"/>
        <w:rPr>
          <w:rFonts w:ascii="Times New Roman" w:cs="Times New Roman" w:eastAsia="Times New Roman" w:hAnsi="Times New Roman"/>
          <w:sz w:val="16"/>
          <w:szCs w:val="16"/>
          <w:color w:val="auto"/>
        </w:rPr>
      </w:pPr>
    </w:p>
    <w:p>
      <w:pPr>
        <w:ind w:left="4940" w:right="140" w:hanging="262"/>
        <w:spacing w:after="0" w:line="258" w:lineRule="auto"/>
        <w:tabs>
          <w:tab w:leader="none" w:pos="49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185" w:lineRule="exact"/>
        <w:rPr>
          <w:sz w:val="20"/>
          <w:szCs w:val="20"/>
          <w:color w:val="auto"/>
        </w:rPr>
      </w:pPr>
    </w:p>
    <w:p>
      <w:pPr>
        <w:ind w:left="4480"/>
        <w:spacing w:after="0" w:line="251"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190" w:lineRule="exact"/>
        <w:rPr>
          <w:sz w:val="20"/>
          <w:szCs w:val="20"/>
          <w:color w:val="auto"/>
        </w:rPr>
      </w:pPr>
    </w:p>
    <w:p>
      <w:pPr>
        <w:ind w:left="4480" w:right="40"/>
        <w:spacing w:after="0" w:line="278"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00"/>
          </w:cols>
          <w:pgMar w:left="320" w:top="419" w:right="1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3340" w:type="dxa"/>
            <w:vAlign w:val="bottom"/>
            <w:tcBorders>
              <w:top w:val="single" w:sz="8" w:color="auto"/>
              <w:left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discretion, subject to the terms of the Separation and Distribution Agreement, that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 is not in the best interests of Illumina or its stockholders, or is otherwise not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advisable. If the Spin-Off is not completed for any reason, Illumina and GRAIL will have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incurred significant costs related to the Spin-Off, including fees for consultants, financial</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legal advisors, accountants and auditors, that will not be recouped. Total one-time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transaction costs associated with the Spin-Off are preliminarily estimated to be $20 million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for GRAIL and estimated to range from $60 million to $75 million for Illumina if the Spin-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Off is completed. If the Spin-Off is not completed for any reason, the one-time transaction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costs will generally be limited to the transaction costs incurred for services rendered as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the date the Spin-Off is abandoned, which will be less than the amounts noted above. Our</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management will also have devoted significant time to manage the Spin-Off process, which</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will decrease the time they will have to manage the business of GRAIL.</w:t>
            </w:r>
          </w:p>
        </w:tc>
      </w:tr>
      <w:tr>
        <w:trPr>
          <w:trHeight w:val="388"/>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Trading Market and Ticker Symbol</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intend to file an application to list our common stock on Nasdaq under the ticker</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symbol “GRAL.” We anticipate that, on or shortly before the Record Date, trading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will begin on a “when-issued” basis and will continue up to</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including the Distribution Date, and we expect that “regular-way” trading of our</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common stock will begin the first trading day after the Distribution Date.</w:t>
            </w:r>
          </w:p>
        </w:tc>
      </w:tr>
      <w:tr>
        <w:trPr>
          <w:trHeight w:val="388"/>
        </w:trPr>
        <w:tc>
          <w:tcPr>
            <w:tcW w:w="3340" w:type="dxa"/>
            <w:vAlign w:val="bottom"/>
            <w:tcBorders>
              <w:left w:val="single" w:sz="8" w:color="auto"/>
            </w:tcBorders>
          </w:tcPr>
          <w:p>
            <w:pPr>
              <w:spacing w:after="0"/>
              <w:rPr>
                <w:sz w:val="24"/>
                <w:szCs w:val="24"/>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also anticipate that, on or shortly before the Record Date, there will be two markets 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Illumina common stock: (i) a “regular-way” market on which shares of Illumina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will trade with an entitlement for the purchaser of Illumina common stock to receive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to be distributed in the Distribution, and (ii)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“ex-distribution” market on which shares of Illumina common stock will trade without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entitlement for the purchaser of Illumina common stock to receive shares of our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For more information, see the section entitled “The Spin-Off—Trading Prior to the</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Distribution Date” beginning on page 113 of this Information Statement.</w:t>
            </w:r>
          </w:p>
        </w:tc>
      </w:tr>
      <w:tr>
        <w:trPr>
          <w:trHeight w:val="388"/>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Tax Consequences to Illumina Stockholders</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subject to limitations specified therein and the accuracy of and compliance with certain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representations, warranties, and covenants, the Spin-Off will qualify for non-recognition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gain and loss under Sections 355 and 368 of the Code. The completion of the Spin-Off is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conditioned on, among other things, the continuing effectiveness and validity of Illumina’s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private letter ruling and the receipt and continuing effectiveness and validity of a favorable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written opinion of Cravath, Swaine &amp; Moore LLP. If the Spin-Off qualifies for such</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treatment, for U.S. federal income tax purposes, no gain or loss will be recognized by, or be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includible in the income of, a U.S. Holder (as defined in the section entitled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Spin-Off—Material U.S. Federal Income Tax Consequences of the Spin-Off” beginning on</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page 108 of this Information Statement) as a result of</w:t>
            </w:r>
          </w:p>
        </w:tc>
      </w:tr>
      <w:tr>
        <w:trPr>
          <w:trHeight w:val="138"/>
        </w:trPr>
        <w:tc>
          <w:tcPr>
            <w:tcW w:w="3340" w:type="dxa"/>
            <w:vAlign w:val="bottom"/>
            <w:tcBorders>
              <w:left w:val="single" w:sz="8" w:color="auto"/>
              <w:bottom w:val="single" w:sz="8" w:color="auto"/>
            </w:tcBorders>
          </w:tcPr>
          <w:p>
            <w:pPr>
              <w:spacing w:after="0"/>
              <w:rPr>
                <w:sz w:val="12"/>
                <w:szCs w:val="12"/>
                <w:color w:val="auto"/>
              </w:rPr>
            </w:pPr>
          </w:p>
        </w:tc>
        <w:tc>
          <w:tcPr>
            <w:tcW w:w="6380" w:type="dxa"/>
            <w:vAlign w:val="bottom"/>
            <w:tcBorders>
              <w:bottom w:val="single" w:sz="8" w:color="auto"/>
              <w:right w:val="single" w:sz="8" w:color="auto"/>
            </w:tcBorders>
          </w:tcPr>
          <w:p>
            <w:pPr>
              <w:spacing w:after="0"/>
              <w:rPr>
                <w:sz w:val="12"/>
                <w:szCs w:val="12"/>
                <w:color w:val="auto"/>
              </w:rPr>
            </w:pPr>
          </w:p>
        </w:tc>
      </w:tr>
      <w:tr>
        <w:trPr>
          <w:trHeight w:val="318"/>
        </w:trPr>
        <w:tc>
          <w:tcPr>
            <w:tcW w:w="3340" w:type="dxa"/>
            <w:vAlign w:val="bottom"/>
          </w:tcPr>
          <w:p>
            <w:pPr>
              <w:spacing w:after="0"/>
              <w:rPr>
                <w:sz w:val="24"/>
                <w:szCs w:val="24"/>
                <w:color w:val="auto"/>
              </w:rPr>
            </w:pPr>
          </w:p>
        </w:tc>
        <w:tc>
          <w:tcPr>
            <w:tcW w:w="63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28</w:t>
            </w:r>
          </w:p>
        </w:tc>
      </w:tr>
    </w:tbl>
    <w:p>
      <w:pPr>
        <w:sectPr>
          <w:pgSz w:w="11900" w:h="16838" w:orient="portrait"/>
          <w:cols w:equalWidth="0" w:num="1">
            <w:col w:w="10480"/>
          </w:cols>
          <w:pgMar w:left="320" w:top="419" w:right="10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77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6171565" cy="49771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480"/>
        <w:spacing w:after="0" w:line="271" w:lineRule="auto"/>
        <w:rPr>
          <w:sz w:val="20"/>
          <w:szCs w:val="20"/>
          <w:color w:val="auto"/>
        </w:rPr>
      </w:pPr>
      <w:r>
        <w:rPr>
          <w:rFonts w:ascii="Times New Roman" w:cs="Times New Roman" w:eastAsia="Times New Roman" w:hAnsi="Times New Roman"/>
          <w:sz w:val="15"/>
          <w:szCs w:val="15"/>
          <w:color w:val="auto"/>
        </w:rPr>
        <w:t>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108 of this Information Statement for more information regarding the potential tax consequences to you of the Spin-Off.</w:t>
      </w:r>
    </w:p>
    <w:p>
      <w:pPr>
        <w:spacing w:after="0" w:line="191" w:lineRule="exact"/>
        <w:rPr>
          <w:sz w:val="20"/>
          <w:szCs w:val="20"/>
          <w:color w:val="auto"/>
        </w:rPr>
      </w:pPr>
    </w:p>
    <w:p>
      <w:pPr>
        <w:ind w:left="4480"/>
        <w:spacing w:after="0" w:line="255" w:lineRule="auto"/>
        <w:rPr>
          <w:sz w:val="20"/>
          <w:szCs w:val="20"/>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 w:lineRule="exact"/>
        <w:rPr>
          <w:sz w:val="20"/>
          <w:szCs w:val="20"/>
          <w:color w:val="auto"/>
        </w:rPr>
      </w:pPr>
    </w:p>
    <w:p>
      <w:pPr>
        <w:ind w:left="4480" w:right="20" w:hanging="3556"/>
        <w:spacing w:after="0" w:line="249" w:lineRule="auto"/>
        <w:tabs>
          <w:tab w:leader="none" w:pos="4460" w:val="left"/>
        </w:tabs>
        <w:rPr>
          <w:sz w:val="20"/>
          <w:szCs w:val="20"/>
          <w:color w:val="auto"/>
        </w:rPr>
      </w:pPr>
      <w:r>
        <w:rPr>
          <w:rFonts w:ascii="Times New Roman" w:cs="Times New Roman" w:eastAsia="Times New Roman" w:hAnsi="Times New Roman"/>
          <w:sz w:val="16"/>
          <w:szCs w:val="16"/>
          <w:color w:val="auto"/>
        </w:rPr>
        <w:t>Relationship with Illumina After the Spin-Off</w:t>
      </w:r>
      <w:r>
        <w:rPr>
          <w:sz w:val="20"/>
          <w:szCs w:val="20"/>
          <w:color w:val="auto"/>
        </w:rPr>
        <w:tab/>
      </w:r>
      <w:r>
        <w:rPr>
          <w:rFonts w:ascii="Times New Roman" w:cs="Times New Roman" w:eastAsia="Times New Roman" w:hAnsi="Times New Roman"/>
          <w:sz w:val="16"/>
          <w:szCs w:val="16"/>
          <w:color w:val="auto"/>
        </w:rPr>
        <w:t>Following the Distribution, Illumina may retain up to 14.5% of the outstanding shares of our common stock.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w:t>
      </w:r>
    </w:p>
    <w:p>
      <w:pPr>
        <w:spacing w:after="0" w:line="85" w:lineRule="exact"/>
        <w:rPr>
          <w:sz w:val="20"/>
          <w:szCs w:val="20"/>
          <w:color w:val="auto"/>
        </w:rPr>
      </w:pPr>
    </w:p>
    <w:p>
      <w:pPr>
        <w:ind w:left="4940" w:right="60" w:hanging="262"/>
        <w:spacing w:after="0" w:line="289" w:lineRule="auto"/>
        <w:tabs>
          <w:tab w:leader="none" w:pos="4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Separation and Distribution Agreement that will set forth Illumina’s and our agreements regarding the principal actions that both parties will take in connection with the Spin-Off and aspects of our relationship following the Spin-Off;</w:t>
      </w:r>
    </w:p>
    <w:p>
      <w:pPr>
        <w:spacing w:after="0" w:line="55" w:lineRule="exact"/>
        <w:rPr>
          <w:rFonts w:ascii="Times New Roman" w:cs="Times New Roman" w:eastAsia="Times New Roman" w:hAnsi="Times New Roman"/>
          <w:sz w:val="15"/>
          <w:szCs w:val="15"/>
          <w:color w:val="auto"/>
        </w:rPr>
      </w:pPr>
    </w:p>
    <w:p>
      <w:pPr>
        <w:jc w:val="both"/>
        <w:ind w:left="4940" w:right="20" w:hanging="262"/>
        <w:spacing w:after="0" w:line="289" w:lineRule="auto"/>
        <w:tabs>
          <w:tab w:leader="none" w:pos="4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 Matters Agreement that will govern the respective rights, responsibilities and obligations of Illumina and us after the Spin-Off with respect to all tax matters and will include restrictions to preserve the tax-free status of the Distribution;</w:t>
      </w:r>
    </w:p>
    <w:p>
      <w:pPr>
        <w:spacing w:after="0" w:line="55" w:lineRule="exact"/>
        <w:rPr>
          <w:rFonts w:ascii="Times New Roman" w:cs="Times New Roman" w:eastAsia="Times New Roman" w:hAnsi="Times New Roman"/>
          <w:sz w:val="15"/>
          <w:szCs w:val="15"/>
          <w:color w:val="auto"/>
        </w:rPr>
      </w:pPr>
    </w:p>
    <w:p>
      <w:pPr>
        <w:ind w:left="4940" w:right="20" w:hanging="262"/>
        <w:spacing w:after="0" w:line="255" w:lineRule="auto"/>
        <w:tabs>
          <w:tab w:leader="none" w:pos="4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Matters Agreement that will address employment, compensation, and benefits matters, including the allocation and treatment of assets and liabilities relating to employees and compensation and benefits plans and programs in which our employees participate, as well as the treatment of the Cash-Based Equity Awards in connection with the Spin-Off; and</w:t>
      </w:r>
    </w:p>
    <w:p>
      <w:pPr>
        <w:spacing w:after="0" w:line="81" w:lineRule="exact"/>
        <w:rPr>
          <w:rFonts w:ascii="Times New Roman" w:cs="Times New Roman" w:eastAsia="Times New Roman" w:hAnsi="Times New Roman"/>
          <w:sz w:val="16"/>
          <w:szCs w:val="16"/>
          <w:color w:val="auto"/>
        </w:rPr>
      </w:pPr>
    </w:p>
    <w:p>
      <w:pPr>
        <w:jc w:val="both"/>
        <w:ind w:left="4940" w:right="180" w:hanging="262"/>
        <w:spacing w:after="0" w:line="289" w:lineRule="auto"/>
        <w:tabs>
          <w:tab w:leader="none" w:pos="4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and Registration Rights Agreement that will govern the respective rights, responsibilities and obligations of Illumina and us after the Spin-Off with respect to Illumina’s continuing ownership of GRAIL common stock.</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240"/>
          </w:cols>
          <w:pgMar w:left="320" w:top="419" w:right="1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4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various other agreements with Illumina and its subsidiaries, including a supply and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commercialization agreement and license agreements. We describe these arrangements in</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greater detail under the section entitled “Certain Relationships and Related Party</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Transactions” beginning on page 233 of this Information Statement and describe some of</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risks of these arrangements under the section entitled “Risk Factors—Risks Relating to</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Spin-Off” beginning on page 90 of this Information Statement.</w:t>
            </w:r>
          </w:p>
        </w:tc>
      </w:tr>
      <w:tr>
        <w:trPr>
          <w:trHeight w:val="388"/>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Dividend Policy</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determination to pay dividends on our common stock will be made at the discretion of our</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Board and will depend upon certain factors. For more information, see the section entitled</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“Dividend Policy.”</w:t>
            </w:r>
          </w:p>
        </w:tc>
      </w:tr>
      <w:tr>
        <w:trPr>
          <w:trHeight w:val="405"/>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Transfer Agent</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Computershare Trust Company, N.A. (“Computershare”).</w:t>
            </w:r>
          </w:p>
        </w:tc>
      </w:tr>
      <w:tr>
        <w:trPr>
          <w:trHeight w:val="400"/>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Our business faces both general and specific risks and uncertainties. Our business also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faces risks relating to the Spin-Off. Following the Spin-Off, we will also face risks</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associated with being an independent, publicly traded company. Accordingly, you should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read carefully the information set forth under the section entitled “Risk Factors” beginning</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on page 31 of this Information Statement.</w:t>
            </w:r>
          </w:p>
        </w:tc>
      </w:tr>
      <w:tr>
        <w:trPr>
          <w:trHeight w:val="138"/>
        </w:trPr>
        <w:tc>
          <w:tcPr>
            <w:tcW w:w="2460" w:type="dxa"/>
            <w:vAlign w:val="bottom"/>
            <w:tcBorders>
              <w:left w:val="single" w:sz="8" w:color="auto"/>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rPr>
                <w:sz w:val="12"/>
                <w:szCs w:val="12"/>
                <w:color w:val="auto"/>
              </w:rPr>
            </w:pPr>
          </w:p>
        </w:tc>
      </w:tr>
      <w:tr>
        <w:trPr>
          <w:trHeight w:val="318"/>
        </w:trPr>
        <w:tc>
          <w:tcPr>
            <w:tcW w:w="2460" w:type="dxa"/>
            <w:vAlign w:val="bottom"/>
          </w:tcPr>
          <w:p>
            <w:pPr>
              <w:spacing w:after="0"/>
              <w:rPr>
                <w:sz w:val="24"/>
                <w:szCs w:val="24"/>
                <w:color w:val="auto"/>
              </w:rPr>
            </w:pPr>
          </w:p>
        </w:tc>
        <w:tc>
          <w:tcPr>
            <w:tcW w:w="72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30</w:t>
            </w:r>
          </w:p>
        </w:tc>
      </w:tr>
    </w:tbl>
    <w:p>
      <w:pPr>
        <w:sectPr>
          <w:pgSz w:w="11900" w:h="16838" w:orient="portrait"/>
          <w:cols w:equalWidth="0" w:num="1">
            <w:col w:w="10480"/>
          </w:cols>
          <w:pgMar w:left="320" w:top="419" w:right="10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7" w:lineRule="exact"/>
        <w:rPr>
          <w:sz w:val="20"/>
          <w:szCs w:val="20"/>
          <w:color w:val="auto"/>
        </w:rPr>
      </w:pPr>
    </w:p>
    <w:p>
      <w:pPr>
        <w:ind w:left="760" w:right="180" w:firstLine="388"/>
        <w:spacing w:after="0" w:line="277"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0"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operate in a rapidly evolving field and have a limited operating history, which makes it difficult to evaluate our current business and predict our future performance.</w:t>
      </w:r>
    </w:p>
    <w:p>
      <w:pPr>
        <w:spacing w:after="0" w:line="45"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w:t>
      </w:r>
    </w:p>
    <w:p>
      <w:pPr>
        <w:spacing w:after="0" w:line="15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spacing w:after="0" w:line="25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anticipate that we will continue to incur net losses for the coming years.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Since our inception, we have incurred significant net losses. We incurred net losses of $218.9 million and $193.7 million for the three months ended March 31, 2024 and April 2, 2023, respectively. Our net loss was $1.5 billion for fiscal year 2023, $5.4 billion for fiscal year 2022, $911.5 million for the 2021 successor period, and $336.2 million for the 2021 predecessor period.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the impairments of $718.5 million and $4.7 billion for fiscal year 2023 and fiscal year 2022, respectively, related to the intangible assets and goodwill recorded by Illumina upon the acquisition of GRAIL. As of March 31, 2024, we had an accumulated deficit of $8.0 billion.</w:t>
      </w:r>
    </w:p>
    <w:p>
      <w:pPr>
        <w:spacing w:after="0" w:line="16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460"/>
          </w:cols>
          <w:pgMar w:left="320" w:top="419" w:right="11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generate additional revenue. Moreover, our net losses may fluctuate significantly from quarter to quarter and year to year, such that a period-to-period comparison of our results of operations may not be a good or reliable indication of our future performance.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continue to incur significant expenses and operating losses as we:</w:t>
      </w:r>
    </w:p>
    <w:p>
      <w:pPr>
        <w:spacing w:after="0" w:line="114" w:lineRule="exact"/>
        <w:rPr>
          <w:sz w:val="20"/>
          <w:szCs w:val="20"/>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development activities;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ongoing clinical studies and initiate and conduct additional clinical studies to support the development and commercialization of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our laboratory capacity and enhance operating capabilities for greater commercial scale;</w:t>
      </w:r>
    </w:p>
    <w:p>
      <w:pPr>
        <w:spacing w:after="0" w:line="113"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clearances, or certifications, or coverage and reimbursement, that may be necessary or desired for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sales, marketing, and distribution infrastructure for purchases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additional intellectual property and technologies;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royalty, or other payments due under any license or collaboration agreements;</w:t>
      </w:r>
    </w:p>
    <w:p>
      <w:pPr>
        <w:spacing w:after="0" w:line="113" w:lineRule="exact"/>
        <w:rPr>
          <w:rFonts w:ascii="Times New Roman" w:cs="Times New Roman" w:eastAsia="Times New Roman" w:hAnsi="Times New Roman"/>
          <w:sz w:val="16"/>
          <w:szCs w:val="16"/>
          <w:color w:val="auto"/>
        </w:rPr>
      </w:pPr>
    </w:p>
    <w:p>
      <w:pPr>
        <w:ind w:left="1620" w:right="68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protect, and enforce our intellectual property portfolio, including intellectual property obtained through license agreements;</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infrastructure to support our continued research and development operations and any planned commercialization efforts in the future;</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against any litigation, including but not limited to any patent disputes, employment matters, product liability claims or other lawsuits related to our products, our marketing, advertising, or labeling, or our clinical research;</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international commercial expansion of our products;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engage the medical community and others to drive awareness and adoption of multicancer early detection (“MCED”) testing;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requirements and demands of being a public company.</w:t>
      </w:r>
    </w:p>
    <w:p>
      <w:pPr>
        <w:spacing w:after="0" w:line="288" w:lineRule="exact"/>
        <w:rPr>
          <w:sz w:val="20"/>
          <w:szCs w:val="20"/>
          <w:color w:val="auto"/>
        </w:rPr>
      </w:pPr>
    </w:p>
    <w:p>
      <w:pPr>
        <w:ind w:left="760" w:firstLine="38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w:t>
      </w:r>
    </w:p>
    <w:p>
      <w:pPr>
        <w:spacing w:after="0" w:line="5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 For example, the NHS evaluated results of an early analysis from the first screening test (the prevalent screening round) in the NHS-Galleri Trial to determine whether the results were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40"/>
          </w:cols>
          <w:pgMar w:left="320" w:top="419" w:right="11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compelling enough to commence an implementation pilot in England prior to the final trial results. The results of this early analysis represented limited information from only one year of results out of the three-year trial period, and final results from the full three-year period may differ from the early analysis for a variety of reasons. In May 2024, the NHS determined not to initiate the pilot on the basis of those available data and will evaluate the final results from the NHS-Galleri Trial, which are expected to be available in 2026, before determining whether to implement the Galleri test in the NHS. While the NHS intended to commence the commercial pilot if it determined that the results of the early analysis were compelling, it is possible that the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74"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we plan to launch DAC as an LDT. However,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“—Risks Relating to Regulation and Legal Compliance—The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w:t>
      </w:r>
    </w:p>
    <w:p>
      <w:pPr>
        <w:spacing w:after="0" w:line="18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may be required to conduct a non-inferiority study</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60"/>
          </w:cols>
          <w:pgMar w:left="320" w:top="419" w:right="11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 Our failure to successfully develop new and/or improved products (including new versions of existing products) on a timely basis could have a material adverse effect on our results of operation and business.</w:t>
      </w:r>
    </w:p>
    <w:p>
      <w:pPr>
        <w:spacing w:after="0" w:line="168"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 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w:t>
      </w:r>
    </w:p>
    <w:p>
      <w:pPr>
        <w:spacing w:after="0" w:line="241" w:lineRule="exact"/>
        <w:rPr>
          <w:sz w:val="20"/>
          <w:szCs w:val="20"/>
          <w:color w:val="auto"/>
        </w:rPr>
      </w:pPr>
    </w:p>
    <w:p>
      <w:pPr>
        <w:ind w:left="760" w:right="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spacing w:after="0" w:line="6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and REACH, or if we are unable to maintain sufficient participation of enrolled participants to maintain statistical power for our endpoints, our product development,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80"/>
          </w:cols>
          <w:pgMar w:left="320" w:top="419"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340"/>
        <w:spacing w:after="0" w:line="278" w:lineRule="auto"/>
        <w:rPr>
          <w:sz w:val="20"/>
          <w:szCs w:val="20"/>
          <w:color w:val="auto"/>
        </w:rPr>
      </w:pPr>
      <w:r>
        <w:rPr>
          <w:rFonts w:ascii="Times New Roman" w:cs="Times New Roman" w:eastAsia="Times New Roman" w:hAnsi="Times New Roman"/>
          <w:sz w:val="16"/>
          <w:szCs w:val="16"/>
          <w:color w:val="auto"/>
        </w:rPr>
        <w:t>commercialization activities, and our ability to seek regulatory clearance or approval for our products could be delayed, require modification, or be prevented.</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For example, our PMA submission for Galleri requires clinical data, including certain data from our ongoing PATHFINDER 2 study and the NHS-Galleri Trial, both of which we are conducting under an FDA-approved Investigational Device Exemption (“IDE”) application. We may encounter difficulties enrolling 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initiation and completion of clinical studies may be prevented, delayed, or halted for numerous reasons, including as a result of the following:</w:t>
      </w:r>
    </w:p>
    <w:p>
      <w:pPr>
        <w:spacing w:after="0" w:line="125" w:lineRule="exact"/>
        <w:rPr>
          <w:sz w:val="20"/>
          <w:szCs w:val="20"/>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data to support the initiation or continuation of clinical studies;</w:t>
      </w:r>
    </w:p>
    <w:p>
      <w:pPr>
        <w:spacing w:after="0" w:line="113" w:lineRule="exact"/>
        <w:rPr>
          <w:rFonts w:ascii="Times New Roman" w:cs="Times New Roman" w:eastAsia="Times New Roman" w:hAnsi="Times New Roman"/>
          <w:sz w:val="16"/>
          <w:szCs w:val="16"/>
          <w:color w:val="auto"/>
        </w:rPr>
      </w:pPr>
    </w:p>
    <w:p>
      <w:pPr>
        <w:jc w:val="both"/>
        <w:ind w:left="1620" w:right="20" w:hanging="375"/>
        <w:spacing w:after="0" w:line="263"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spacing w:after="0" w:line="7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participants withdrawing from clinical studies or failing to return for follow-up or by institutions failing to submit data, including follow-up data, to us;</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 consensus or agreement, if required, with regulatory agencies on study design or feedback from regulatory agencies necessitating changes to ongoing or planned clinical study design;</w:t>
      </w:r>
    </w:p>
    <w:p>
      <w:pPr>
        <w:spacing w:after="0" w:line="61"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agreement on acceptable terms with CROs, service providers, and clinical study sites, the terms of which can be subject to extensive negotiation and may vary significantly among different CROs and clinical study sites;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obtaining any required IRB approval or ethics committee approval for our clinical study sites;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amending, or the inability to amend, our IRB- or ethics committee-approved protocols at clinical study sites when necessary or desired;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delays in collaborating with sites, institutions, and investigators;</w:t>
      </w:r>
    </w:p>
    <w:p>
      <w:pPr>
        <w:spacing w:after="0" w:line="11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investigators, sites, or participants to comply with the applicable study protocol or applicable regulatory requirements and standards for data collection, reporting, records maintenance, or data integrity;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any CROs or other third parties to adhere to clinical study requirements, including the applicable protocol;</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good clinical practice (“GCP”) and good laboratory practice (“GLP”) requirements, and/or other applicable regulations and requirements of the FDA or other applicable governmental authorities;</w:t>
      </w:r>
    </w:p>
    <w:p>
      <w:pPr>
        <w:spacing w:after="0" w:line="61"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applicable data privacy and security laws, including laws related to clinical studies such as the European Union’s (“ EU”) or United Kingdom’s General Data Protection Regulation (“GDPR”);</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transferring personal information or biological samples from the EU, United Kingdom, or other countries to our systems or facilities in the United States for processing;</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40"/>
          </w:cols>
          <w:pgMar w:left="320" w:top="419" w:right="11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18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future products to achieve acceptable performance metrics, such as sensitivity, specificity, positive predictive value, and/or safety endpoints;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safety findings, including findings related to the risk, such as higher likelihood, of false positive test results (which could lead to unnecessary confirmatory testing, such as biopsy, or anxiety) or false negative test results (which could lead to foregoing standard of care screening, a delay in diagnosis or disease progression);</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spacing w:after="0" w:line="7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collaborate with clinical investigators, including if they are disqualified, terminated, suspended, or change affiliated institutions;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inspections of our clinical study sites or results by any applicable regulatory authority, including the FDA, NHS, or United Kingdom Medicines and Healthcare products Regulatory Agency;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studies of our products and future products being greater than we anticipate;</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destruction or compromise of, or other inability to access or receive, clinical study samples processed, stored, managed, or otherwise in the control of a clinical site or other third party;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spacing w:after="0" w:line="77"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studies of our products and future products producing negative or inconclusive results, which may result in our deciding, or regulators requiring us, to conduct additional clinical studies or abandon development programs;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w:t>
      </w:r>
    </w:p>
    <w:p>
      <w:pPr>
        <w:spacing w:after="0" w:line="166" w:lineRule="exact"/>
        <w:rPr>
          <w:sz w:val="20"/>
          <w:szCs w:val="20"/>
          <w:color w:val="auto"/>
        </w:rPr>
      </w:pPr>
    </w:p>
    <w:p>
      <w:pPr>
        <w:ind w:left="760" w:right="660" w:firstLine="388"/>
        <w:spacing w:after="0" w:line="278" w:lineRule="auto"/>
        <w:rPr>
          <w:sz w:val="20"/>
          <w:szCs w:val="20"/>
          <w:color w:val="auto"/>
        </w:rPr>
      </w:pPr>
      <w:r>
        <w:rPr>
          <w:rFonts w:ascii="Times New Roman" w:cs="Times New Roman" w:eastAsia="Times New Roman" w:hAnsi="Times New Roman"/>
          <w:sz w:val="16"/>
          <w:szCs w:val="16"/>
          <w:color w:val="auto"/>
        </w:rPr>
        <w:t>Any inability to initiate or complete clinical studies successfully could result in additional costs to us, slow down or prevent our product development and receipt of positive reimbursement coverage decisions, or impair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460"/>
          </w:cols>
          <w:pgMar w:left="320" w:top="419" w:right="11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6"/>
          <w:szCs w:val="16"/>
          <w:color w:val="auto"/>
        </w:rPr>
        <w:t>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 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products may fail to achieve the degree of market acceptance necessary for commercial success.</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spacing w:after="0" w:line="55" w:lineRule="exact"/>
        <w:rPr>
          <w:sz w:val="20"/>
          <w:szCs w:val="20"/>
          <w:color w:val="auto"/>
        </w:rPr>
      </w:pPr>
    </w:p>
    <w:p>
      <w:pPr>
        <w:ind w:left="1620" w:right="8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validation, and clinical utility of such products as demonstrated in clinical studies, from real-world use, and published in peer-reviewed journals;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clinical validation and utility of our products and their potential advantages to the medical community;</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to demonstrate comparable or non-inferior performance in real-world intended use populations as in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consumers, including self-insured employers, health systems, healthcare providers, life insurance companies, patients, and others in the medical community to utilize our products;</w:t>
      </w:r>
    </w:p>
    <w:p>
      <w:pPr>
        <w:spacing w:after="0" w:line="61"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spacing w:after="0" w:line="73" w:lineRule="exact"/>
        <w:rPr>
          <w:rFonts w:ascii="Times New Roman" w:cs="Times New Roman" w:eastAsia="Times New Roman" w:hAnsi="Times New Roman"/>
          <w:sz w:val="16"/>
          <w:szCs w:val="16"/>
          <w:color w:val="auto"/>
        </w:rPr>
      </w:pPr>
    </w:p>
    <w:p>
      <w:pPr>
        <w:ind w:left="1620" w:right="88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willingness of providers, patients, and others to learn about our products, including Galleri and DAC, and establish a sense of understanding and confidence in the use of our products;</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providers, patients, and others that the use of Galleri in its intended use population is clinically appropriate, and not restricting its use to a narrower intended population;</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market acceptance of future third-party products, including the expansion of the capabilities of existing products and tests that are reimbursed;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partners and our employees and contractors to ensure the safety and privacy of our patient data;</w:t>
      </w:r>
    </w:p>
    <w:p>
      <w:pPr>
        <w:spacing w:after="0" w:line="113"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w:t>
      </w:r>
    </w:p>
    <w:p>
      <w:pPr>
        <w:spacing w:after="0" w:line="7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marketing and distribution support and patient-facing service providers.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460"/>
          </w:cols>
          <w:pgMar w:left="320" w:top="419" w:right="11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 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Failure to achieve broad market acceptance of our products would materially harm our business, financial condition, and results of operations.</w:t>
      </w:r>
    </w:p>
    <w:p>
      <w:pPr>
        <w:spacing w:after="0" w:line="288"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revenue to offset our ongoing operating expenses and achieve and maintain profitability, and it may be difficult for us to offset the costs of our royalties, including the high-single-digit royalty that we will be required to pay to Illumina in perpetuity or our royalties payable to the Chinese University of Hong Kong.</w:t>
      </w:r>
    </w:p>
    <w:p>
      <w:pPr>
        <w:spacing w:after="0" w:line="59"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Our ability to generate future revenue growth from product sales and achieve profitability depends on our ability to continue commercializing our products. We completed our first sale of Galleri in mid-2021 and as of March 31, 2024 we have sold more than 180,000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w:t>
      </w:r>
    </w:p>
    <w:p>
      <w:pPr>
        <w:spacing w:after="0" w:line="66" w:lineRule="exact"/>
        <w:rPr>
          <w:sz w:val="20"/>
          <w:szCs w:val="20"/>
          <w:color w:val="auto"/>
        </w:rPr>
      </w:pPr>
    </w:p>
    <w:p>
      <w:pPr>
        <w:ind w:left="1620" w:right="8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clinical development, validation, and demonstration of the clinical utility of our products and future products and continuing to improve product performance and expand product features over time;</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obtaining, and maintaining marketing authorizations or certifications that may be necessary or desired for any versions of Galleri, DAC, and any future products that we develop;</w:t>
      </w:r>
    </w:p>
    <w:p>
      <w:pPr>
        <w:spacing w:after="0" w:line="61"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our products by maintaining and expanding our sales force, marketing, medical affairs, and distribution infrastructure, and collaborating with commercialization partners;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480"/>
          </w:cols>
          <w:pgMar w:left="320" w:top="419" w:right="10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38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and enhancing our proprietary methylation platform, and enhancing later versions of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 acceptance by consumers, including self-insured employers, health systems, healthcare providers, life insurance companies, patients, and third-party payors;</w:t>
      </w:r>
    </w:p>
    <w:p>
      <w:pPr>
        <w:spacing w:after="0" w:line="61" w:lineRule="exact"/>
        <w:rPr>
          <w:rFonts w:ascii="Times New Roman" w:cs="Times New Roman" w:eastAsia="Times New Roman" w:hAnsi="Times New Roman"/>
          <w:sz w:val="16"/>
          <w:szCs w:val="16"/>
          <w:color w:val="auto"/>
        </w:rPr>
      </w:pPr>
    </w:p>
    <w:p>
      <w:pPr>
        <w:ind w:left="1620" w:right="140" w:hanging="375"/>
        <w:spacing w:after="0" w:line="263"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w:t>
      </w:r>
    </w:p>
    <w:p>
      <w:pPr>
        <w:spacing w:after="0" w:line="7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coverage and reimbursement from government healthcare programs, health insurance organizations, and other third-party payors for products that we launch;</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sufficient efficiencies and cost management strategies in our laboratory, supply chain, and elsewhere to maintain an appropriate cost of goods sold to offer our products at an acceptable price in a pre-reimbursement environment;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technological and market developments;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 and maintaining such existing or future arrangements;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know-how, and trademarks;</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cost of and delays in product development as a result of any regulatory oversight applicable to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interference, invalidation, or infringement claims, if any;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7" w:lineRule="exact"/>
        <w:rPr>
          <w:sz w:val="20"/>
          <w:szCs w:val="20"/>
          <w:color w:val="auto"/>
        </w:rPr>
      </w:pPr>
    </w:p>
    <w:p>
      <w:pPr>
        <w:ind w:left="760" w:right="260" w:firstLine="388"/>
        <w:spacing w:after="0" w:line="253" w:lineRule="auto"/>
        <w:rPr>
          <w:sz w:val="20"/>
          <w:szCs w:val="20"/>
          <w:color w:val="auto"/>
        </w:rPr>
      </w:pPr>
      <w:r>
        <w:rPr>
          <w:rFonts w:ascii="Times New Roman" w:cs="Times New Roman" w:eastAsia="Times New Roman" w:hAnsi="Times New Roman"/>
          <w:sz w:val="16"/>
          <w:szCs w:val="16"/>
          <w:color w:val="auto"/>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 “Management’s Discussion and Analysis of Financial Condition and Results of Operations—Material Cash Requirements,” and “Certain Relationships and Related Party Transactions— Agreements with Illumina” beginning on pages 125, 208, and 233, respectively, of this Information Statement.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Under the terms of our license agreements with the Chinese University of Hong Kong, we are also required to pay a low single-digit royalty on net sales of our products that use the technology we license from Chinese University of Hong Kong, subject to minimum annual guarantees. Our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Although certain provisions in our agreement with Illumina allow us to reduce our royalty to Illumina by up to a low single-digit percentage due to third party royalties actually paid, such as our royalty payment to Chinese University of Hong Kong, our obligation to pay this royalty on our net sales could reduce our gross margins and increase our expenses. See the section titled “Business—Intellectual Property—License Agreements with the Chinese University of Hong Kong” beginning on page 166.</w:t>
      </w:r>
    </w:p>
    <w:p>
      <w:pPr>
        <w:spacing w:after="0" w:line="168"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will need to generate significant additional revenue to achieve and maintain profitability and will need to obtain additional funding to continue operations. Even if we achieve profitability, we cannot be sure that we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19" w:right="10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 substantial majority of our revenue is generated from sales of Galleri and we are highly dependent on it for our success.</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spacing w:after="0" w:line="257" w:lineRule="exact"/>
        <w:rPr>
          <w:sz w:val="20"/>
          <w:szCs w:val="20"/>
          <w:color w:val="auto"/>
        </w:rPr>
      </w:pPr>
    </w:p>
    <w:p>
      <w:pPr>
        <w:ind w:left="760" w:right="2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goodwill and indefinite lived intangible assets have been subject to impairment and may be subject to further impairment in the future, which could have a material adverse effect on our results of operations, financial condition, or future operating results.</w:t>
      </w:r>
    </w:p>
    <w:p>
      <w:pPr>
        <w:spacing w:after="0" w:line="45"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We evaluate goodwill and indefinite-lived intangible assets for impairment annually or more frequently if an event occurs or circumstances change in the interim that would more likely than not reduce the fair value of an asset below its carrying amount. Indicators that are considered include, among others, significant changes in performance relative to expected operating results, significant negative industry or economic trends, or a significant decline in market capitalization or enterprise value for a sustained period of time. Changes in key assumptions in the future, including lowering forecast for revenue and operating margin, selection of guideline public companies, increasing the selected discount rate, reducing the estimated useful lives of intangible assets, abandoning in-process research and development, or lowering the long-term growth rate, could result in additional charges; similarly, one or more changes in these assumptions in future periods due to changes in circumstances could result in additional future impairments. Due to the application of pushdown accounting, our balance sheet includes goodwill and intangible assets recognized by Illumina in connection with their acquisition of us that may be subject to additional impairment over time. As a result of an impairment assessment performed, a goodwill impairment charge of $608.5 million was recorded in the fiscal year 2023 which represents the amount by which the carrying value of GRAIL exceeded the estimated fair value of GRAIL upon performing a quantitative test, primarily due to changes to expected timing of revenue and a higher discount rate. In conjunction with the 2023 impairment assessment, an impairment charge of $110.0 million was recorded to the IPR&amp;D intangible asset, primarily due to a decrease in projected cash flows and a higher discount rate selected for the fair value calculation. As a result of an impairment assessment performed, an impairment charge of $4.7 billion was recorded in 2022 which represented the amount by which the carrying value of GRAIL exceeded the fair value of GRAIL upon performing a quantitative test. On May 24, 2024, the Illumina Board authorized management to continue proceeding with the potential spin-off of GRAIL, subject to finalization of certain terms. This authorization represents a potential indicator of impairment in Q2 2024 for purposes of performing an interim goodwill impairment test. The remaining carrying value of goodwill at March 31, 2024 was $888.9 million. Any additional goodwill or intangible asset impairments, including due to third party review or regulatory scrutiny, could have material adverse effects on our operating results, net assets, or our cost of, or access to, capital, which could harm our business. Further, goodwill impairment assessments are subjective and involve significant estimation, and impairment charges could have material adverse effects on our business and</w:t>
      </w: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480"/>
          </w:cols>
          <w:pgMar w:left="320" w:top="419"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financial condition. We continue to monitor for potential impairment should impairment indicators arise. We could be required to record a significant charge to earnings in our financial statements during the period in which any impairment of our goodwill or intangible assets is determined, negatively impacting our results of operations. See “Note 2—Summary of Significant Accounting Policies—Goodwill and Intangible Assets” to our Consolidated Financial Statements for more details.</w:t>
      </w:r>
    </w:p>
    <w:p>
      <w:pPr>
        <w:spacing w:after="0" w:line="252"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established private reimbursement for Galleri from a number of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spacing w:after="0" w:line="168" w:lineRule="exact"/>
        <w:rPr>
          <w:sz w:val="20"/>
          <w:szCs w:val="20"/>
          <w:color w:val="auto"/>
        </w:rPr>
      </w:pPr>
    </w:p>
    <w:p>
      <w:pPr>
        <w:ind w:left="760" w:right="20" w:firstLine="388"/>
        <w:spacing w:after="0" w:line="249" w:lineRule="auto"/>
        <w:rPr>
          <w:sz w:val="20"/>
          <w:szCs w:val="20"/>
          <w:color w:val="auto"/>
        </w:rPr>
      </w:pPr>
      <w:r>
        <w:rPr>
          <w:rFonts w:ascii="Times New Roman" w:cs="Times New Roman" w:eastAsia="Times New Roman" w:hAnsi="Times New Roman"/>
          <w:sz w:val="16"/>
          <w:szCs w:val="16"/>
          <w:color w:val="auto"/>
        </w:rPr>
        <w:t>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 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480"/>
          </w:cols>
          <w:pgMar w:left="320" w:top="419"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181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w:t>
      </w:r>
    </w:p>
    <w:p>
      <w:pPr>
        <w:spacing w:after="0" w:line="158"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The full impact of the PAMA rate-setting methodology and its applicability to our products remains uncertain at this time.</w:t>
      </w:r>
    </w:p>
    <w:p>
      <w:pPr>
        <w:spacing w:after="0" w:line="18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480"/>
          </w:cols>
          <w:pgMar w:left="320" w:top="419" w:right="10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first responders, including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spacing w:after="0" w:line="261"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develop and commercialize new products, including enhanced versions of current products, and enhanced versions may require non-inferiority studies and/or bridging studies, which may require prior review and agreement from regulatory bodies.</w:t>
      </w:r>
    </w:p>
    <w:p>
      <w:pPr>
        <w:spacing w:after="0" w:line="4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 For example, to the extent an enhanced version of an existing product is developed, we may be required to conduct a non-inferiority study 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w:t>
      </w:r>
    </w:p>
    <w:p>
      <w:pPr>
        <w:spacing w:after="0" w:line="168" w:lineRule="exact"/>
        <w:rPr>
          <w:sz w:val="20"/>
          <w:szCs w:val="20"/>
          <w:color w:val="auto"/>
        </w:rPr>
      </w:pPr>
    </w:p>
    <w:p>
      <w:pPr>
        <w:ind w:left="760" w:right="40" w:firstLine="388"/>
        <w:spacing w:after="0" w:line="277" w:lineRule="auto"/>
        <w:rPr>
          <w:sz w:val="20"/>
          <w:szCs w:val="20"/>
          <w:color w:val="auto"/>
        </w:rPr>
      </w:pPr>
      <w:r>
        <w:rPr>
          <w:rFonts w:ascii="Times New Roman" w:cs="Times New Roman" w:eastAsia="Times New Roman" w:hAnsi="Times New Roman"/>
          <w:sz w:val="15"/>
          <w:szCs w:val="15"/>
          <w:color w:val="auto"/>
        </w:rPr>
        <w:t>We cannot ensure that we will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spacing w:after="0" w:line="238"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similar third-party products are developed and do not perform as intended or cause harm or injury to patients, the market for our products could be impaired.</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80"/>
          </w:cols>
          <w:pgMar w:left="320" w:top="419" w:right="10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w:t>
      </w:r>
    </w:p>
    <w:p>
      <w:pPr>
        <w:spacing w:after="0" w:line="248"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 our commercialization efforts with respect to Galleri, including pursuing broader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w:t>
      </w:r>
    </w:p>
    <w:p>
      <w:pPr>
        <w:spacing w:after="0" w:line="16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As of March 31, 2024, we had $199.7 million in cash and cash equivalents. We believe that our existing cash and cash equivalents, together with the funding obligations of Illumina required by the EC Divestment Decision (as defined in the section titled “The Spin-Off—Background” beginning on page 102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spacing w:after="0" w:line="16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w:t>
      </w:r>
    </w:p>
    <w:p>
      <w:pPr>
        <w:spacing w:after="0" w:line="73" w:lineRule="exact"/>
        <w:rPr>
          <w:sz w:val="20"/>
          <w:szCs w:val="20"/>
          <w:color w:val="auto"/>
        </w:rPr>
      </w:pPr>
    </w:p>
    <w:p>
      <w:pPr>
        <w:ind w:left="1620" w:right="12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development and commercialization activities for our products, including Galleri and our precision oncology portfolio and our future products, such as DAC, including marketing, sales, and distribution costs;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related to continued scaling operations to support demand for our products, including the cost of operating our laboratory in Durham, North Carolina;</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any required or desired regulatory approvals, clearances, or certifications for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progress, results, and costs of developing additional products and conducting clinical studies;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and other intellectual property rights and claims, including litigation costs and the outcome of such litigation;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sales of our products and collection of related receivables;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of new technologies, products, or services and other adverse market developments;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potential adverse developments.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480"/>
          </w:cols>
          <w:pgMar w:left="320" w:top="419"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61" w:lineRule="exact"/>
        <w:rPr>
          <w:sz w:val="20"/>
          <w:szCs w:val="20"/>
          <w:color w:val="auto"/>
        </w:rPr>
      </w:pPr>
    </w:p>
    <w:p>
      <w:pPr>
        <w:ind w:left="760" w:right="2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23"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w:t>
      </w:r>
    </w:p>
    <w:p>
      <w:pPr>
        <w:spacing w:after="0" w:line="263" w:lineRule="exact"/>
        <w:rPr>
          <w:sz w:val="20"/>
          <w:szCs w:val="20"/>
          <w:color w:val="auto"/>
        </w:rPr>
      </w:pPr>
    </w:p>
    <w:p>
      <w:pPr>
        <w:ind w:left="760" w:right="3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60"/>
          </w:cols>
          <w:pgMar w:left="320" w:top="419" w:right="11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320"/>
        <w:spacing w:after="0" w:line="258" w:lineRule="auto"/>
        <w:rPr>
          <w:sz w:val="20"/>
          <w:szCs w:val="20"/>
          <w:color w:val="auto"/>
        </w:rPr>
      </w:pPr>
      <w:r>
        <w:rPr>
          <w:rFonts w:ascii="Times New Roman" w:cs="Times New Roman" w:eastAsia="Times New Roman" w:hAnsi="Times New Roman"/>
          <w:sz w:val="16"/>
          <w:szCs w:val="16"/>
          <w:color w:val="auto"/>
        </w:rPr>
        <w:t>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 supporting clinical studies and conduct new studies, our reputation, and could impact our timing for regulatory authorization and coverage and reimbursement.</w:t>
      </w:r>
    </w:p>
    <w:p>
      <w:pPr>
        <w:spacing w:after="0" w:line="161"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 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w:t>
      </w:r>
    </w:p>
    <w:p>
      <w:pPr>
        <w:spacing w:after="0" w:line="170"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use generally have significantly higher costs than LDT uses, which, in turn, are more costly than products intended for RUO.</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 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460"/>
          </w:cols>
          <w:pgMar w:left="320" w:top="419" w:right="11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our facilities become inoperable, our ability to provide our products will be significantly impaired and our business will be harmed.</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w:t>
      </w:r>
    </w:p>
    <w:p>
      <w:pPr>
        <w:spacing w:after="0" w:line="246" w:lineRule="exact"/>
        <w:rPr>
          <w:sz w:val="20"/>
          <w:szCs w:val="20"/>
          <w:color w:val="auto"/>
        </w:rPr>
      </w:pPr>
    </w:p>
    <w:p>
      <w:pPr>
        <w:ind w:left="760" w:right="1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59"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depend on third parties for information technology, telecommunication systems, the collection, processing, transport, and storage of sample, and other patient-facing services. Any disruption in these services or operations could materially adversely harm our business and operations.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460"/>
          </w:cols>
          <w:pgMar w:left="320" w:top="419" w:right="11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NHS-Galleri Trial samples and ships those samples to UK Biocentre Ltd (“UKBC”) for, among other things, receipt, storage, and management. If any natural or man-made disaster, accident, or break-in were to affect the 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transport of our samples, which generally must be delivered to our facilities for processing within seven days of blood draw.</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spacing w:after="0" w:line="256" w:lineRule="exact"/>
        <w:rPr>
          <w:sz w:val="20"/>
          <w:szCs w:val="20"/>
          <w:color w:val="auto"/>
        </w:rPr>
      </w:pPr>
    </w:p>
    <w:p>
      <w:pPr>
        <w:ind w:left="760" w:right="200" w:firstLine="388"/>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spacing w:after="0" w:line="43"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w:t>
      </w:r>
    </w:p>
    <w:p>
      <w:pPr>
        <w:spacing w:after="0" w:line="170"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460"/>
          </w:cols>
          <w:pgMar w:left="320" w:top="419" w:right="11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delayed or ineffective data processing. A variety of factors, including infrastructure changes, human or software errors, viruses, malware, security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scale our operations successfully to support demand for our products, our business could suffer.</w:t>
      </w:r>
    </w:p>
    <w:p>
      <w:pPr>
        <w:spacing w:after="0" w:line="106"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w:t>
      </w:r>
    </w:p>
    <w:p>
      <w:pPr>
        <w:spacing w:after="0" w:line="168"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15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480"/>
          </w:cols>
          <w:pgMar w:left="320" w:top="419" w:right="10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will suffer if we fail to perform effectively.</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There are market participants in the cancer detection space both in the United States and abroad, including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ability to perform successfully will depend largely on our ability to:</w:t>
      </w:r>
    </w:p>
    <w:p>
      <w:pPr>
        <w:spacing w:after="0" w:line="114" w:lineRule="exact"/>
        <w:rPr>
          <w:sz w:val="20"/>
          <w:szCs w:val="20"/>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commercialization efforts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compelling advantages in the performance and convenience of our products, including on a cost efficient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products by healthcare providers and patients, including through our reputation;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adequate coverage and reimbursement by third-party payors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 our product from future tests and products of and third parties;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qualified scientific, data science, clinical development, product development, and commercial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defend, and enforce patent and other proprietary protection as necessary for our products;</w:t>
      </w:r>
    </w:p>
    <w:p>
      <w:pPr>
        <w:spacing w:after="0" w:line="11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any necessary or desirable marketing authorizations or certifications from regulators in the United States and other jurisdictions, and notified bodies;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product ordering and results delivery into practices’ electronic health or medical records systems;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collaborate with institutions in the discovery, development, and commercialization of our products;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operations and implement a successful sales and marketing strategy to support commercialization.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may not be able to perform effectively if we are unable to accomplish one or more of these or similar objectives.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20"/>
          </w:cols>
          <w:pgMar w:left="320" w:top="419" w:right="11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cannot maintain our current collaborations or partnerships and enter into new collaborations or partnerships in a timely manner and on acceptable terms, our efforts to develop and commercialize our products could be delayed or adversely affected.</w:t>
      </w:r>
    </w:p>
    <w:p>
      <w:pPr>
        <w:spacing w:after="0" w:line="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rely, and expect to continue to rely, on collaborative partners to help us develop our products and enhance our research and development efforts. For example, we have collaborated with pharmaceutical 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spacing w:after="0" w:line="170" w:lineRule="exact"/>
        <w:rPr>
          <w:sz w:val="20"/>
          <w:szCs w:val="20"/>
          <w:color w:val="auto"/>
        </w:rPr>
      </w:pPr>
    </w:p>
    <w:p>
      <w:pPr>
        <w:ind w:left="760" w:right="18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w:t>
      </w:r>
    </w:p>
    <w:p>
      <w:pPr>
        <w:spacing w:after="0" w:line="259" w:lineRule="exact"/>
        <w:rPr>
          <w:sz w:val="20"/>
          <w:szCs w:val="20"/>
          <w:color w:val="auto"/>
        </w:rPr>
      </w:pPr>
    </w:p>
    <w:p>
      <w:pPr>
        <w:ind w:left="760" w:right="4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w:t>
      </w:r>
    </w:p>
    <w:p>
      <w:pPr>
        <w:spacing w:after="0" w:line="59"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As of March 31, 2024, we had approximately 1,360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Factors that may inhibit our efforts to commercialize any of our products include:</w:t>
      </w:r>
    </w:p>
    <w:p>
      <w:pPr>
        <w:spacing w:after="0" w:line="114" w:lineRule="exact"/>
        <w:rPr>
          <w:sz w:val="20"/>
          <w:szCs w:val="20"/>
          <w:color w:val="auto"/>
        </w:rPr>
      </w:pPr>
    </w:p>
    <w:p>
      <w:pPr>
        <w:ind w:left="1620" w:right="24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marketing, reimbursement, customer service, medical affairs, and other support personnel;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60"/>
          </w:cols>
          <w:pgMar w:left="320" w:top="419" w:right="11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20" w:hanging="375"/>
        <w:spacing w:after="0" w:line="278" w:lineRule="auto"/>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generate an adequate numbers of customers, including healthcare systems and healthcare providers, to use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price our products at a sufficient price point to ensure an adequate and attractive level of gross margin and profitability;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market to, collaborate with, and secure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applicable regulatory requirements governing the sale, marketing, reimbursement, and commercialization of our products;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maintaining a commercialization organization.</w:t>
      </w:r>
    </w:p>
    <w:p>
      <w:pPr>
        <w:spacing w:after="0" w:line="197"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spacing w:after="0" w:line="147"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spacing w:after="0" w:line="161"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we may not be able to successfully implement the tasks necessary to commercialize our products, which would have a negative impact on our business and results of operations.</w:t>
      </w:r>
    </w:p>
    <w:p>
      <w:pPr>
        <w:spacing w:after="0" w:line="23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our key personnel.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460"/>
          </w:cols>
          <w:pgMar w:left="320" w:top="419" w:right="11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economic, political, regulatory, and other risks associated with international operations.</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w:t>
      </w:r>
    </w:p>
    <w:p>
      <w:pPr>
        <w:spacing w:after="0" w:line="73" w:lineRule="exact"/>
        <w:rPr>
          <w:sz w:val="20"/>
          <w:szCs w:val="20"/>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non-U.S. economies and markets;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jurisdictions that do not respect and protect intellectual property rights to the same extent as the United States;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customs, tariffs, and trade barriers;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policies related to data privacy, data protection, and cybersecurity in the transfer or transmittal of data across boundaries and geographies;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risk we may face from denominating a portion of our transactions in currencies other than the U.S. dollar;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environment;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tax laws;</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staffing and managing international operations, including differing labor relations;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(“FCPA”) or comparable foreign laws; and</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recent conflicts in the Middle East, pandemics, or natural disasters, including earthquakes, typhoons, floods, and fires.</w:t>
      </w:r>
    </w:p>
    <w:p>
      <w:pPr>
        <w:spacing w:after="0" w:line="14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potential commercialization of Galleri with the NHS could be delayed or otherwise impacted if there is a change in the government in the United Kingdom. These and other risks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460"/>
          </w:cols>
          <w:pgMar w:left="320" w:top="419" w:right="11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associated with our planned international operations may materially and adversely affect our business, costs and growth prospects.</w:t>
      </w:r>
    </w:p>
    <w:p>
      <w:pPr>
        <w:spacing w:after="0" w:line="19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 Risks Relating to Regulation and Legal Compliance” beginning on page 58 of this Information Statement.</w:t>
      </w:r>
    </w:p>
    <w:p>
      <w:pPr>
        <w:spacing w:after="0" w:line="261" w:lineRule="exact"/>
        <w:rPr>
          <w:sz w:val="20"/>
          <w:szCs w:val="20"/>
          <w:color w:val="auto"/>
        </w:rPr>
      </w:pPr>
    </w:p>
    <w:p>
      <w:pPr>
        <w:ind w:left="760" w:right="3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third-party collaborators or other contractors or consultants, may fail or suffer security breaches or cyberattacks.</w:t>
      </w:r>
    </w:p>
    <w:p>
      <w:pPr>
        <w:spacing w:after="0" w:line="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w:t>
      </w:r>
    </w:p>
    <w:p>
      <w:pPr>
        <w:spacing w:after="0" w:line="165"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 including transaction errors, supply chain or manufacturing interruptions, processing inefficiencies, data loss, or the loss of or damage to intellectual property or other proprietary information.</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480"/>
          </w:cols>
          <w:pgMar w:left="320" w:top="419" w:right="10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w:t>
      </w:r>
    </w:p>
    <w:p>
      <w:pPr>
        <w:spacing w:after="0" w:line="179"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sued for product or professional liability, we could face substantial liabilities that exceed our resources and insurance coverage.</w:t>
      </w:r>
    </w:p>
    <w:p>
      <w:pPr>
        <w:spacing w:after="0" w:line="106" w:lineRule="exact"/>
        <w:rPr>
          <w:sz w:val="20"/>
          <w:szCs w:val="20"/>
          <w:color w:val="auto"/>
        </w:rPr>
      </w:pPr>
    </w:p>
    <w:p>
      <w:pPr>
        <w:jc w:val="both"/>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480"/>
          </w:cols>
          <w:pgMar w:left="320" w:top="419" w:right="10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w:t>
      </w:r>
    </w:p>
    <w:p>
      <w:pPr>
        <w:spacing w:after="0" w:line="257"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5"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We expect our results of operations to be subject to quarterly fluctuations. Our net loss and other operating results will be affected by numerous factors, including:</w:t>
      </w:r>
    </w:p>
    <w:p>
      <w:pPr>
        <w:spacing w:after="0" w:line="62" w:lineRule="exact"/>
        <w:rPr>
          <w:sz w:val="20"/>
          <w:szCs w:val="20"/>
          <w:color w:val="auto"/>
        </w:rPr>
      </w:pPr>
    </w:p>
    <w:p>
      <w:pPr>
        <w:ind w:left="162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develop, market, and sell our products, including Galleri and our future products, such as our precision oncology portfolio and DAC, if and when launched;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we are able to sell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market developments or our response thereto;</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business due to manufacturing, supply, security breaches, outages, or other issues;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performing next-generation sequencing;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deemed eligible or ineligible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coverage and reimbursement or in reimbursement-related laws directly affecting our business;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 for our products, and the degree of impact of those approvals on perceptions of our products and market demand;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products or any future competing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investments in our laboratories and other infrastructure;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expenditures in connection with our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international expansion efforts; and</w:t>
      </w:r>
    </w:p>
    <w:p>
      <w:pPr>
        <w:spacing w:after="0" w:line="113" w:lineRule="exact"/>
        <w:rPr>
          <w:rFonts w:ascii="Times New Roman" w:cs="Times New Roman" w:eastAsia="Times New Roman" w:hAnsi="Times New Roman"/>
          <w:sz w:val="16"/>
          <w:szCs w:val="16"/>
          <w:color w:val="auto"/>
        </w:rPr>
      </w:pPr>
    </w:p>
    <w:p>
      <w:pPr>
        <w:ind w:left="1620" w:right="76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non-routine cash and non-cash expenses and write-offs, whether associated with acquisitions, restructuring activities, litigation, investigations, or otherwise.</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460"/>
          </w:cols>
          <w:pgMar w:left="320" w:top="419" w:right="11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Acquisitions or other strategic transactions may increase our capital requirements, dilute our stockholders, cause us to incur debt or assume contingent liabilities, and subject us to other risks.</w:t>
      </w:r>
    </w:p>
    <w:p>
      <w:pPr>
        <w:spacing w:after="0" w:line="45"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spacing w:after="0" w:line="38" w:lineRule="exact"/>
        <w:rPr>
          <w:sz w:val="20"/>
          <w:szCs w:val="20"/>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indebtedness or contingent liabilities;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 that would result in dilution to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integrating new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consummate acquisitions on which we spend a significant amount of time and resources;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intellectual property, technology, or tests sufficient to meet our objectives or offset the associated transaction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as our strategy evolves, we may opt to discontinue, deprioritize, or dispose of assets, technologies, or acquired businesses.</w:t>
      </w:r>
    </w:p>
    <w:p>
      <w:pPr>
        <w:spacing w:after="0" w:line="288"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Litigation, regulatory, and other proceedings, including those related to or resulting from the acquisition of our business by Illumina, could lead us to incur significant costs and adversely affect our business, results of operations, financial condition, and prospects.</w:t>
      </w:r>
    </w:p>
    <w:p>
      <w:pPr>
        <w:spacing w:after="0" w:line="45"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are, or may become, party to various lawsuits and claims arising in the normal course of business, which may include putative class action suits or other lawsuits or claims relating to regulatory or other matters, privacy, intellectual property, and/or employment matters, or other aspects of our business. For example, since the acquisition of our business by Illumina in 2021, the acquisition has been subject to various legal challenges, including by the FTC and the European Commission. At the time of the acquisition, Illumina executed binding commitments pursuant to which Illumina would hold GRAIL separately during the European Commission’s review of the acquisition (the “Hold Separate Commitments”). Pursuant to such Hold Separate Commitments and the various orders of the European Commission related to its review of the acquisition, we and Illumina have operated as independent legal entities that transact at arms’ length. As a result, we have been a party, together with Illumina and as a separate party, to a number of regulatory and administrative proceedings regarding the acquisition, including ongoing proceedings regarding the European Commission’s assertion of jurisdiction to review the acquisition of GRAIL by Illumina under Article 22(1) of Council Regulation (EC) No 139/2004, for which we filed a separate appeal in the Court of Justice of the European Union on September 30, 2022. In addition, we have intervened in certain procedures in support of Illumina, including in respect of Illumina’s requested annulment of the decision of the European Commission that the acquisition is incompatible with the internal market in Europe and regarding various interim measures imposed by the European Commission. On December 5, 2022, the European Commission issued a Statement of Objections informing Illumina of the order it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460"/>
          </w:cols>
          <w:pgMar w:left="320" w:top="419" w:right="11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intended to adopt which would require Illumina to divest GRAIL (the “EC Divestment Decision”). On October 12, 2023, the European Commission announced that it had adopted the EC Divestment Decision, which orders Illumina to, among other things, divest GRAIL. While the risks and costs related to the foregoing proceedings, including the costs associated with our intervention in the proceedings and all other legal costs, are fundamentally borne by Illumina and not by us, following the Spin-Off we may become or remain party to certain related administrative and litigation proceedings. For example, as certain provisions of the EC Divestment Decision will continue to apply to GRAIL after the Spin-Off, we expect to continue to have separate limited interactions with the European Commission. GRAIL is also expected to remain involved as a separate party from Illumina in a number of ongoing court proceedings, such as ongoing procedures regarding our separate appeal of the European Commission’s assertion of jurisdiction to review the acquisition of GRAIL by Illumina under Article 22(1) of Council Regulation (EC) No 139/2004. We may also be a party or otherwise involved in new litigation proceedings regarding the acquisition.</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Lawsuits and other proceedings have in the past and may in the future result in us incurring significant expenses in settlement and litigation costs. Any negative outcome from any such lawsuits or claims could result in payments of substantial monetary damages or fines, or undesirable changes to our products or business practices and, accordingly, our business, results of operations, financial condition, or prospects could be adversely affected. There can be no assurances that a favorable final outcome will be obtained in any or all instances, and defending any lawsuit, even unmerited claims, is costly and can impose a significant burden on management and employees. Any litigation to which we are a party may result in an onerous or unfavorable judgment that may not be reversed upon appeal or in payments of substantial monetary damages or fines, or we may decide to settle lawsuits on similarly unfavorable terms, which could adversely affect our business, results of operations, financial condition, and prospects.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Regulation and Legal Compliance</w:t>
      </w:r>
    </w:p>
    <w:p>
      <w:pPr>
        <w:spacing w:after="0" w:line="100" w:lineRule="exact"/>
        <w:rPr>
          <w:sz w:val="20"/>
          <w:szCs w:val="20"/>
          <w:color w:val="auto"/>
        </w:rPr>
      </w:pPr>
    </w:p>
    <w:p>
      <w:pPr>
        <w:ind w:left="760" w:right="2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have launched Galleri as an LDT, and plan to launch DAC as an LDT in the United States.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w:t>
      </w:r>
    </w:p>
    <w:p>
      <w:pPr>
        <w:spacing w:after="0" w:line="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68"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Even under that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157"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460"/>
          </w:cols>
          <w:pgMar w:left="320" w:top="419" w:right="11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6"/>
          <w:szCs w:val="16"/>
          <w:color w:val="auto"/>
        </w:rPr>
        <w:t>FDA proposed an amendment to its regulations in October 2023 to clarify the FDA’s historical view that LDTs are medical devices subject to the requirements applicable to other IVDs, and to phase out its enforcement discretion policy over a period of four years from issuance of the final rule, which would involve a phase-in of medical device requirements to these products over this time period. The FDA issued this final rule on May 6, 2024, which will subject our products currently marketed as LDTs and any products that we may market as LDTs in the future to the FDA’s standard regulatory requirements applicable to medical devices in accordance with this phase-in period, potentially including the requirement for FDA marketing authorization.</w:t>
      </w:r>
    </w:p>
    <w:p>
      <w:pPr>
        <w:spacing w:after="0" w:line="16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connection with the final rule, the FDA established certain new, targeted enforcement discretion policies, including, among others, for LDTs marketed as of the date of publication of the final rule (May 6, 2024), as well as for LDTs that have received approval from New York State’s Clinical Laboratory Evaluation Program (“NY CLEP”). Specifically, the FDA intends to exercise enforcement discretion and not enforce certain medical device requirements (including the requirements for marketing authorization and compliance with certain elements of the Quality System Regulation (“QSR”)) with respect to LDTs that were marketed as of the date of the final rule’s publication, although such products must still comply with certain other FDA requirements, including registration and listing, portions of the QSR, medical device reporting, labeling, and corrections and removals reporting. However, where these tests are modified in certain ways from the version of the test marketed as of the final rule’s publication date, this enforcement discretion policy will no longer apply and the FDA intends to enforce all applicable FDA requirements (including premarket review and marketing authorization requirements) consistent with the phase-in policy. In addition, for LDTs that receive approval from NY CLEP, FDA intends not to enforce marketing authorization requirements when these requirements are phased in more generally at either three and a half or four years following the date of publication of the final rule. However, these tests will still be subject to the remaining medical device requirements, including registration and listing, medical device reporting, and quality system requirements, at the time that such requirements are phased in more generally.</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Notwithstanding these new targeted enforcement discretion policies, depending on the kinds of future changes we make to our currently-marketed LDT or any NY CLEP-approved LDT we offer, we may become subject to the application of the phase-in of all FDA medical device requirements (including the need to seek and obtain marketing authorization) at the time that those medical device requirements are phased in more generally. If we are unable to comply with the phase-in of medical device requirements applicable to our LDTs over the phase-in period, we may be required to cease marketing any products that we market as LDTs. In 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Moreover, the FDA may assert that we are improperly marketing our LDTs and may take enforcement action against us and/or require premarket review and marketing authorization, even before the deadline for phasing in medical device requirements to LDTs.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460"/>
          </w:cols>
          <w:pgMar w:left="320" w:top="419" w:right="11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15"/>
          <w:szCs w:val="15"/>
          <w:color w:val="auto"/>
        </w:rPr>
        <w:t>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w:t>
      </w:r>
    </w:p>
    <w:p>
      <w:pPr>
        <w:spacing w:after="0" w:line="150"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As the FDA begins to phase out its policy of enforcement discretion for LDTs as recently described in its final rule subjecting LDTs to affirmative medical device regulation, or if it asserts that our LDTs are not eligible for application of its new, targeted enforcement discretion policies, or if Congress enacts legislation such as the VALID Act to subject LDTs to affirmative FDA oversight as IVCTs,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 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w:t>
      </w:r>
    </w:p>
    <w:p>
      <w:pPr>
        <w:spacing w:after="0" w:line="257"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59"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7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Before a new medical device can be marketed in the United States, a company must first submit an application for and receive 510(k) clearance pursuant to a premarket notification submitted under Section 510(k)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80"/>
          </w:cols>
          <w:pgMar w:left="320" w:top="419" w:right="10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0" w:lineRule="auto"/>
        <w:rPr>
          <w:sz w:val="20"/>
          <w:szCs w:val="20"/>
          <w:color w:val="auto"/>
        </w:rPr>
      </w:pPr>
      <w:r>
        <w:rPr>
          <w:rFonts w:ascii="Times New Roman" w:cs="Times New Roman" w:eastAsia="Times New Roman" w:hAnsi="Times New Roman"/>
          <w:sz w:val="16"/>
          <w:szCs w:val="16"/>
          <w:color w:val="auto"/>
        </w:rPr>
        <w:t>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73"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6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480"/>
          </w:cols>
          <w:pgMar w:left="320" w:top="419" w:right="10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15"/>
          <w:szCs w:val="15"/>
          <w:color w:val="auto"/>
        </w:rPr>
        <w:t>(depending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59"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w:t>
      </w:r>
    </w:p>
    <w:p>
      <w:pPr>
        <w:spacing w:after="0" w:line="138"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w:t>
      </w:r>
    </w:p>
    <w:p>
      <w:pPr>
        <w:spacing w:after="0" w:line="168"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w:t>
      </w:r>
    </w:p>
    <w:p>
      <w:pPr>
        <w:spacing w:after="0" w:line="138"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480"/>
          </w:cols>
          <w:pgMar w:left="320" w:top="419" w:right="10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60"/>
        <w:spacing w:after="0" w:line="263" w:lineRule="auto"/>
        <w:rPr>
          <w:sz w:val="20"/>
          <w:szCs w:val="20"/>
          <w:color w:val="auto"/>
        </w:rPr>
      </w:pPr>
      <w:r>
        <w:rPr>
          <w:rFonts w:ascii="Times New Roman" w:cs="Times New Roman" w:eastAsia="Times New Roman" w:hAnsi="Times New Roman"/>
          <w:sz w:val="16"/>
          <w:szCs w:val="16"/>
          <w:color w:val="auto"/>
        </w:rPr>
        <w:t>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FDA, other regulators or notified bodies can delay, limit, or deny clearance, approval, or certification of a product for many reasons, including but not limited to the following:</w:t>
      </w:r>
    </w:p>
    <w:p>
      <w:pPr>
        <w:spacing w:after="0" w:line="62" w:lineRule="exact"/>
        <w:rPr>
          <w:sz w:val="20"/>
          <w:szCs w:val="20"/>
          <w:color w:val="auto"/>
        </w:rPr>
      </w:pPr>
    </w:p>
    <w:p>
      <w:pPr>
        <w:ind w:left="1620" w:right="42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the design, implementation, or results of, or interpretation of the data from, our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spacing w:after="0" w:line="73" w:lineRule="exact"/>
        <w:rPr>
          <w:rFonts w:ascii="Times New Roman" w:cs="Times New Roman" w:eastAsia="Times New Roman" w:hAnsi="Times New Roman"/>
          <w:sz w:val="16"/>
          <w:szCs w:val="16"/>
          <w:color w:val="auto"/>
        </w:rPr>
      </w:pPr>
    </w:p>
    <w:p>
      <w:pPr>
        <w:ind w:left="1620" w:right="440" w:hanging="375"/>
        <w:spacing w:after="0" w:line="313" w:lineRule="auto"/>
        <w:tabs>
          <w:tab w:leader="none" w:pos="16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spacing w:after="0" w:line="37" w:lineRule="exact"/>
        <w:rPr>
          <w:rFonts w:ascii="Times New Roman" w:cs="Times New Roman" w:eastAsia="Times New Roman" w:hAnsi="Times New Roman"/>
          <w:sz w:val="15"/>
          <w:szCs w:val="15"/>
          <w:color w:val="auto"/>
        </w:rPr>
      </w:pPr>
    </w:p>
    <w:p>
      <w:pPr>
        <w:ind w:left="1620" w:right="10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our interpretation of data from clinical studies or may fail to accept data from clinical studies (or clinical sites), including if we fail to establish the integrity of our data;</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clinical studies otherwise fail to comply with applicable regulations, including good clinical practice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or unexpected adverse effects or other performance issues are identified with our existing or future products;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manufacturing or quality system fails to comply with applicable regulations or otherwise fails to meet the standards necessary to support approval or certification;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certification) policies or regulations of the FDA or comparable foreign regulatory authorities may significantly change in a manner rendering our clinical data insufficient for approval or certification.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480"/>
          </w:cols>
          <w:pgMar w:left="320" w:top="419" w:right="10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right="1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257"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6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w:t>
      </w:r>
    </w:p>
    <w:p>
      <w:pPr>
        <w:spacing w:after="0" w:line="168"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As part of our ongoing discussions with the FDA regarding the data that will be needed to support a PMA for a multi-cancer detection test based on a proposed intended use, the FDA has provided preliminary, nonbinding feedback regarding how it potentially plans to assess the safety and effectiveness of Galleri based on potential intended use statements.</w:t>
      </w:r>
    </w:p>
    <w:p>
      <w:pPr>
        <w:spacing w:after="0" w:line="157"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In addition, we have made pre-submissions to the FDA detailing the clinical and analytical studies intended to support our PMA submission for Galleri, including related to limit of detection, reproducibility, repeatability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60"/>
          </w:cols>
          <w:pgMar w:left="320" w:top="419" w:right="11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and other analytical validation studies. Subsequent to these pre-submissions, we met with the FDA and the FDA provided written and verbal feedback, documented in minutes, confirming the use of certain of our proposed studies in our PMA submission and requesting or suggesting changes to certain of our proposed studies, for which we have reached mutual agreement. For example, the FDA stated that an analytical accuracy study would not be relevant to be performed due to the unique nature of our methylation-based signature assay and lack of precedent approved diagnostic assays. In addition, the FDA stated that we can perform our LoD studies using samples from known cancer cell lines instead of clinical samples due to the nature of the methylation-based functions and mechanics of the assay. While we plan to continue discussions with the FDA and provide the FDA with additional information, the FDA may raise additional questions or request additional information in connection with the submission of a marketing application.</w:t>
      </w:r>
    </w:p>
    <w:p>
      <w:pPr>
        <w:spacing w:after="0" w:line="168" w:lineRule="exact"/>
        <w:rPr>
          <w:sz w:val="20"/>
          <w:szCs w:val="20"/>
          <w:color w:val="auto"/>
        </w:rPr>
      </w:pPr>
    </w:p>
    <w:p>
      <w:pPr>
        <w:ind w:left="760" w:right="40" w:firstLine="388"/>
        <w:spacing w:after="0" w:line="273" w:lineRule="auto"/>
        <w:rPr>
          <w:sz w:val="20"/>
          <w:szCs w:val="20"/>
          <w:color w:val="auto"/>
        </w:rPr>
      </w:pPr>
      <w:r>
        <w:rPr>
          <w:rFonts w:ascii="Times New Roman" w:cs="Times New Roman" w:eastAsia="Times New Roman" w:hAnsi="Times New Roman"/>
          <w:sz w:val="15"/>
          <w:szCs w:val="15"/>
          <w:color w:val="auto"/>
        </w:rPr>
        <w:t>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w:t>
      </w:r>
    </w:p>
    <w:p>
      <w:pPr>
        <w:spacing w:after="0" w:line="241" w:lineRule="exact"/>
        <w:rPr>
          <w:sz w:val="20"/>
          <w:szCs w:val="20"/>
          <w:color w:val="auto"/>
        </w:rPr>
      </w:pPr>
    </w:p>
    <w:p>
      <w:pPr>
        <w:ind w:left="760" w:right="2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spacing w:after="0" w:line="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0" w:lineRule="exact"/>
        <w:rPr>
          <w:sz w:val="20"/>
          <w:szCs w:val="20"/>
          <w:color w:val="auto"/>
        </w:rPr>
      </w:pPr>
    </w:p>
    <w:p>
      <w:pPr>
        <w:ind w:left="760" w:right="140" w:firstLine="388"/>
        <w:spacing w:after="0" w:line="274" w:lineRule="auto"/>
        <w:rPr>
          <w:sz w:val="20"/>
          <w:szCs w:val="20"/>
          <w:color w:val="auto"/>
        </w:rPr>
      </w:pPr>
      <w:r>
        <w:rPr>
          <w:rFonts w:ascii="Times New Roman" w:cs="Times New Roman" w:eastAsia="Times New Roman" w:hAnsi="Times New Roman"/>
          <w:sz w:val="15"/>
          <w:szCs w:val="15"/>
          <w:color w:val="auto"/>
        </w:rPr>
        <w:t>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80"/>
          </w:cols>
          <w:pgMar w:left="320" w:top="419" w:right="10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spacing w:after="0" w:line="172"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also expect that there will continue to be new laws, regulations and industry standards concerning privacy, data protection and information security proposed and enacted in various jurisdictions. For example,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80"/>
          </w:cols>
          <w:pgMar w:left="320" w:top="419" w:right="10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1" w:lineRule="auto"/>
        <w:rPr>
          <w:sz w:val="20"/>
          <w:szCs w:val="20"/>
          <w:color w:val="auto"/>
        </w:rPr>
      </w:pPr>
      <w:r>
        <w:rPr>
          <w:rFonts w:ascii="Times New Roman" w:cs="Times New Roman" w:eastAsia="Times New Roman" w:hAnsi="Times New Roman"/>
          <w:sz w:val="16"/>
          <w:szCs w:val="16"/>
          <w:color w:val="auto"/>
        </w:rPr>
        <w:t>Washington State has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spacing w:after="0" w:line="161"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w:t>
      </w:r>
    </w:p>
    <w:p>
      <w:pPr>
        <w:spacing w:after="0" w:line="161"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480"/>
          </w:cols>
          <w:pgMar w:left="320" w:top="419" w:right="10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6"/>
          <w:szCs w:val="16"/>
          <w:color w:val="auto"/>
        </w:rPr>
        <w:t>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spacing w:after="0" w:line="16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w:t>
      </w:r>
    </w:p>
    <w:p>
      <w:pPr>
        <w:spacing w:after="0" w:line="166"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 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w:t>
      </w:r>
    </w:p>
    <w:p>
      <w:pPr>
        <w:spacing w:after="0" w:line="168"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80"/>
          </w:cols>
          <w:pgMar w:left="320" w:top="419" w:right="10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our partners fail to comply with federal, state, and foreign laboratory and other applicable licensing and registration requirements, we could be prevented from performing our tests or experience disruptions to our business.</w:t>
      </w:r>
    </w:p>
    <w:p>
      <w:pPr>
        <w:spacing w:after="0" w:line="4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laboratories.</w:t>
      </w:r>
    </w:p>
    <w:p>
      <w:pPr>
        <w:spacing w:after="0" w:line="1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failure to pass inspections, maintain our CLIA certificates, CAP accreditation, or state licenses, or add new validated products to our laboratory assay offerings could significantly harm our business, results of operations, and prospects.</w:t>
      </w:r>
    </w:p>
    <w:p>
      <w:pPr>
        <w:spacing w:after="0" w:line="165"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 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spacing w:after="0" w:line="170" w:lineRule="exact"/>
        <w:rPr>
          <w:sz w:val="20"/>
          <w:szCs w:val="20"/>
          <w:color w:val="auto"/>
        </w:rPr>
      </w:pPr>
    </w:p>
    <w:p>
      <w:pPr>
        <w:jc w:val="both"/>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60"/>
          </w:cols>
          <w:pgMar w:left="320" w:top="419" w:right="11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3" w:lineRule="auto"/>
        <w:rPr>
          <w:sz w:val="20"/>
          <w:szCs w:val="20"/>
          <w:color w:val="auto"/>
        </w:rPr>
      </w:pPr>
      <w:r>
        <w:rPr>
          <w:rFonts w:ascii="Times New Roman" w:cs="Times New Roman" w:eastAsia="Times New Roman" w:hAnsi="Times New Roman"/>
          <w:sz w:val="16"/>
          <w:szCs w:val="16"/>
          <w:color w:val="auto"/>
        </w:rPr>
        <w:t>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w:t>
      </w:r>
    </w:p>
    <w:p>
      <w:pPr>
        <w:spacing w:after="0" w:line="166"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spacing w:after="0" w:line="252"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65" w:lineRule="exact"/>
        <w:rPr>
          <w:sz w:val="20"/>
          <w:szCs w:val="20"/>
          <w:color w:val="auto"/>
        </w:rPr>
      </w:pPr>
    </w:p>
    <w:p>
      <w:pPr>
        <w:jc w:val="both"/>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particular, in the United Kingdom, we are working with NHS England to complete our NHS-Galleri Trial. In May 2024, the NHS evaluated results of an early analysis from the first screening test (the prevalent screening round) in the NHS-Galleri Trial to determine whether the results were compelling enough to commence an implementation pilot prior to the final trial results, and determined not to initiate the pilot until those final results are available. As a result, the NHS will evaluate the final results from the NHS-Galleri Trial, which are expected to be available in 2026, before determining whether to implement the Galleri test in the NHS. It is possible that any publicly disclosed interim or final data from the NHS-Galleri Trial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w:t>
      </w:r>
    </w:p>
    <w:p>
      <w:pPr>
        <w:spacing w:after="0" w:line="168"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60"/>
          </w:cols>
          <w:pgMar w:left="320" w:top="419" w:right="11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257"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spacing w:after="0" w:line="59"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spacing w:after="0" w:line="16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spacing w:after="0" w:line="82" w:lineRule="exact"/>
        <w:rPr>
          <w:sz w:val="20"/>
          <w:szCs w:val="20"/>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operations of our laboratories;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processes;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marketing of a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Untitled or Warning letters;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or recall of the product from the market or seizure of the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applications or supplements to approved applications that we may submit;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limitation or withdrawal of regulatory approvals, clearances, or certifications;</w:t>
      </w:r>
    </w:p>
    <w:p>
      <w:pPr>
        <w:spacing w:after="0" w:line="113" w:lineRule="exact"/>
        <w:rPr>
          <w:rFonts w:ascii="Times New Roman" w:cs="Times New Roman" w:eastAsia="Times New Roman" w:hAnsi="Times New Roman"/>
          <w:sz w:val="16"/>
          <w:szCs w:val="16"/>
          <w:color w:val="auto"/>
        </w:rPr>
      </w:pPr>
    </w:p>
    <w:p>
      <w:pPr>
        <w:ind w:left="5540" w:right="2120" w:hanging="4295"/>
        <w:spacing w:after="0" w:line="449" w:lineRule="auto"/>
        <w:tabs>
          <w:tab w:leader="none" w:pos="1621"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participation in U.S. federal or state healthcare programs, such as Medicare and Medicaid; 71</w:t>
      </w:r>
    </w:p>
    <w:p>
      <w:pPr>
        <w:sectPr>
          <w:pgSz w:w="11900" w:h="16838" w:orient="portrait"/>
          <w:cols w:equalWidth="0" w:num="1">
            <w:col w:w="10480"/>
          </w:cols>
          <w:pgMar w:left="320" w:top="419" w:right="10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communications;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civil or criminal penalties.</w:t>
      </w:r>
    </w:p>
    <w:p>
      <w:pPr>
        <w:spacing w:after="0" w:line="19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Any of these sanctions could result in higher than anticipated costs or lower than anticipated sales and have a material adverse effect on our reputation, business, financial condition and results of operations.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spacing w:after="0" w:line="16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spacing w:after="0" w:line="248" w:lineRule="exact"/>
        <w:rPr>
          <w:sz w:val="20"/>
          <w:szCs w:val="20"/>
          <w:color w:val="auto"/>
        </w:rPr>
      </w:pPr>
    </w:p>
    <w:p>
      <w:pPr>
        <w:ind w:left="760" w:right="1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60"/>
          </w:cols>
          <w:pgMar w:left="320" w:top="419" w:right="11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spacing w:after="0" w:line="147"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56" w:lineRule="exact"/>
        <w:rPr>
          <w:sz w:val="20"/>
          <w:szCs w:val="20"/>
          <w:color w:val="auto"/>
        </w:rPr>
      </w:pPr>
    </w:p>
    <w:p>
      <w:pPr>
        <w:jc w:val="both"/>
        <w:ind w:left="760" w:right="56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FDA to approve or clear a medical device marketing application, 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spacing w:after="0" w:line="16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460"/>
          </w:cols>
          <w:pgMar w:left="320" w:top="419" w:right="11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65"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36"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59"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66"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61"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480"/>
          </w:cols>
          <w:pgMar w:left="320" w:top="419"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spacing w:after="0" w:line="256"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Healthcare reform and data protection measures, including legislation reforming the U.S. healthcare system, could cause significant harm to our business, operations and financial condition.</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41 of this Information Statement.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60"/>
          </w:cols>
          <w:pgMar w:left="320" w:top="419" w:right="11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6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authorization of our products in one jurisdiction does not mean that we will be successful in obtaining regulatory authorization of our products in other jurisdictions.</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spacing w:after="0" w:line="16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spacing w:after="0" w:line="252" w:lineRule="exact"/>
        <w:rPr>
          <w:sz w:val="20"/>
          <w:szCs w:val="20"/>
          <w:color w:val="auto"/>
        </w:rPr>
      </w:pPr>
    </w:p>
    <w:p>
      <w:pPr>
        <w:ind w:left="760" w:right="5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4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460"/>
          </w:cols>
          <w:pgMar w:left="320" w:top="419" w:right="11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0" w:lineRule="auto"/>
        <w:rPr>
          <w:sz w:val="20"/>
          <w:szCs w:val="20"/>
          <w:color w:val="auto"/>
        </w:rPr>
      </w:pPr>
      <w:r>
        <w:rPr>
          <w:rFonts w:ascii="Times New Roman" w:cs="Times New Roman" w:eastAsia="Times New Roman" w:hAnsi="Times New Roman"/>
          <w:sz w:val="16"/>
          <w:szCs w:val="16"/>
          <w:color w:val="auto"/>
        </w:rPr>
        <w:t>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spacing w:after="0" w:line="265" w:lineRule="exact"/>
        <w:rPr>
          <w:sz w:val="20"/>
          <w:szCs w:val="20"/>
          <w:color w:val="auto"/>
        </w:rPr>
      </w:pPr>
    </w:p>
    <w:p>
      <w:pPr>
        <w:ind w:left="760" w:right="7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healthcare and other applicable laws and regulations, we could face substantial penalties and our business, reputation, and operations and financial condition could be adversely affected.</w:t>
      </w:r>
    </w:p>
    <w:p>
      <w:pPr>
        <w:spacing w:after="0" w:line="45"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spacing w:after="0" w:line="73" w:lineRule="exact"/>
        <w:rPr>
          <w:sz w:val="20"/>
          <w:szCs w:val="20"/>
          <w:color w:val="auto"/>
        </w:rPr>
      </w:pPr>
    </w:p>
    <w:p>
      <w:pPr>
        <w:ind w:left="1620" w:right="20" w:hanging="375"/>
        <w:spacing w:after="0" w:line="251"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w:t>
      </w:r>
    </w:p>
    <w:p>
      <w:pPr>
        <w:spacing w:after="0" w:line="86" w:lineRule="exact"/>
        <w:rPr>
          <w:rFonts w:ascii="Times New Roman" w:cs="Times New Roman" w:eastAsia="Times New Roman" w:hAnsi="Times New Roman"/>
          <w:sz w:val="16"/>
          <w:szCs w:val="16"/>
          <w:color w:val="auto"/>
        </w:rPr>
      </w:pPr>
    </w:p>
    <w:p>
      <w:pPr>
        <w:ind w:left="1620" w:right="20" w:hanging="375"/>
        <w:spacing w:after="0" w:line="255"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spacing w:after="0" w:line="8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480"/>
          </w:cols>
          <w:pgMar w:left="320" w:top="419" w:right="10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Anti-Kickback Statute or Stark Law constitutes a false or fraudulent claim for purposes of the False Claims Act;</w:t>
      </w:r>
    </w:p>
    <w:p>
      <w:pPr>
        <w:spacing w:after="0" w:line="114" w:lineRule="exact"/>
        <w:rPr>
          <w:sz w:val="20"/>
          <w:szCs w:val="20"/>
          <w:color w:val="auto"/>
        </w:rPr>
      </w:pPr>
    </w:p>
    <w:p>
      <w:pPr>
        <w:ind w:left="1620" w:right="60" w:hanging="375"/>
        <w:spacing w:after="0" w:line="263"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3" w:lineRule="exact"/>
        <w:rPr>
          <w:rFonts w:ascii="Times New Roman" w:cs="Times New Roman" w:eastAsia="Times New Roman" w:hAnsi="Times New Roman"/>
          <w:sz w:val="16"/>
          <w:szCs w:val="16"/>
          <w:color w:val="auto"/>
        </w:rPr>
      </w:pPr>
    </w:p>
    <w:p>
      <w:pPr>
        <w:ind w:left="1620" w:right="160" w:hanging="375"/>
        <w:spacing w:after="0" w:line="25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7" w:lineRule="exact"/>
        <w:rPr>
          <w:rFonts w:ascii="Times New Roman" w:cs="Times New Roman" w:eastAsia="Times New Roman" w:hAnsi="Times New Roman"/>
          <w:sz w:val="16"/>
          <w:szCs w:val="16"/>
          <w:color w:val="auto"/>
        </w:rPr>
      </w:pPr>
    </w:p>
    <w:p>
      <w:pPr>
        <w:ind w:left="1620" w:right="260" w:hanging="375"/>
        <w:spacing w:after="0" w:line="277" w:lineRule="auto"/>
        <w:tabs>
          <w:tab w:leader="none" w:pos="162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spacing w:after="0" w:line="63" w:lineRule="exact"/>
        <w:rPr>
          <w:rFonts w:ascii="Times New Roman" w:cs="Times New Roman" w:eastAsia="Times New Roman" w:hAnsi="Times New Roman"/>
          <w:sz w:val="15"/>
          <w:szCs w:val="15"/>
          <w:color w:val="auto"/>
        </w:rPr>
      </w:pPr>
    </w:p>
    <w:p>
      <w:pPr>
        <w:ind w:left="1620" w:right="6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1"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480"/>
          </w:cols>
          <w:pgMar w:left="320" w:top="419" w:right="10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spacing w:after="0" w:line="168"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spacing w:after="0" w:line="241" w:lineRule="exact"/>
        <w:rPr>
          <w:sz w:val="20"/>
          <w:szCs w:val="20"/>
          <w:color w:val="auto"/>
        </w:rPr>
      </w:pPr>
    </w:p>
    <w:p>
      <w:pPr>
        <w:ind w:left="760" w:right="28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w:t>
      </w:r>
    </w:p>
    <w:p>
      <w:pPr>
        <w:spacing w:after="0" w:line="6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 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480"/>
          </w:cols>
          <w:pgMar w:left="320" w:top="419" w:right="10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w:t>
      </w:r>
    </w:p>
    <w:p>
      <w:pPr>
        <w:spacing w:after="0" w:line="16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audits. </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Intellectual Property</w:t>
      </w:r>
    </w:p>
    <w:p>
      <w:pPr>
        <w:spacing w:after="0" w:line="100" w:lineRule="exact"/>
        <w:rPr>
          <w:sz w:val="20"/>
          <w:szCs w:val="20"/>
          <w:color w:val="auto"/>
        </w:rPr>
      </w:pPr>
    </w:p>
    <w:p>
      <w:pPr>
        <w:ind w:left="760" w:right="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spacing w:after="0" w:line="59"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480"/>
          </w:cols>
          <w:pgMar w:left="320" w:top="419" w:right="10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spacing w:after="0" w:line="161"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spacing w:after="0" w:line="17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 products are commercialized. As a result, our owned or exclusively in-licensed patent portfolio may not provide us with sufficient rights to exclude others from commercializing products similar or identical to ours.</w:t>
      </w:r>
    </w:p>
    <w:p>
      <w:pPr>
        <w:spacing w:after="0" w:line="16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460"/>
          </w:cols>
          <w:pgMar w:left="320" w:top="419" w:right="11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spacing w:after="0" w:line="16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spacing w:after="0" w:line="170"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spacing w:after="0" w:line="73" w:lineRule="exact"/>
        <w:rPr>
          <w:sz w:val="20"/>
          <w:szCs w:val="20"/>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product and technology infringe on intellectual property of the licensor that is not subject to the license agreement;</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sublicense patent and other rights under our collaborative development relationships;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and other obligations under the license agreement; and</w:t>
      </w:r>
    </w:p>
    <w:p>
      <w:pPr>
        <w:spacing w:after="0" w:line="113"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invention of intellectual property by us and our licensors and our partners.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480"/>
          </w:cols>
          <w:pgMar w:left="320" w:top="419" w:right="10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spacing w:after="0" w:line="259"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use of open-source software could subject our proprietary technology to unwanted open-source license conditions that could negatively impact our business.</w:t>
      </w:r>
    </w:p>
    <w:p>
      <w:pPr>
        <w:spacing w:after="0" w:line="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patent law could have a negative impact on our business.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Several precedential decisions regarding patentable subject matter are of particular relevance to patents in the medical diagnostics and computer-implemented applications space. The 2012 decision in </w:t>
      </w:r>
      <w:r>
        <w:rPr>
          <w:rFonts w:ascii="Times New Roman" w:cs="Times New Roman" w:eastAsia="Times New Roman" w:hAnsi="Times New Roman"/>
          <w:sz w:val="16"/>
          <w:szCs w:val="16"/>
          <w:i w:val="1"/>
          <w:iCs w:val="1"/>
          <w:color w:val="auto"/>
        </w:rPr>
        <w:t>Mayo Collaborative v. Prometheus Laboratories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Prometheus</w:t>
      </w:r>
      <w:r>
        <w:rPr>
          <w:rFonts w:ascii="Times New Roman" w:cs="Times New Roman" w:eastAsia="Times New Roman" w:hAnsi="Times New Roman"/>
          <w:sz w:val="16"/>
          <w:szCs w:val="16"/>
          <w:color w:val="auto"/>
        </w:rPr>
        <w:t xml:space="preserve">) concerns patent claims directed to optimizing the amount of drug administered to a specific patient based on 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cs="Times New Roman" w:eastAsia="Times New Roman" w:hAnsi="Times New Roman"/>
          <w:sz w:val="16"/>
          <w:szCs w:val="16"/>
          <w:i w:val="1"/>
          <w:iCs w:val="1"/>
          <w:color w:val="auto"/>
        </w:rPr>
        <w:t>Association for Molecular Pathology v. Myriad Genetics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Myriad</w:t>
      </w:r>
      <w:r>
        <w:rPr>
          <w:rFonts w:ascii="Times New Roman" w:cs="Times New Roman" w:eastAsia="Times New Roman" w:hAnsi="Times New Roman"/>
          <w:sz w:val="16"/>
          <w:szCs w:val="16"/>
          <w:color w:val="auto"/>
        </w:rPr>
        <w:t xml:space="preserve">) concerns the patentability of isolated DNA sequences that were related to methods of diagnosing genetic predisposition to cancer. The U.S. Supreme Court held that isolated fragments of naturally occurring genetic material are not patent eligible, but non-naturally occurring fragments can be patented. The 2014 decision in </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Corporation Pty. Ltd. v. CLS Bank International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concerns computer-implemented inventions. The U.S. Supreme Court held that an abstract idea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could not be patented just because it is implemented on a computer, thus providing guidance on the patentability of computer-implemented applications. The 2015 decision in </w:t>
      </w:r>
      <w:r>
        <w:rPr>
          <w:rFonts w:ascii="Times New Roman" w:cs="Times New Roman" w:eastAsia="Times New Roman" w:hAnsi="Times New Roman"/>
          <w:sz w:val="16"/>
          <w:szCs w:val="16"/>
          <w:i w:val="1"/>
          <w:iCs w:val="1"/>
          <w:color w:val="auto"/>
        </w:rPr>
        <w:t>Ariosa v. Sequenom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Sequenom</w:t>
      </w:r>
      <w:r>
        <w:rPr>
          <w:rFonts w:ascii="Times New Roman" w:cs="Times New Roman" w:eastAsia="Times New Roman" w:hAnsi="Times New Roman"/>
          <w:sz w:val="16"/>
          <w:szCs w:val="16"/>
          <w:color w:val="auto"/>
        </w:rPr>
        <w:t>) concerns the patentability of claims directed to a method of detecting fetal DNA in a mother’s serum or plasma samples. Although the U.S. Supreme Court recognized that the discovery of cell-free fetal DNA present in a</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40"/>
          </w:cols>
          <w:pgMar w:left="320" w:top="419" w:right="11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 xml:space="preserve">mother’s bloodstream was a scientific breakthrough, it held that the claims were not patent eligible since they were primarily directed to a natural phenomenon. The Federal Circuit’s 2020 decision in </w:t>
      </w:r>
      <w:r>
        <w:rPr>
          <w:rFonts w:ascii="Times New Roman" w:cs="Times New Roman" w:eastAsia="Times New Roman" w:hAnsi="Times New Roman"/>
          <w:sz w:val="16"/>
          <w:szCs w:val="16"/>
          <w:i w:val="1"/>
          <w:iCs w:val="1"/>
          <w:color w:val="auto"/>
        </w:rPr>
        <w:t>Illumina v. Ariosa</w:t>
      </w:r>
      <w:r>
        <w:rPr>
          <w:rFonts w:ascii="Times New Roman" w:cs="Times New Roman" w:eastAsia="Times New Roman" w:hAnsi="Times New Roman"/>
          <w:sz w:val="16"/>
          <w:szCs w:val="16"/>
          <w:color w:val="auto"/>
        </w:rPr>
        <w:t xml:space="preserve"> 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w:t>
      </w:r>
    </w:p>
    <w:p>
      <w:pPr>
        <w:spacing w:after="0" w:line="16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 our technology and future products and, resultantly, on our business, financial condition, prospects, and results of operations.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position on our products for an adequate amount of time.</w:t>
      </w:r>
    </w:p>
    <w:p>
      <w:pPr>
        <w:spacing w:after="0" w:line="106"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Patents have a limited lifespan in all jurisdictions around the world. In the United States, if all maintenance fees are timely paid, the natural expiration of a patent is generally 20 years from its earliest U.S. non-provisional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80"/>
          </w:cols>
          <w:pgMar w:left="320" w:top="419" w:right="10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6"/>
          <w:szCs w:val="16"/>
          <w:color w:val="auto"/>
        </w:rPr>
        <w:t>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spacing w:after="0" w:line="256" w:lineRule="exact"/>
        <w:rPr>
          <w:sz w:val="20"/>
          <w:szCs w:val="20"/>
          <w:color w:val="auto"/>
        </w:rPr>
      </w:pPr>
    </w:p>
    <w:p>
      <w:pPr>
        <w:ind w:left="760" w:right="6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products and other technologies could be found invalid or unenforceable if challenged in court or before administrative bodies in the United States and abroad.</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DAC, or our other technologies or products.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DAC, or our precision oncology portfolio. The opponents have filed an appeal. This opposition proceeding does not affect our patents outside Europe.</w:t>
      </w:r>
    </w:p>
    <w:p>
      <w:pPr>
        <w:spacing w:after="0" w:line="161" w:lineRule="exact"/>
        <w:rPr>
          <w:sz w:val="20"/>
          <w:szCs w:val="20"/>
          <w:color w:val="auto"/>
        </w:rPr>
      </w:pPr>
    </w:p>
    <w:p>
      <w:pPr>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480"/>
          </w:cols>
          <w:pgMar w:left="320" w:top="419" w:right="10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w:t>
      </w:r>
    </w:p>
    <w:p>
      <w:pPr>
        <w:spacing w:after="0" w:line="168"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spacing w:after="0" w:line="245"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spacing w:after="0" w:line="45"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If we fail to prevail on any such claims, in addition to paying monetary damages, we may lose valuable intellectual property rights or personnel, or be required to obtain a license, which may not be available to us on</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480"/>
          </w:cols>
          <w:pgMar w:left="320" w:top="419" w:right="10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spacing w:after="0" w:line="278" w:lineRule="auto"/>
        <w:rPr>
          <w:sz w:val="20"/>
          <w:szCs w:val="20"/>
          <w:color w:val="auto"/>
        </w:rPr>
      </w:pPr>
      <w:r>
        <w:rPr>
          <w:rFonts w:ascii="Times New Roman" w:cs="Times New Roman" w:eastAsia="Times New Roman" w:hAnsi="Times New Roman"/>
          <w:sz w:val="16"/>
          <w:szCs w:val="16"/>
          <w:color w:val="auto"/>
        </w:rPr>
        <w:t>commercially reasonable terms or at all. Even if we are successful in prosecuting or defending against such claims, litigation could result in substantial costs and be a distraction to management, which could harm our business.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market position would be harmed.</w:t>
      </w:r>
    </w:p>
    <w:p>
      <w:pPr>
        <w:spacing w:after="0" w:line="10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w:t>
      </w:r>
    </w:p>
    <w:p>
      <w:pPr>
        <w:spacing w:after="0" w:line="161"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spacing w:after="0" w:line="173"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spacing w:after="0" w:line="256"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spacing w:after="0" w:line="6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460"/>
          </w:cols>
          <w:pgMar w:left="320" w:top="419" w:right="11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58" w:lineRule="auto"/>
        <w:rPr>
          <w:sz w:val="20"/>
          <w:szCs w:val="20"/>
          <w:color w:val="auto"/>
        </w:rPr>
      </w:pPr>
      <w:r>
        <w:rPr>
          <w:rFonts w:ascii="Times New Roman" w:cs="Times New Roman" w:eastAsia="Times New Roman" w:hAnsi="Times New Roman"/>
          <w:sz w:val="16"/>
          <w:szCs w:val="16"/>
          <w:color w:val="auto"/>
        </w:rPr>
        <w:t>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or defend our patents, which could be expensive, time-consuming, and unsuccessful.</w:t>
      </w:r>
    </w:p>
    <w:p>
      <w:pPr>
        <w:spacing w:after="0" w:line="117"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spacing w:after="0" w:line="166"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Our patents and any patents that we in-license may be challenged, narrowed, invalidated, or circumvented. If our patents are invalidated or otherwise limited or will expire prior to the commercialization of our products,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80"/>
          </w:cols>
          <w:pgMar w:left="320" w:top="419" w:right="10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0"/>
        <w:spacing w:after="0" w:line="278" w:lineRule="auto"/>
        <w:rPr>
          <w:sz w:val="20"/>
          <w:szCs w:val="20"/>
          <w:color w:val="auto"/>
        </w:rPr>
      </w:pPr>
      <w:r>
        <w:rPr>
          <w:rFonts w:ascii="Times New Roman" w:cs="Times New Roman" w:eastAsia="Times New Roman" w:hAnsi="Times New Roman"/>
          <w:sz w:val="16"/>
          <w:szCs w:val="16"/>
          <w:color w:val="auto"/>
        </w:rPr>
        <w:t>other companies may be better able to develop products that could adversely affect our market position, business, financial condition, results of operations, and growth prospects.</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620" w:hanging="375"/>
        <w:spacing w:after="0"/>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collaborators may initiate litigation or other proceedings against third parties to enforce our patent rights;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spacing w:after="0" w:line="71" w:lineRule="exact"/>
        <w:rPr>
          <w:rFonts w:ascii="Times New Roman" w:cs="Times New Roman" w:eastAsia="Times New Roman" w:hAnsi="Times New Roman"/>
          <w:sz w:val="16"/>
          <w:szCs w:val="16"/>
          <w:color w:val="auto"/>
        </w:rPr>
      </w:pPr>
    </w:p>
    <w:p>
      <w:pPr>
        <w:jc w:val="both"/>
        <w:ind w:left="1620" w:hanging="375"/>
        <w:spacing w:after="0" w:line="264"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parties have initiated, and in the future may initiate, oppositions,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reexamination proceedings challenging the validity or scope of our patent rights, requiring us or our collaborators and/or licensors to participate in such proceedings to defend the validity and scope of our patents;</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challenge or dispute regarding inventorship or ownership of patents currently identified as being owned by or licensed to us;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seek approval to market products similar to our future approved products prior to expiration of relevant patents owned by or licensed to us, requiring us to defend our patents, including by filing lawsuits alleging patent infringement.</w:t>
      </w:r>
    </w:p>
    <w:p>
      <w:pPr>
        <w:spacing w:after="0" w:line="14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spacing w:after="0" w:line="259"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460"/>
          </w:cols>
          <w:pgMar w:left="320" w:top="419" w:right="11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the Spin-Off</w:t>
      </w:r>
    </w:p>
    <w:p>
      <w:pPr>
        <w:spacing w:after="0" w:line="100"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does not qualify as a transaction that is tax-free for U.S. federal income tax purposes, Illumina and its stockholders could be subject to significant tax liability.</w:t>
      </w:r>
    </w:p>
    <w:p>
      <w:pPr>
        <w:spacing w:after="0" w:line="45"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w:t>
      </w:r>
    </w:p>
    <w:p>
      <w:pPr>
        <w:spacing w:after="0" w:line="1" w:lineRule="exact"/>
        <w:rPr>
          <w:sz w:val="20"/>
          <w:szCs w:val="20"/>
          <w:color w:val="auto"/>
        </w:rPr>
      </w:pPr>
    </w:p>
    <w:p>
      <w:pPr>
        <w:ind w:left="760"/>
        <w:spacing w:after="0" w:line="289" w:lineRule="auto"/>
        <w:rPr>
          <w:sz w:val="20"/>
          <w:szCs w:val="20"/>
          <w:color w:val="auto"/>
        </w:rPr>
      </w:pPr>
      <w:r>
        <w:rPr>
          <w:rFonts w:ascii="Times New Roman" w:cs="Times New Roman" w:eastAsia="Times New Roman" w:hAnsi="Times New Roman"/>
          <w:sz w:val="15"/>
          <w:szCs w:val="15"/>
          <w:color w:val="auto"/>
        </w:rPr>
        <w:t>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w:t>
      </w:r>
    </w:p>
    <w:p>
      <w:pPr>
        <w:spacing w:after="0" w:line="139"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6" w:lineRule="exact"/>
        <w:rPr>
          <w:sz w:val="20"/>
          <w:szCs w:val="20"/>
          <w:color w:val="auto"/>
        </w:rPr>
      </w:pPr>
    </w:p>
    <w:p>
      <w:pPr>
        <w:jc w:val="both"/>
        <w:ind w:left="760" w:right="440" w:firstLine="388"/>
        <w:spacing w:after="0" w:line="289" w:lineRule="auto"/>
        <w:rPr>
          <w:sz w:val="20"/>
          <w:szCs w:val="20"/>
          <w:color w:val="auto"/>
        </w:rPr>
      </w:pPr>
      <w:r>
        <w:rPr>
          <w:rFonts w:ascii="Times New Roman" w:cs="Times New Roman" w:eastAsia="Times New Roman" w:hAnsi="Times New Roman"/>
          <w:sz w:val="15"/>
          <w:szCs w:val="15"/>
          <w:color w:val="auto"/>
        </w:rPr>
        <w:t>The opinion of counsel is not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w:t>
      </w:r>
    </w:p>
    <w:p>
      <w:pPr>
        <w:spacing w:after="0" w:line="138"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 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108 of this Information Statement.</w:t>
      </w:r>
    </w:p>
    <w:p>
      <w:pPr>
        <w:spacing w:after="0" w:line="249"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 355 and 368 of the Code, we expect that we could, under certain circumstances, be required to indemnify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460"/>
          </w:cols>
          <w:pgMar w:left="320" w:top="419" w:right="11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0"/>
        <w:spacing w:after="0" w:line="263" w:lineRule="auto"/>
        <w:rPr>
          <w:sz w:val="20"/>
          <w:szCs w:val="20"/>
          <w:color w:val="auto"/>
        </w:rPr>
      </w:pPr>
      <w:r>
        <w:rPr>
          <w:rFonts w:ascii="Times New Roman" w:cs="Times New Roman" w:eastAsia="Times New Roman" w:hAnsi="Times New Roman"/>
          <w:sz w:val="16"/>
          <w:szCs w:val="16"/>
          <w:color w:val="auto"/>
        </w:rPr>
        <w:t>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234 of this Information Statement.</w:t>
      </w:r>
    </w:p>
    <w:p>
      <w:pPr>
        <w:spacing w:after="0" w:line="248"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intend to agree to numerous restrictions to preserve the non-recognition treatment of the Distribution, which may reduce our strategic and operating flexibility.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agree in the Tax Matters Agreement to certain covenants and indemnification obligations that address compliance with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Section 355(e) of the Code. These covenants and indemnification obligations may limit our ability to pursue strategic transactions or engage in new</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businesses or other transactions that may otherwise maximize the value of our business, and might discourage or delay a strategic transaction that our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shareholders may consider favorable. For more information, see the section entitled “Certain Relationships and Related Party Transactions—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with Illumina—Tax Matters Agreement” beginning on page 234 of this Information Statement.</w:t>
      </w:r>
    </w:p>
    <w:p>
      <w:pPr>
        <w:spacing w:after="0" w:line="271"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achieve some or all of the benefits that we expect to achieve from the Spin-Off, which could materially adversely affect our business, financial condition, and results of operations.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as a separate, publicly traded company, we will be able to, among other things:</w:t>
      </w:r>
    </w:p>
    <w:p>
      <w:pPr>
        <w:spacing w:after="0" w:line="114" w:lineRule="exact"/>
        <w:rPr>
          <w:sz w:val="20"/>
          <w:szCs w:val="20"/>
          <w:color w:val="auto"/>
        </w:rPr>
      </w:pPr>
    </w:p>
    <w:p>
      <w:pPr>
        <w:ind w:left="1620" w:hanging="375"/>
        <w:spacing w:after="0"/>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implement corporate strategies and policies that are targeted to our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better focus our financial resources on our specific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effective incentives for our management and employees that are more closely tied to our business performance;</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effectively articulate a clear investment proposition to attract a long-term investor base suited to our business, growth profile, and capital allocation priorities;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capital structure designed to meet our specific needs.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However, we may not achieve these and other anticipated benefits for a variety of reasons, including, among other things:</w:t>
      </w:r>
    </w:p>
    <w:p>
      <w:pPr>
        <w:spacing w:after="0" w:line="114" w:lineRule="exact"/>
        <w:rPr>
          <w:sz w:val="20"/>
          <w:szCs w:val="20"/>
          <w:color w:val="auto"/>
        </w:rPr>
      </w:pPr>
    </w:p>
    <w:p>
      <w:pPr>
        <w:ind w:left="1620" w:right="16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will require significant amounts of management’s time and effort, which may divert management’s attention from operating and growing our business and may disrupt our operations;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application of pushdown accounting, our balance sheet includes goodwill and intangible assets recognized by Illumina in connection with their acquisition of us that may be subject to additional impairment over time;</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our obligation to pay to Illumina a royalty will resume, which was suspended while we were owned by Illumina and will continue to be suspended until the earlier of two-and-a-half years or any earlier change of control of GRAIL, at which time royalty payments will resume;</w:t>
      </w:r>
    </w:p>
    <w:p>
      <w:pPr>
        <w:spacing w:after="0" w:line="7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may be more susceptible to market fluctuations, the risk of takeover by third parties and other adverse events because our business will be less diversified than Illumina’s businesses prior to the Spin-Off;</w:t>
      </w:r>
    </w:p>
    <w:p>
      <w:pPr>
        <w:spacing w:after="0" w:line="61"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w:t>
      </w:r>
    </w:p>
    <w:p>
      <w:pPr>
        <w:spacing w:after="0" w:line="73"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and liabilities that were otherwise less significant to Illumina as a whole will be more significant for us and Illumina as separate companies after the separation;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480"/>
          </w:cols>
          <w:pgMar w:left="320" w:top="419" w:right="10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0" w:hanging="375"/>
        <w:spacing w:after="0" w:line="25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w:t>
      </w:r>
    </w:p>
    <w:p>
      <w:pPr>
        <w:spacing w:after="0" w:line="16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If we fail to achieve some or all of the benefits expected to result from the Spin-Off, or if such benefits are delayed, our business, financial condition, and results of operations could be materially adversely affected.</w:t>
      </w:r>
    </w:p>
    <w:p>
      <w:pPr>
        <w:spacing w:after="0" w:line="236" w:lineRule="exact"/>
        <w:rPr>
          <w:sz w:val="20"/>
          <w:szCs w:val="20"/>
          <w:color w:val="auto"/>
        </w:rPr>
      </w:pPr>
    </w:p>
    <w:p>
      <w:pPr>
        <w:ind w:left="760" w:right="2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spacing w:after="0" w:line="82" w:lineRule="exact"/>
        <w:rPr>
          <w:sz w:val="20"/>
          <w:szCs w:val="20"/>
          <w:color w:val="auto"/>
        </w:rPr>
      </w:pPr>
    </w:p>
    <w:p>
      <w:pPr>
        <w:ind w:left="1620" w:right="4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financial data may not fully reflect the costs associated with the Spin-Off, including the costs related to being an independent public company;</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financial data does not reflect our obligations under the various transitional and other agreements we will enter into with Illumina in connection with the Spin-Off;</w:t>
      </w:r>
    </w:p>
    <w:p>
      <w:pPr>
        <w:spacing w:after="0" w:line="61"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spacing w:after="0" w:line="60" w:lineRule="exact"/>
        <w:rPr>
          <w:rFonts w:ascii="Times New Roman" w:cs="Times New Roman" w:eastAsia="Times New Roman" w:hAnsi="Times New Roman"/>
          <w:sz w:val="15"/>
          <w:szCs w:val="15"/>
          <w:color w:val="auto"/>
        </w:rPr>
      </w:pPr>
    </w:p>
    <w:p>
      <w:pPr>
        <w:ind w:left="1620" w:right="58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expect that the cost of capital for our business will be higher than Illumina’s cost of capital prior to the Spin-Off.</w:t>
      </w:r>
    </w:p>
    <w:p>
      <w:pPr>
        <w:spacing w:after="0" w:line="14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Statements,” and “Management’s Discussion and Analysis of Financial Condition and Results of Operations” beginning on pages 117, 119, and 186, respectively, of this Information Statement and our Consolidated Financial Statements and the notes thereto included in “Index to Consolidated Financial Statements” beginning on page F-1 of this Information Statement.</w:t>
      </w:r>
    </w:p>
    <w:p>
      <w:pPr>
        <w:spacing w:after="0" w:line="242"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customers, prospective customers, suppliers, or other companies with whom we conduct business may conclude that our financial stability as a separate, publicly traded company is insufficient to satisfy their requirements for doing or continuing to do business with them.</w:t>
      </w:r>
    </w:p>
    <w:p>
      <w:pPr>
        <w:spacing w:after="0" w:line="45"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Some of our customers, prospective customers, suppliers, or other companies with whom we conduct business may conclude that our financial stability as a separate, publicly traded company is insufficient to satisfy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460"/>
          </w:cols>
          <w:pgMar w:left="320" w:top="419" w:right="11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63" w:lineRule="auto"/>
        <w:rPr>
          <w:sz w:val="20"/>
          <w:szCs w:val="20"/>
          <w:color w:val="auto"/>
        </w:rPr>
      </w:pPr>
      <w:r>
        <w:rPr>
          <w:rFonts w:ascii="Times New Roman" w:cs="Times New Roman" w:eastAsia="Times New Roman" w:hAnsi="Times New Roman"/>
          <w:sz w:val="16"/>
          <w:szCs w:val="16"/>
          <w:color w:val="auto"/>
        </w:rPr>
        <w:t>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248"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unaudited pro forma condensed consolidated financial statements included in this Information Statement are presented for informational purposes only and may not be an indication of our financial condition or results of operations in the future.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included in this Information Statement are presented for informational purposes only and are not necessarily indicative of what our actual financial condition or results of operations would have been had the Spin-Off been completed on the date indicated. The assumptions used in preparing the pro forma financial statements may not prove to be accurate and other factors may affect our financial condition or results of operations. Accordingly, our financial condition and results of operations in the future may not be evident from or consistent with such pro forma financial statements.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Until the distribution occurs, the Illumina Board may change the terms of the Spin-Off in ways that may be unfavorable to us.</w:t>
      </w:r>
    </w:p>
    <w:p>
      <w:pPr>
        <w:spacing w:after="0" w:line="106" w:lineRule="exact"/>
        <w:rPr>
          <w:sz w:val="20"/>
          <w:szCs w:val="20"/>
          <w:color w:val="auto"/>
        </w:rPr>
      </w:pPr>
    </w:p>
    <w:p>
      <w:pPr>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w:t>
      </w:r>
    </w:p>
    <w:p>
      <w:pPr>
        <w:spacing w:after="0" w:line="230"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w:t>
      </w:r>
    </w:p>
    <w:p>
      <w:pPr>
        <w:spacing w:after="0" w:line="59"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w:t>
      </w:r>
    </w:p>
    <w:p>
      <w:pPr>
        <w:spacing w:after="0" w:line="248"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After the distribution, certain of our executive officers may have actual or potential conflicts of interest because of their equity interests in Illumina.</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00"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w:t>
      </w:r>
    </w:p>
    <w:p>
      <w:pPr>
        <w:spacing w:after="0" w:line="45"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480"/>
          </w:cols>
          <w:pgMar w:left="320" w:top="419" w:right="10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We cannot predict the prices at which our common stock may trade after the Spin-Off. The market price of our common stock may fluctuate widely, depending on many factors, some of which may be beyond our control, including:</w:t>
      </w:r>
    </w:p>
    <w:p>
      <w:pPr>
        <w:spacing w:after="0" w:line="62" w:lineRule="exact"/>
        <w:rPr>
          <w:sz w:val="20"/>
          <w:szCs w:val="20"/>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Galleri and the degree to which it meets the expectations for securities analysts and investors;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launch of our other products, including DAC, and the degree to which the launch and commercialization thereof meets the expectations for securities analysts and investors;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studies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establishment of the MCED testing field and the success of future third-party tests, services, or technologies;</w:t>
      </w:r>
    </w:p>
    <w:p>
      <w:pPr>
        <w:spacing w:after="0" w:line="220"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studies, or regulatory approvals (or certifications) of future diagnostic tests of third parties, or announcements about new research programs or diagnostic tests of third parties;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or clinical development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estimates as to our financial results or development timelines;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financial results, forecasts, and development timelines meet the expectations of securities analysts or investors;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Illumina, or other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 including changes that would affect coverage and reimbursement by third-party payors;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healthcare sector;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7" w:lineRule="exact"/>
        <w:rPr>
          <w:sz w:val="20"/>
          <w:szCs w:val="20"/>
          <w:color w:val="auto"/>
        </w:rPr>
      </w:pPr>
    </w:p>
    <w:p>
      <w:pPr>
        <w:jc w:val="both"/>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96 of this Information Statement. Low trading volume for our stock, which may occur if an active trading market does not develop, among other reasons, would amplify the effect of the above factors on our stock price volatility.</w:t>
      </w:r>
    </w:p>
    <w:p>
      <w:pPr>
        <w:spacing w:after="0" w:line="165"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Additionally, in recent years, stock markets in general, and the market for healthcare companies in particular (including companies in the biotechnology, diagnostics, and related sectors), have experienced significant price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420"/>
          </w:cols>
          <w:pgMar w:left="320" w:top="419" w:right="11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100 of this Information Statement.</w:t>
      </w:r>
    </w:p>
    <w:p>
      <w:pPr>
        <w:spacing w:after="0" w:line="25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6"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 or our products.</w:t>
      </w:r>
    </w:p>
    <w:p>
      <w:pPr>
        <w:spacing w:after="0" w:line="45" w:lineRule="exact"/>
        <w:rPr>
          <w:sz w:val="20"/>
          <w:szCs w:val="20"/>
          <w:color w:val="auto"/>
        </w:rPr>
      </w:pPr>
    </w:p>
    <w:p>
      <w:pPr>
        <w:ind w:left="760" w:right="80" w:firstLine="388"/>
        <w:spacing w:after="0" w:line="269" w:lineRule="auto"/>
        <w:rPr>
          <w:sz w:val="20"/>
          <w:szCs w:val="20"/>
          <w:color w:val="auto"/>
        </w:rPr>
      </w:pPr>
      <w:r>
        <w:rPr>
          <w:rFonts w:ascii="Times New Roman" w:cs="Times New Roman" w:eastAsia="Times New Roman" w:hAnsi="Times New Roman"/>
          <w:sz w:val="15"/>
          <w:szCs w:val="15"/>
          <w:color w:val="auto"/>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spacing w:after="0" w:line="15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 will convert into GRAIL RSUs, as described in the section entitled “Certain Relationships and Related Party Transactions—Agreements with Illumina—Employee Matters Agreement” beginning on page 234 of this Information Statement. For more information, see “Executive Compensation—Equity-Linked Compensation” beginning on page 220 of this Information Statement.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60"/>
          </w:cols>
          <w:pgMar w:left="320" w:top="419" w:right="11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45"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 (the “Securities Act”).</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w:t>
      </w:r>
    </w:p>
    <w:p>
      <w:pPr>
        <w:spacing w:after="0" w:line="62" w:lineRule="exact"/>
        <w:rPr>
          <w:sz w:val="20"/>
          <w:szCs w:val="20"/>
          <w:color w:val="auto"/>
        </w:rPr>
      </w:pPr>
    </w:p>
    <w:p>
      <w:pPr>
        <w:ind w:left="1620" w:right="28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the assessment of our internal control over financial reporting under Section 404(b) of the Sarbanes-Oxley Act of 2002 (“SOX”);</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new or revised financial accounting standards applicable to public companies until such standards are also applicable to private companies;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 and</w:t>
      </w:r>
    </w:p>
    <w:p>
      <w:pPr>
        <w:spacing w:after="0" w:line="125" w:lineRule="exact"/>
        <w:rPr>
          <w:rFonts w:ascii="Times New Roman" w:cs="Times New Roman" w:eastAsia="Times New Roman" w:hAnsi="Times New Roman"/>
          <w:sz w:val="15"/>
          <w:szCs w:val="15"/>
          <w:color w:val="auto"/>
        </w:rPr>
      </w:pPr>
    </w:p>
    <w:p>
      <w:pPr>
        <w:ind w:left="1620" w:right="20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 of holding a nonbinding advisory vote on executive compensation and shareholder approval on golden parachute compensation not previously approved.</w:t>
      </w:r>
    </w:p>
    <w:p>
      <w:pPr>
        <w:spacing w:after="0" w:line="1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2"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4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Illumina shareholders receiving shares of our common stock in the Distribution generally may sell those shares immediately in the public market. It is likely that some Illumina shareholders, including some of its larger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480"/>
          </w:cols>
          <w:pgMar w:left="320" w:top="419"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00"/>
        <w:spacing w:after="0" w:line="263" w:lineRule="auto"/>
        <w:rPr>
          <w:sz w:val="20"/>
          <w:szCs w:val="20"/>
          <w:color w:val="auto"/>
        </w:rPr>
      </w:pPr>
      <w:r>
        <w:rPr>
          <w:rFonts w:ascii="Times New Roman" w:cs="Times New Roman" w:eastAsia="Times New Roman" w:hAnsi="Times New Roman"/>
          <w:sz w:val="16"/>
          <w:szCs w:val="16"/>
          <w:color w:val="auto"/>
        </w:rPr>
        <w:t>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Following the Distribution, Illumina will retain up to a 14.5% ownership interest of our common stock. We expect to enter into a Stockholder and Registration Rights Agreement with Illumina, pursuant to which we will 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is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 Agreements with Illumina” beginning on page 233 of this Information Statement.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for the foreseeable future.</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w:t>
      </w:r>
    </w:p>
    <w:p>
      <w:pPr>
        <w:spacing w:after="0" w:line="230"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Our management will be required to devote substantial time to new compliance initiatives and corporate governance practices.</w:t>
      </w:r>
    </w:p>
    <w:p>
      <w:pPr>
        <w:spacing w:after="0" w:line="4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40"/>
          </w:cols>
          <w:pgMar w:left="320" w:top="419" w:right="11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57"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in our Certificate of Incorporation and Bylaws and Delaware law may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8" w:lineRule="exact"/>
        <w:rPr>
          <w:sz w:val="20"/>
          <w:szCs w:val="20"/>
          <w:color w:val="auto"/>
        </w:rPr>
      </w:pPr>
    </w:p>
    <w:p>
      <w:pPr>
        <w:ind w:left="1620" w:right="24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Class I, Class II, and Class III, with each class serving staggered three-year terms;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only for cause;</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of directors then in office, even though less than a quorum;</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cumulative voting in the election of directors;</w:t>
      </w:r>
    </w:p>
    <w:p>
      <w:pPr>
        <w:spacing w:after="0" w:line="11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shares of preferred stock and determine the price and other terms of those shares, including preferences and voting rights, without stockholder approval;</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stockholders to take actions only at a duly called annual or special meeting and not by unanimous written consent;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stockholders from calling a special meeting of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stockholders give advance notice to nominate directors or submit proposals for consideration at stockholder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by a majority vote, to amend certain provisions of the Bylaws; and</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affirmative vote of at least 66 2/3% or more of the voting power of all the then-outstanding shares of voting stock to amend many of the provisions described above.</w:t>
      </w:r>
    </w:p>
    <w:p>
      <w:pPr>
        <w:spacing w:after="0" w:line="14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 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80"/>
          </w:cols>
          <w:pgMar w:left="320" w:top="419" w:right="10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239 of this Information Statement.</w:t>
      </w:r>
    </w:p>
    <w:p>
      <w:pPr>
        <w:spacing w:after="0" w:line="256" w:lineRule="exact"/>
        <w:rPr>
          <w:sz w:val="20"/>
          <w:szCs w:val="20"/>
          <w:color w:val="auto"/>
        </w:rPr>
      </w:pPr>
    </w:p>
    <w:p>
      <w:pPr>
        <w:ind w:left="760" w:right="4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spacing w:after="0" w:line="59"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13" w:lineRule="exact"/>
        <w:rPr>
          <w:rFonts w:ascii="Times New Roman" w:cs="Times New Roman" w:eastAsia="Times New Roman" w:hAnsi="Times New Roman"/>
          <w:sz w:val="16"/>
          <w:szCs w:val="16"/>
          <w:color w:val="auto"/>
        </w:rPr>
      </w:pPr>
    </w:p>
    <w:p>
      <w:pPr>
        <w:ind w:left="1620" w:right="620" w:hanging="375"/>
        <w:spacing w:after="0" w:line="278" w:lineRule="auto"/>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current of former directors, officers or other employees, or stockholders to us or our stockholders;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our amended and restated Certificate of Incorporation and Bylaws;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197"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rights associated with our common stock will differ from the rights associated with Illumina common stock.</w:t>
      </w:r>
    </w:p>
    <w:p>
      <w:pPr>
        <w:spacing w:after="0" w:line="106" w:lineRule="exact"/>
        <w:rPr>
          <w:sz w:val="20"/>
          <w:szCs w:val="20"/>
          <w:color w:val="auto"/>
        </w:rPr>
      </w:pPr>
    </w:p>
    <w:p>
      <w:pPr>
        <w:jc w:val="both"/>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w:t>
      </w:r>
    </w:p>
    <w:p>
      <w:pPr>
        <w:spacing w:after="0" w:line="78" w:lineRule="exact"/>
        <w:rPr>
          <w:sz w:val="20"/>
          <w:szCs w:val="20"/>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board of directors is classified;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shareholders to call special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standard in director elections;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anti-takeover measures.</w:t>
      </w:r>
    </w:p>
    <w:p>
      <w:pPr>
        <w:spacing w:after="0" w:line="197"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more information, see “Description of Our Capital Stock—Certain Provisions of Delaware Law, Our Certificate of Incorporation and Bylaws” beginning on page 239 of this Information Statement.</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460"/>
          </w:cols>
          <w:pgMar w:left="320" w:top="419" w:right="11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460"/>
          </w:cols>
          <w:pgMar w:left="320" w:top="419" w:right="11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66"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480"/>
          </w:cols>
          <w:pgMar w:left="320" w:top="419" w:right="10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04" w:lineRule="exact"/>
        <w:rPr>
          <w:sz w:val="20"/>
          <w:szCs w:val="20"/>
          <w:color w:val="auto"/>
        </w:rPr>
      </w:pPr>
    </w:p>
    <w:p>
      <w:pPr>
        <w:ind w:left="760" w:right="20" w:firstLine="388"/>
        <w:spacing w:after="0" w:line="267" w:lineRule="auto"/>
        <w:rPr>
          <w:sz w:val="20"/>
          <w:szCs w:val="20"/>
          <w:color w:val="auto"/>
        </w:rPr>
      </w:pPr>
      <w:r>
        <w:rPr>
          <w:rFonts w:ascii="Times New Roman" w:cs="Times New Roman" w:eastAsia="Times New Roman" w:hAnsi="Times New Roman"/>
          <w:sz w:val="15"/>
          <w:szCs w:val="15"/>
          <w:color w:val="auto"/>
        </w:rPr>
        <w:t>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w:t>
      </w:r>
    </w:p>
    <w:p>
      <w:pPr>
        <w:spacing w:after="0" w:line="349"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 disposal including, but not limited to, a third-party sale or a capital markets transaction.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Transactions—Agreements with Illumina” beginning on page 233 of this Information Statement for more detail. Assuming the Spin-Off is consummated, Illumina is required to, among other things, ensure that GRAIL has sufficient funding to cover a specified period of operations.</w:t>
      </w:r>
    </w:p>
    <w:p>
      <w:pPr>
        <w:spacing w:after="0" w:line="158"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The risks and costs related to the foregoing proceedings, including the costs associated with our intervention in the proceedings and all other legal costs, are fundamentally borne by Illumina and not GRAIL. We expect that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80"/>
          </w:cols>
          <w:pgMar w:left="320" w:top="419" w:right="10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3" w:lineRule="auto"/>
        <w:rPr>
          <w:sz w:val="20"/>
          <w:szCs w:val="20"/>
          <w:color w:val="auto"/>
        </w:rPr>
      </w:pPr>
      <w:r>
        <w:rPr>
          <w:rFonts w:ascii="Times New Roman" w:cs="Times New Roman" w:eastAsia="Times New Roman" w:hAnsi="Times New Roman"/>
          <w:sz w:val="16"/>
          <w:szCs w:val="16"/>
          <w:color w:val="auto"/>
        </w:rPr>
        <w:t>future costs associated with these regulatory proceedings will be limited because the Separation and Distribution is anticipated to expedite resolution of such regulatory proceedings. Following the Spin-Off, GRAIL may become or remain party to certain related administrative and litigation proceedings. For example, as certain provisions of the EC Divestment Decision will continue to apply to GRAIL after the Spin-Off, we expect to continue to have separate limited interactions with the European Commission. GRAIL is also expected to remain involved as a separate party from Illumina in a number of ongoing court proceedings, such as ongoing procedures regarding European Commission’s assertion of jurisdiction to review the acquisition of GRAIL by Illumina under Article 22(1) of Council Regulation (EC) No 139/2004. GRAIL may also be a party or otherwise involved in new litigation proceedings regarding the acquisition.</w:t>
      </w:r>
    </w:p>
    <w:p>
      <w:pPr>
        <w:spacing w:after="0" w:line="166"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On March 30, 2021, the U.S. Federal Trade Commission (“FTC”) issued an administrative complaint seeking to prevent the Acquisition. On September 1, 2022, an administrative law judge issued a decision in favor of the Acquisition and dismissed the FTC’s complaint. The FTC’s complaint counsel appealed to the full FTC. On March 31, 2023, the FTC issued a decision overturning the administrative law judge’s prior ruling (“FTC Order”). GRAIL and Illumina appealed the FTC’s decision to the U.S. Court of Appeals for the Fifth Circuit (the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Circuit’s decision, and in all other respects upheld the FTC’s decision. We expect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58"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On December 17, 2023, Illumina announced it would divest GRAIL. On        , 2024, Illumina announced plans for the separation of GRAIL from Illumina via the Spin-Off.</w:t>
      </w:r>
    </w:p>
    <w:p>
      <w:pPr>
        <w:spacing w:after="0" w:line="145" w:lineRule="exact"/>
        <w:rPr>
          <w:sz w:val="20"/>
          <w:szCs w:val="20"/>
          <w:color w:val="auto"/>
        </w:rPr>
      </w:pPr>
    </w:p>
    <w:p>
      <w:pPr>
        <w:ind w:left="760" w:right="100" w:firstLine="388"/>
        <w:spacing w:after="0" w:line="259"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To effect the Spin-Off, Illumina will distribute at least 85.5% of the shares of GRAIL’s common stock owned by Illumina as of the close of business</w:t>
      </w:r>
    </w:p>
    <w:p>
      <w:pPr>
        <w:spacing w:after="0" w:line="1" w:lineRule="exact"/>
        <w:rPr>
          <w:sz w:val="20"/>
          <w:szCs w:val="20"/>
          <w:color w:val="auto"/>
        </w:rPr>
      </w:pPr>
    </w:p>
    <w:p>
      <w:pPr>
        <w:ind w:left="760" w:right="220"/>
        <w:spacing w:after="0" w:line="256" w:lineRule="auto"/>
        <w:rPr>
          <w:sz w:val="20"/>
          <w:szCs w:val="20"/>
          <w:color w:val="auto"/>
        </w:rPr>
      </w:pPr>
      <w:r>
        <w:rPr>
          <w:rFonts w:ascii="Times New Roman" w:cs="Times New Roman" w:eastAsia="Times New Roman" w:hAnsi="Times New Roman"/>
          <w:sz w:val="16"/>
          <w:szCs w:val="16"/>
          <w:color w:val="auto"/>
        </w:rPr>
        <w:t>on        , 2024, which is the record date for the Distribution,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460"/>
          </w:cols>
          <w:pgMar w:left="320" w:top="419" w:right="11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be $20 million for GRAIL and estimated to range from $60 million to $75 million for Illumina if the Spin-Off is completed. If the Spin-Off is not completed for any reason, the one-time transaction costs will generally be limited to the transaction costs incurred for services rendered as of the date the Spin-Off is abandoned, which will be less than the amounts noted above. Our and Illumina’s management will also have devoted significant time to manage the Spin-Off process, which will decrease the time they will have to manage their respective businesses. See the section entitled “The Spin-Off—Conditions to the Spin-Off” beginning on page 113 of this Information Statement for more detail.</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the EC Divestment Decision, which ordered Illumina to, among other things, divest GRAIL, and with the goal of enhancing stockholder value, the Illumina Board conducted a process through which it considered a range of potential divestment transactions. Illumina retained Centerview Partners LLC and J.P. Morgan Securities LLC (the “Illumina Financial Advisors”) and Cravath, Swaine &amp; Moore LLP (“Illumina Counsel”) to assist in this process. The Illumina Financial Advisors and Illumina Counsel provided Illumina with information regarding process and timing considerations associated with different disposition alternatives, including a sale of GRAIL, a spin-off of GRAIL and a “split-off” transaction. A split-off transaction would involve a first step initial public offering of GRAIL shares followed by an exchange offer pursuant to which Illumina would offer to exchange GRAIL shares retained following such initial public offering for shares of Illumina common stock. Thereafter, Illumina, with the assistance of the Illumina Financial Advisors and Illumina Counsel, undertook preliminary steps with respect to potential divestment transactions, including a potential sale of GRAIL or a spin-off.</w:t>
      </w:r>
    </w:p>
    <w:p>
      <w:pPr>
        <w:spacing w:after="0" w:line="163" w:lineRule="exact"/>
        <w:rPr>
          <w:sz w:val="20"/>
          <w:szCs w:val="20"/>
          <w:color w:val="auto"/>
        </w:rPr>
      </w:pPr>
    </w:p>
    <w:p>
      <w:pPr>
        <w:ind w:left="760" w:right="40" w:firstLine="388"/>
        <w:spacing w:after="0" w:line="259" w:lineRule="auto"/>
        <w:rPr>
          <w:sz w:val="20"/>
          <w:szCs w:val="20"/>
          <w:color w:val="auto"/>
        </w:rPr>
      </w:pPr>
      <w:r>
        <w:rPr>
          <w:rFonts w:ascii="Times New Roman" w:cs="Times New Roman" w:eastAsia="Times New Roman" w:hAnsi="Times New Roman"/>
          <w:sz w:val="16"/>
          <w:szCs w:val="16"/>
          <w:color w:val="auto"/>
        </w:rPr>
        <w:t xml:space="preserve">On December 15, 2023, the U.S. Fifth Circuit Court of Appeals issued its decision in the matter of </w:t>
      </w:r>
      <w:r>
        <w:rPr>
          <w:rFonts w:ascii="Times New Roman" w:cs="Times New Roman" w:eastAsia="Times New Roman" w:hAnsi="Times New Roman"/>
          <w:sz w:val="16"/>
          <w:szCs w:val="16"/>
          <w:i w:val="1"/>
          <w:iCs w:val="1"/>
          <w:color w:val="auto"/>
        </w:rPr>
        <w:t>Illumina v. the Federal Trade Commission</w:t>
      </w:r>
      <w:r>
        <w:rPr>
          <w:rFonts w:ascii="Times New Roman" w:cs="Times New Roman" w:eastAsia="Times New Roman" w:hAnsi="Times New Roman"/>
          <w:sz w:val="16"/>
          <w:szCs w:val="16"/>
          <w:color w:val="auto"/>
        </w:rPr>
        <w:t>. Following a review of the Court’s opinion, Illumina determined not to pursue further appeals of the Fifth Circuit’s decision and on December 17, 2023, Illumina announced that it would divest GRAIL, and that it expected that the divestiture would be executed through a third-party sale or capital markets transaction, consistent with the EC Divestment Decision.</w:t>
      </w:r>
    </w:p>
    <w:p>
      <w:pPr>
        <w:spacing w:after="0" w:line="16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Beginning in December 2023, the Illumina Financial Advisors commenced a sale process for GRAIL on behalf of Illumina. As part of this process, the Illumina Financial Advisors contacted prospective buyers and facilitated the execution of confidentiality agreements by prospective buyers. Following the execution of a confidentiality agreement, prospective buyers received initial information regarding GRAIL and participated in meetings and follow-up calls, as requested, with representatives of GRAIL. Prospective buyers who had an interest in exploring a potential acquisition of GRAIL were asked to submit non-binding indications of interest in February 2024. Illumina, GRAIL and their respective advisors continued to prepare for a potential spin-off in parallel with the sale process. During the first quarter of 2024, the Illumina Financial Advisors and Illumina Counsel provided regular updates to Illumina management regarding developments in the sale process and a potential spin-off. At a meeting on April 2, 2024, the Illumina Board reviewed information regarding divestment alternatives, including information regarding the sale process and a potential spin-off, with the Illumina Financial Advisors. Following its review, the Illumina Board determined to continue to explore all divestment options, pending the European Commission’s approval of the Divestment Plan.</w:t>
      </w:r>
    </w:p>
    <w:p>
      <w:pPr>
        <w:spacing w:after="0" w:line="170" w:lineRule="exact"/>
        <w:rPr>
          <w:sz w:val="20"/>
          <w:szCs w:val="20"/>
          <w:color w:val="auto"/>
        </w:rPr>
      </w:pPr>
    </w:p>
    <w:p>
      <w:pPr>
        <w:ind w:left="760" w:right="320" w:firstLine="388"/>
        <w:spacing w:after="0" w:line="289" w:lineRule="auto"/>
        <w:rPr>
          <w:sz w:val="20"/>
          <w:szCs w:val="20"/>
          <w:color w:val="auto"/>
        </w:rPr>
      </w:pPr>
      <w:r>
        <w:rPr>
          <w:rFonts w:ascii="Times New Roman" w:cs="Times New Roman" w:eastAsia="Times New Roman" w:hAnsi="Times New Roman"/>
          <w:sz w:val="15"/>
          <w:szCs w:val="15"/>
          <w:color w:val="auto"/>
        </w:rPr>
        <w:t>As part of its evaluation of divestment alternatives,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and</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440"/>
          </w:cols>
          <w:pgMar w:left="320" w:top="419" w:right="11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5" w:lineRule="auto"/>
        <w:rPr>
          <w:sz w:val="20"/>
          <w:szCs w:val="20"/>
          <w:color w:val="auto"/>
        </w:rPr>
      </w:pPr>
      <w:r>
        <w:rPr>
          <w:rFonts w:ascii="Times New Roman" w:cs="Times New Roman" w:eastAsia="Times New Roman" w:hAnsi="Times New Roman"/>
          <w:sz w:val="16"/>
          <w:szCs w:val="16"/>
          <w:color w:val="auto"/>
        </w:rPr>
        <w:t>capital requirements of GRAIL, the expected timing and probability of successful execution of each disposition alternative (including the necessity of the European Commission approving any potential buyer), the expected tax impact of each disposition alternative, and the potential reaction of investors. After evaluating these and other considerations with the Illumina Financial Advisors, at a meeting on May 24, 2024,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particular, the Illumina Board considered a number of potential benefits of this approach, including:</w:t>
      </w:r>
    </w:p>
    <w:p>
      <w:pPr>
        <w:spacing w:after="0" w:line="110" w:lineRule="exact"/>
        <w:rPr>
          <w:sz w:val="20"/>
          <w:szCs w:val="20"/>
          <w:color w:val="auto"/>
        </w:rPr>
      </w:pPr>
    </w:p>
    <w:p>
      <w:pPr>
        <w:ind w:left="1620" w:right="100" w:hanging="375"/>
        <w:spacing w:after="0" w:line="318"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Opportunity for continued ownership of GRAIL by Illumina stockholders. </w:t>
      </w:r>
      <w:r>
        <w:rPr>
          <w:rFonts w:ascii="Times New Roman" w:cs="Times New Roman" w:eastAsia="Times New Roman" w:hAnsi="Times New Roman"/>
          <w:sz w:val="15"/>
          <w:szCs w:val="15"/>
          <w:color w:val="auto"/>
        </w:rPr>
        <w:t>The Spin-Off will provide Illumina stockholders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opportunity to determine whether they wish to continue to own an interest in GRAIL despite GRAIL’s required separation from Illumina.</w:t>
      </w:r>
    </w:p>
    <w:p>
      <w:pPr>
        <w:spacing w:after="0" w:line="30" w:lineRule="exact"/>
        <w:rPr>
          <w:rFonts w:ascii="Times New Roman" w:cs="Times New Roman" w:eastAsia="Times New Roman" w:hAnsi="Times New Roman"/>
          <w:sz w:val="15"/>
          <w:szCs w:val="15"/>
          <w:color w:val="auto"/>
        </w:rPr>
      </w:pPr>
    </w:p>
    <w:p>
      <w:pPr>
        <w:ind w:left="1620" w:right="80" w:hanging="375"/>
        <w:spacing w:after="0" w:line="260"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620" w:right="220" w:hanging="375"/>
        <w:spacing w:after="0" w:line="266"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620" w:hanging="375"/>
        <w:spacing w:after="0" w:line="260" w:lineRule="auto"/>
        <w:tabs>
          <w:tab w:leader="none" w:pos="1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 ability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620" w:right="20" w:hanging="375"/>
        <w:spacing w:after="0" w:line="252"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 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91 of this Information Statement.</w:t>
      </w:r>
    </w:p>
    <w:p>
      <w:pPr>
        <w:spacing w:after="0" w:line="82" w:lineRule="exact"/>
        <w:rPr>
          <w:rFonts w:ascii="Times New Roman" w:cs="Times New Roman" w:eastAsia="Times New Roman" w:hAnsi="Times New Roman"/>
          <w:sz w:val="16"/>
          <w:szCs w:val="16"/>
          <w:color w:val="auto"/>
        </w:rPr>
      </w:pPr>
    </w:p>
    <w:p>
      <w:pPr>
        <w:ind w:left="1620" w:right="180" w:hanging="375"/>
        <w:spacing w:after="0" w:line="255"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 GRAIL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 Related Party Transactions—Agreements with Illumina—Tax Matters Agreement” beginning on page 234 of this Information Statement.</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40"/>
          </w:cols>
          <w:pgMar w:left="320" w:top="419" w:right="11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620" w:right="80" w:hanging="375"/>
        <w:spacing w:after="0" w:line="260" w:lineRule="auto"/>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620" w:right="60" w:hanging="375"/>
        <w:spacing w:after="0" w:line="255" w:lineRule="auto"/>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Uncertainty regarding share prices</w:t>
      </w:r>
      <w:r>
        <w:rPr>
          <w:rFonts w:ascii="Times New Roman" w:cs="Times New Roman" w:eastAsia="Times New Roman" w:hAnsi="Times New Roman"/>
          <w:sz w:val="16"/>
          <w:szCs w:val="16"/>
          <w:color w:val="auto"/>
        </w:rPr>
        <w:t>. We cannot predict the effect of the Distribution on the trading prices of Illumina’s and GRAIL’s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6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31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Illumina’s Retention of up to 14.5% of GRAIL Common Stock</w:t>
      </w:r>
    </w:p>
    <w:p>
      <w:pPr>
        <w:spacing w:after="0" w:line="199"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Immediately after the Distribution becomes effective, Illumina may retain up to 14.5% of GRAIL’s common stock. 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expect to enter into a Stockholder and Registration Rights Agreement with Illumina, pursuant to which we will provide Illumina registration rights with respect to the shares of our common stock it will retain following the Distribution.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the perception in the market that this will occur, may decrease the market price of our common stock. See “Risk Factors—Substantial sales of our common stock may occur in connection with the Spin-Off, including the disposition by Illumina of the shares of our common stock that it retains after the Spin-Off, which could cause our stock price to decline” beginning on page 96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When and How You Will Receive GRAIL Shares</w:t>
      </w:r>
    </w:p>
    <w:p>
      <w:pPr>
        <w:spacing w:after="0" w:line="104"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Illumina will distribute to its stockholders, as a pro rata dividend, for every six shares of Illumina common stock outstanding as of the close of business on the Record Date,        , 2024, one share of our common stock.</w:t>
      </w:r>
    </w:p>
    <w:p>
      <w:pPr>
        <w:spacing w:after="0" w:line="145"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460"/>
          </w:cols>
          <w:pgMar w:left="320" w:top="419" w:right="11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If you own Illumina common stock as of the close of business on        , 2024, the shares of our common stock that you are entitled to receive in the Distribution will be issued to your account as follows:</w:t>
      </w:r>
    </w:p>
    <w:p>
      <w:pPr>
        <w:spacing w:after="0" w:line="60" w:lineRule="exact"/>
        <w:rPr>
          <w:sz w:val="20"/>
          <w:szCs w:val="20"/>
          <w:color w:val="auto"/>
        </w:rPr>
      </w:pPr>
    </w:p>
    <w:p>
      <w:pPr>
        <w:ind w:left="1620" w:right="40" w:hanging="375"/>
        <w:spacing w:after="0" w:line="253"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Registered stockholders</w:t>
      </w:r>
      <w:r>
        <w:rPr>
          <w:rFonts w:ascii="Times New Roman" w:cs="Times New Roman" w:eastAsia="Times New Roman" w:hAnsi="Times New Roman"/>
          <w:sz w:val="16"/>
          <w:szCs w:val="16"/>
          <w:color w:val="auto"/>
        </w:rPr>
        <w:t>. If you own your shares of Illumina common stock directly through Illumina’s transfer agent, Computershare,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registered stockholder. In this case, the distribution agent will credit the whole shares of our common stock you receive in the Distribution by way of direct registration in book-entry form to a new account with our transfer agent. Registration in book-entry form refers to a method of recording share ownership where no physical stock certificates are issued to stockholders, as is the case in the Distribution. You will be able to access information regarding your book-entry account holding the GRAIL shares at www.computershare.com/us.com or www-us.computershare.com/Investor/#Home or by calling +1 (781) 575 2879 or (877) 373 6374 (toll free).</w:t>
      </w:r>
    </w:p>
    <w:p>
      <w:pPr>
        <w:spacing w:after="0" w:line="72" w:lineRule="exact"/>
        <w:rPr>
          <w:rFonts w:ascii="Times New Roman" w:cs="Times New Roman" w:eastAsia="Times New Roman" w:hAnsi="Times New Roman"/>
          <w:sz w:val="16"/>
          <w:szCs w:val="16"/>
          <w:color w:val="auto"/>
        </w:rPr>
      </w:pPr>
    </w:p>
    <w:p>
      <w:pPr>
        <w:ind w:left="1640" w:right="30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5" w:lineRule="exact"/>
        <w:rPr>
          <w:rFonts w:ascii="Times New Roman" w:cs="Times New Roman" w:eastAsia="Times New Roman" w:hAnsi="Times New Roman"/>
          <w:sz w:val="16"/>
          <w:szCs w:val="16"/>
          <w:color w:val="auto"/>
        </w:rPr>
      </w:pPr>
    </w:p>
    <w:p>
      <w:pPr>
        <w:ind w:left="1620" w:hanging="375"/>
        <w:spacing w:after="0" w:line="277" w:lineRule="auto"/>
        <w:tabs>
          <w:tab w:leader="none" w:pos="16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Street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beneficial stockholders</w:t>
      </w:r>
      <w:r>
        <w:rPr>
          <w:rFonts w:ascii="Times New Roman" w:cs="Times New Roman" w:eastAsia="Times New Roman" w:hAnsi="Times New Roman"/>
          <w:sz w:val="15"/>
          <w:szCs w:val="15"/>
          <w:color w:val="auto"/>
        </w:rPr>
        <w:t>.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49"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113 of this Information Statement.</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Number of Shares You Will Receive</w:t>
      </w:r>
    </w:p>
    <w:p>
      <w:pPr>
        <w:spacing w:after="0" w:line="104"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On the Distribution Date, for every six shares of Illumina common stock you owned as of the Record Date, you will receive one share of our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one trading day following the Distribution Date. For more information regarding “when-issued” trading, see the section entitled “—Trading Prior to the Distribution Date” beginning on page 113 of this Information Statement. The distribution agent will, in its sole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460"/>
          </w:cols>
          <w:pgMar w:left="320" w:top="419" w:right="11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discretion, without any influence by Illumina or us, determine when, how, through which broker-dealer, and at what price to sell the whole shares. The distribution agent is not, and any broker-dealer used by the distribution agent will not be, an affiliate of either Illumina or us.</w:t>
      </w:r>
    </w:p>
    <w:p>
      <w:pPr>
        <w:spacing w:after="0" w:line="14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this page 108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Outstanding Equity Incentive Awards</w:t>
      </w:r>
    </w:p>
    <w:p>
      <w:pPr>
        <w:spacing w:after="0" w:line="104"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 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Each Cash-Based Equity Award outstanding as of the Distribution Date will convert into GRAIL RSUs. For additional information regarding such conversion methodology, see the section entitled “Certain Relationships and Related Party Transactions—Agreements with Illumina—Employee Matters Agreement” beginning on page 234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Spin-Off</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U.S. Holders of Illumina Common Stock</w:t>
      </w:r>
    </w:p>
    <w:p>
      <w:pPr>
        <w:spacing w:after="0" w:line="106"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44"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This summary is limited to holders of Illumina common stock who hold their Illumina common stock as a capital asset. For purposes of this summary, a “U.S. Holder” is a beneficial owner of Illumina common stock that is, for U.S. federal income tax purposes:</w:t>
      </w:r>
    </w:p>
    <w:p>
      <w:pPr>
        <w:spacing w:after="0" w:line="62" w:lineRule="exact"/>
        <w:rPr>
          <w:sz w:val="20"/>
          <w:szCs w:val="20"/>
          <w:color w:val="auto"/>
        </w:rPr>
      </w:pPr>
    </w:p>
    <w:p>
      <w:pPr>
        <w:ind w:left="1620" w:hanging="375"/>
        <w:spacing w:after="0"/>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a resident of the U.S.;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under the laws of the U.S. or any state thereof or the District of Columbia;</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460"/>
          </w:cols>
          <w:pgMar w:left="320" w:top="419" w:right="11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This summary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2" w:lineRule="exact"/>
        <w:rPr>
          <w:sz w:val="20"/>
          <w:szCs w:val="20"/>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or currencies;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insurance companies;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regulated investment companies, or grantor trusts;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Illumina common stock pursuant to the exercise of employee stock options or otherwise as compensation;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own, or are deemed to own, 10% or more, by voting power or value, of Illumina equity;</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owning Illumina common stock as part of a position in a straddle or as part of a hedging, conversion, or other risk-reduction transaction for U.S. federal income tax purposes;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are subject to the alternative minimum tax;</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Illumina common stock through partnerships or other pass-through entities;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Illumina common stock through a tax-qualified retirement plan.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summary does not address any U.S. state or local or foreign tax consequences or any estate, gift, or other non-income tax consequences.</w:t>
      </w:r>
    </w:p>
    <w:p>
      <w:pPr>
        <w:spacing w:after="0" w:line="197"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55" w:lineRule="exact"/>
        <w:rPr>
          <w:sz w:val="20"/>
          <w:szCs w:val="20"/>
          <w:color w:val="auto"/>
        </w:rPr>
      </w:pPr>
    </w:p>
    <w:p>
      <w:pPr>
        <w:ind w:left="760" w:right="18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WITH RESPECT TO THE U.S. FEDERAL, STATE, AND LOCAL, AND FOREIGN TAX CONSEQUENCES OF THE DISTRIBUTION.</w:t>
      </w:r>
    </w:p>
    <w:p>
      <w:pPr>
        <w:spacing w:after="0" w:line="2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04"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The private letter ruling is,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w:t>
      </w:r>
    </w:p>
    <w:p>
      <w:pPr>
        <w:spacing w:after="0" w:line="83" w:lineRule="exact"/>
        <w:rPr>
          <w:sz w:val="20"/>
          <w:szCs w:val="20"/>
          <w:color w:val="auto"/>
        </w:rPr>
      </w:pPr>
    </w:p>
    <w:p>
      <w:pPr>
        <w:ind w:left="1620" w:right="60" w:hanging="375"/>
        <w:spacing w:after="0" w:line="278" w:lineRule="auto"/>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or be includible in the income of, a U.S. Holder as a result of the Distribution, except with respect to any cash received in lieu of fractional shares;</w:t>
      </w:r>
    </w:p>
    <w:p>
      <w:pPr>
        <w:spacing w:after="0" w:line="61"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460"/>
          </w:cols>
          <w:pgMar w:left="320" w:top="419" w:right="11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40"/>
        <w:spacing w:after="0" w:line="278" w:lineRule="auto"/>
        <w:rPr>
          <w:sz w:val="20"/>
          <w:szCs w:val="20"/>
          <w:color w:val="auto"/>
        </w:rPr>
      </w:pPr>
      <w:r>
        <w:rPr>
          <w:rFonts w:ascii="Times New Roman" w:cs="Times New Roman" w:eastAsia="Times New Roman" w:hAnsi="Times New Roman"/>
          <w:sz w:val="16"/>
          <w:szCs w:val="16"/>
          <w:color w:val="auto"/>
        </w:rPr>
        <w:t>common stock and our common stock in proportion to their relative fair market values on the date of the Distribution (subject to reduction upon the deemed sale of any fractional shares, as described below); and</w:t>
      </w:r>
    </w:p>
    <w:p>
      <w:pPr>
        <w:spacing w:after="0" w:line="62" w:lineRule="exact"/>
        <w:rPr>
          <w:sz w:val="20"/>
          <w:szCs w:val="20"/>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our common stock received by each U.S. Holder should include the holding period of its Illumina common stock.</w:t>
      </w:r>
    </w:p>
    <w:p>
      <w:pPr>
        <w:spacing w:after="0" w:line="197"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opinion of counsel will not be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 and the private letter ruling does not address every requirement for the Spin-Off to qualify for tax-free treatment.</w:t>
      </w:r>
    </w:p>
    <w:p>
      <w:pPr>
        <w:spacing w:after="0" w:line="161"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w:t>
      </w:r>
    </w:p>
    <w:p>
      <w:pPr>
        <w:spacing w:after="0" w:line="78" w:lineRule="exact"/>
        <w:rPr>
          <w:sz w:val="20"/>
          <w:szCs w:val="20"/>
          <w:color w:val="auto"/>
        </w:rPr>
      </w:pPr>
    </w:p>
    <w:p>
      <w:pPr>
        <w:ind w:left="1620" w:right="80" w:hanging="375"/>
        <w:spacing w:after="0" w:line="27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dividend to the U.S. Holder to the extent of that U.S. Holder’s pro rata share of Illumina’s current and accumulated earnings and profits;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U.S. Holder’s basis (but not below zero) in Illumina common stock to the extent the amount received exceeds the shareholder’s share of Illumina’s earnings and profits; and</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gain from the exchange of Illumina common stock to the extent the amount received exceeds the sum of the U.S. Holder’s share of Illumina’s earnings and profits and the U.S. Holder’s basis in its Illumina common stock.</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460"/>
          </w:cols>
          <w:pgMar w:left="320" w:top="419" w:right="11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Statement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 establish their entitlement to the exemption. Backup withholding is not an additional tax, and it may be refunded or credited against a U.S. Holder’s U.S. federal income tax liability if the required information is timely supplied to the IRS.</w:t>
      </w:r>
    </w:p>
    <w:p>
      <w:pPr>
        <w:spacing w:after="0" w:line="16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Illumina</w:t>
      </w:r>
    </w:p>
    <w:p>
      <w:pPr>
        <w:spacing w:after="0" w:line="20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to Illumina in connection with the Spin-Off that may be relevant to holders of Illumina common stock.</w:t>
      </w:r>
    </w:p>
    <w:p>
      <w:pPr>
        <w:spacing w:after="0" w:line="1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As discussed above, 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108 of this Information Statement.</w:t>
      </w:r>
    </w:p>
    <w:p>
      <w:pPr>
        <w:spacing w:after="0" w:line="166"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Obligation</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Sections 355 and 368 of the Code, we expect that we could, under certain circumstances, be required under the 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w:t>
      </w:r>
    </w:p>
    <w:p>
      <w:pPr>
        <w:spacing w:after="0" w:line="1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460"/>
          </w:cols>
          <w:pgMar w:left="320" w:top="419" w:right="11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the Spin-Off</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After the Spin-Off, we will be an independent, publicly traded company. Immediately following the Spin-Off, we expect to have approximately 551 stockholders of record and approximately 31.1 million shares of our common stock outstanding, based in part on the number of registered holders of Illumina common stock and shares of Illumina common stock outstanding on April 26, 2024. Up to 14.5% of our common stock will be held by Illumina. The actual number of shares of our common stock 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 number of outstanding shares of Illumina common stock or any rights of Illumina stockholders, although we expect the trading price of shares of Illumina common stock immediately following the Distribution to be lower 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w:t>
      </w:r>
    </w:p>
    <w:p>
      <w:pPr>
        <w:spacing w:after="0" w:line="170"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those related to employees and compensation and benefits plans and programs and tax-related assets and liabilities. We describe these arrangements in greater detail under the section entitled “Certain Relationships and Related Party Transactions—Agreements with Illumina” beginning on page 233 of this Information Statement.</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 and Trading of Our Common Stock</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113 of this Information Statement. We intend to list our shares of common stock on Nasdaq under the ticker symbol “GRAL.” Following the Spin-Off, Illumina common stock will continue to trade on Nasdaq under the ticker symbol “ILMN.”</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93 of this Information Statement.</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480"/>
          </w:cols>
          <w:pgMar w:left="320" w:top="419" w:right="10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Prior to the Distribution Date</w:t>
      </w:r>
    </w:p>
    <w:p>
      <w:pPr>
        <w:spacing w:after="0" w:line="104"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color w:val="auto"/>
        </w:rPr>
        <w:t>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 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one trading day after the Distribution Date. On the first trading day following the Distribution Date, we expect that “when-issued” trading of our common stock will end and “regular-way” trading will begin.</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Conditions to the Spin-Off</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separation will be effective on the Distribution Date, provided that the following conditions shall have been satisfied or waived by Illumina:</w:t>
      </w:r>
    </w:p>
    <w:p>
      <w:pPr>
        <w:spacing w:after="0" w:line="62" w:lineRule="exact"/>
        <w:rPr>
          <w:sz w:val="20"/>
          <w:szCs w:val="20"/>
          <w:color w:val="auto"/>
        </w:rPr>
      </w:pPr>
    </w:p>
    <w:p>
      <w:pPr>
        <w:ind w:left="1620" w:right="20" w:hanging="375"/>
        <w:spacing w:after="0" w:line="278"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Securities Exchange Act of 1934,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effectiveness and validity of Illumina’s private letter ruling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Code;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460"/>
          </w:cols>
          <w:pgMar w:left="320" w:top="419" w:right="11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60" w:hanging="375"/>
        <w:spacing w:after="0" w:line="263"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620" w:hanging="375"/>
        <w:spacing w:after="0" w:line="313" w:lineRule="auto"/>
        <w:tabs>
          <w:tab w:leader="none" w:pos="162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37" w:lineRule="exact"/>
        <w:rPr>
          <w:rFonts w:ascii="Times New Roman" w:cs="Times New Roman" w:eastAsia="Times New Roman" w:hAnsi="Times New Roman"/>
          <w:sz w:val="15"/>
          <w:szCs w:val="15"/>
          <w:color w:val="auto"/>
        </w:rPr>
      </w:pPr>
    </w:p>
    <w:p>
      <w:pPr>
        <w:ind w:left="1620" w:right="24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of Directors (the “Board”), immediately after the Distribution; and</w:t>
      </w:r>
    </w:p>
    <w:p>
      <w:pPr>
        <w:spacing w:after="0" w:line="61" w:lineRule="exact"/>
        <w:rPr>
          <w:rFonts w:ascii="Times New Roman" w:cs="Times New Roman" w:eastAsia="Times New Roman" w:hAnsi="Times New Roman"/>
          <w:sz w:val="16"/>
          <w:szCs w:val="16"/>
          <w:color w:val="auto"/>
        </w:rPr>
      </w:pPr>
    </w:p>
    <w:p>
      <w:pPr>
        <w:ind w:left="1620" w:right="200" w:hanging="375"/>
        <w:spacing w:after="0" w:line="313" w:lineRule="auto"/>
        <w:tabs>
          <w:tab w:leader="none" w:pos="162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121"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5"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be $20 million for GRAIL and estimated to range from $60 million to $75 million for Illumina if the Spin-Off is completed. If the Spin-Off is not completed for any reason, the one-time transaction costs will generally be limited to the transaction costs incurred for services rendered as of the date the Spin-Off is abandoned, which will be less than the amounts noted above. Our and Illumina’s management will also have devoted significant time to manage the Spin-Off process, which will decrease the time they will have to manage their respective businesses.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80"/>
          </w:cols>
          <w:pgMar w:left="320" w:top="419" w:right="10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97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40"/>
          </w:cols>
          <w:pgMar w:left="320" w:top="419" w:right="11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sets forth the cash and cash equivalents and capitalization of GRAIL as of March 31, 2024:</w:t>
      </w:r>
    </w:p>
    <w:p>
      <w:pPr>
        <w:spacing w:after="0" w:line="114" w:lineRule="exact"/>
        <w:rPr>
          <w:sz w:val="20"/>
          <w:szCs w:val="20"/>
          <w:color w:val="auto"/>
        </w:rPr>
      </w:pPr>
    </w:p>
    <w:p>
      <w:pPr>
        <w:ind w:left="1620" w:hanging="375"/>
        <w:spacing w:after="0"/>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 and</w:t>
      </w:r>
    </w:p>
    <w:p>
      <w:pPr>
        <w:spacing w:after="0" w:line="11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to give effect to our conversion from a limited liability company to a corporation, the post-Spin-Off disposal funding being provided to GRAIL by Illumina in accordance with the terms of the Separation and Distribution Agreement, the Distribution, and other related transactions, as if they occurred on March 31, 2024.</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information below is not necessarily indicative of what our capitalization would have been had the conversion to a corporation, the Distribution, and other related transactions been completed as of March 31, 2024. In addition, it is not indicative of our future capitalization and may not reflect the capitalization or financial condition that would have resulted had we operated as an independent, publicly traded company as of the applicable dates presented. You should review this information in conjunction with the sections entitled “Unaudited Pro Forma Condensed Consolidated Financial Statements” and “Management’s Discussion and Analysis of Financial Condition and Results of Operations” beginning on pages 119 and 186 of this Information Statement, respectively, and our Consolidated Financial Statements and accompanying notes beginning on page F-1 of this Information Statement.</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 of March 31, 2024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gridSpan w:val="2"/>
          </w:tcPr>
          <w:p>
            <w:pPr>
              <w:jc w:val="right"/>
              <w:ind w:right="700"/>
              <w:spacing w:after="0" w:line="123" w:lineRule="exact"/>
              <w:rPr>
                <w:sz w:val="20"/>
                <w:szCs w:val="20"/>
                <w:color w:val="auto"/>
              </w:rPr>
            </w:pPr>
            <w:r>
              <w:rPr>
                <w:rFonts w:ascii="Times New Roman" w:cs="Times New Roman" w:eastAsia="Times New Roman" w:hAnsi="Times New Roman"/>
                <w:sz w:val="13"/>
                <w:szCs w:val="13"/>
                <w:b w:val="1"/>
                <w:bCs w:val="1"/>
                <w:color w:val="auto"/>
              </w:rPr>
              <w:t>Actual</w:t>
            </w:r>
          </w:p>
        </w:tc>
        <w:tc>
          <w:tcPr>
            <w:tcW w:w="10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42"/>
              <w:spacing w:after="0" w:line="123"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tcPr>
          <w:p>
            <w:pPr>
              <w:jc w:val="center"/>
              <w:ind w:right="42"/>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share and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per share data)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199,723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974,100</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80" w:type="dxa"/>
            <w:vAlign w:val="bottom"/>
            <w:gridSpan w:val="2"/>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97"/>
              </w:rPr>
              <w:t>11,733,616</w:t>
            </w:r>
          </w:p>
        </w:tc>
        <w:tc>
          <w:tcPr>
            <w:tcW w:w="46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(7,995,239)</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3,739,391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$0.001 par value per share, no shares authorized, issued and outstanding, actual;</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1,500,000,000 shares authorized, pro forma; 31,052,632 shares issued and outstanding, pro</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forma</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11,995,939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(8,005,929)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3,739,391</w:t>
            </w:r>
          </w:p>
        </w:tc>
        <w:tc>
          <w:tcPr>
            <w:tcW w:w="4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3,991,055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2021"/>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SELECTED HISTORICAL FINANCIAL DATA</w:t>
      </w:r>
    </w:p>
    <w:p>
      <w:pPr>
        <w:spacing w:after="0" w:line="199"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following tables present selected historical financial data as of and for each of the fiscal years ended December 31, 2023 and January 1, 2023 and for the periods from August 19, 2021 to January 2, 2022 and January 1, 2021 to August 18, 2021, as well as selected historical financial data as of and for each of the quarterly periods ended March 31, 2024 and March 31, 2023.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have derived our summary historical statements of operations data for the quarters ended March 31, 2024 and March 31, 2023, and summary historical balance sheet data as of March 31, 2024, as set forth below, from our unaudited historical condensed consolidated financial statements, which are included in this Information Statement. We collectively refer to our audited and unaudited financial statements as the “Consolidated Financial Statements.”</w:t>
      </w:r>
    </w:p>
    <w:p>
      <w:pPr>
        <w:spacing w:after="0" w:line="165" w:lineRule="exact"/>
        <w:rPr>
          <w:sz w:val="20"/>
          <w:szCs w:val="20"/>
          <w:color w:val="auto"/>
        </w:rPr>
      </w:pPr>
    </w:p>
    <w:p>
      <w:pPr>
        <w:ind w:left="760" w:right="40" w:firstLine="388"/>
        <w:spacing w:after="0" w:line="271" w:lineRule="auto"/>
        <w:rPr>
          <w:sz w:val="20"/>
          <w:szCs w:val="20"/>
          <w:color w:val="auto"/>
        </w:rPr>
      </w:pPr>
      <w:r>
        <w:rPr>
          <w:rFonts w:ascii="Times New Roman" w:cs="Times New Roman" w:eastAsia="Times New Roman" w:hAnsi="Times New Roman"/>
          <w:sz w:val="15"/>
          <w:szCs w:val="15"/>
          <w:color w:val="auto"/>
        </w:rPr>
        <w:t>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186 of this Information Statement, and the section entitled “Unaudited Pro Forma Condensed Consolidated Financial Statements” beginning on page 119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w:t>
      </w:r>
    </w:p>
    <w:p>
      <w:pPr>
        <w:spacing w:after="0" w:line="174"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360" w:type="dxa"/>
            <w:vAlign w:val="bottom"/>
          </w:tcPr>
          <w:p>
            <w:pPr>
              <w:spacing w:after="0"/>
              <w:rPr>
                <w:sz w:val="8"/>
                <w:szCs w:val="8"/>
                <w:color w:val="auto"/>
              </w:rPr>
            </w:pPr>
          </w:p>
        </w:tc>
        <w:tc>
          <w:tcPr>
            <w:tcW w:w="78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8"/>
                <w:szCs w:val="8"/>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60" w:type="dxa"/>
            <w:vAlign w:val="bottom"/>
          </w:tcPr>
          <w:p>
            <w:pPr>
              <w:spacing w:after="0"/>
              <w:rPr>
                <w:sz w:val="8"/>
                <w:szCs w:val="8"/>
                <w:color w:val="auto"/>
              </w:rPr>
            </w:pPr>
          </w:p>
        </w:tc>
        <w:tc>
          <w:tcPr>
            <w:tcW w:w="12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400" w:type="dxa"/>
            <w:vAlign w:val="bottom"/>
          </w:tcPr>
          <w:p>
            <w:pPr>
              <w:spacing w:after="0"/>
              <w:rPr>
                <w:sz w:val="8"/>
                <w:szCs w:val="8"/>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January 1 to</w:t>
            </w:r>
          </w:p>
        </w:tc>
        <w:tc>
          <w:tcPr>
            <w:tcW w:w="0" w:type="dxa"/>
            <w:vAlign w:val="bottom"/>
          </w:tcPr>
          <w:p>
            <w:pPr>
              <w:spacing w:after="0"/>
              <w:rPr>
                <w:sz w:val="1"/>
                <w:szCs w:val="1"/>
                <w:color w:val="auto"/>
              </w:rPr>
            </w:pPr>
          </w:p>
        </w:tc>
      </w:tr>
      <w:tr>
        <w:trPr>
          <w:trHeight w:val="13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680" w:type="dxa"/>
            <w:vAlign w:val="bottom"/>
          </w:tcPr>
          <w:p>
            <w:pPr>
              <w:jc w:val="center"/>
              <w:ind w:right="9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right="89"/>
              <w:spacing w:after="0" w:line="131"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right w:val="single" w:sz="8" w:color="auto"/>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20" w:type="dxa"/>
            <w:vAlign w:val="bottom"/>
            <w:gridSpan w:val="2"/>
            <w:vMerge w:val="continue"/>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36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April 2, 2023</w:t>
            </w:r>
          </w:p>
        </w:tc>
        <w:tc>
          <w:tcPr>
            <w:tcW w:w="380" w:type="dxa"/>
            <w:vAlign w:val="bottom"/>
          </w:tcPr>
          <w:p>
            <w:pPr>
              <w:spacing w:after="0"/>
              <w:rPr>
                <w:sz w:val="12"/>
                <w:szCs w:val="12"/>
                <w:color w:val="auto"/>
              </w:rPr>
            </w:pPr>
          </w:p>
        </w:tc>
        <w:tc>
          <w:tcPr>
            <w:tcW w:w="140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right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January 2, 2022</w:t>
            </w:r>
          </w:p>
        </w:tc>
        <w:tc>
          <w:tcPr>
            <w:tcW w:w="400" w:type="dxa"/>
            <w:vAlign w:val="bottom"/>
          </w:tcPr>
          <w:p>
            <w:pPr>
              <w:spacing w:after="0"/>
              <w:rPr>
                <w:sz w:val="12"/>
                <w:szCs w:val="12"/>
                <w:color w:val="auto"/>
              </w:rPr>
            </w:pPr>
          </w:p>
        </w:tc>
        <w:tc>
          <w:tcPr>
            <w:tcW w:w="84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3"/>
                <w:szCs w:val="13"/>
                <w:b w:val="1"/>
                <w:bCs w:val="1"/>
                <w:color w:val="auto"/>
                <w:w w:val="90"/>
              </w:rPr>
              <w:t>August 18, 2021</w:t>
            </w: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2"/>
              <w:spacing w:after="0" w:line="131"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Operations Data:</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Screening revenue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74,347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7,074</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Screening revenue—related parties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381</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Development services revenue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18,106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4,978</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26,721</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93,105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12,433</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screening revenue</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(exclusive of amortization of</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10,990</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39,284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4,664</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4,965</w:t>
            </w: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screening revenue—related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8,682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662</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development services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6,623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624</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development services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revenue—related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133</w:t>
            </w:r>
          </w:p>
        </w:tc>
        <w:tc>
          <w:tcPr>
            <w:tcW w:w="4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revenue—amortization of</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133,889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44,630</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0"/>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96,390</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318,088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310,431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309,781</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138,366</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19" w:right="10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320"/>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820" w:type="dxa"/>
            <w:vAlign w:val="bottom"/>
            <w:gridSpan w:val="2"/>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260" w:type="dxa"/>
            <w:vAlign w:val="bottom"/>
          </w:tcPr>
          <w:p>
            <w:pPr>
              <w:spacing w:after="0"/>
              <w:rPr>
                <w:sz w:val="8"/>
                <w:szCs w:val="8"/>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8"/>
                <w:szCs w:val="8"/>
                <w:color w:val="auto"/>
              </w:rPr>
            </w:pPr>
          </w:p>
        </w:tc>
        <w:tc>
          <w:tcPr>
            <w:tcW w:w="12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0" w:type="dxa"/>
            <w:vAlign w:val="bottom"/>
          </w:tcPr>
          <w:p>
            <w:pPr>
              <w:spacing w:after="0"/>
              <w:rPr>
                <w:sz w:val="1"/>
                <w:szCs w:val="1"/>
                <w:color w:val="auto"/>
              </w:rPr>
            </w:pPr>
          </w:p>
        </w:tc>
      </w:tr>
      <w:tr>
        <w:trPr>
          <w:trHeight w:val="131"/>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right w:val="single" w:sz="8" w:color="auto"/>
            </w:tcBorders>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3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82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April 2, 2023</w:t>
            </w:r>
          </w:p>
        </w:tc>
        <w:tc>
          <w:tcPr>
            <w:tcW w:w="260" w:type="dxa"/>
            <w:vAlign w:val="bottom"/>
          </w:tcPr>
          <w:p>
            <w:pPr>
              <w:spacing w:after="0"/>
              <w:rPr>
                <w:sz w:val="12"/>
                <w:szCs w:val="12"/>
                <w:color w:val="auto"/>
              </w:rPr>
            </w:pP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60" w:type="dxa"/>
            <w:vAlign w:val="bottom"/>
          </w:tcPr>
          <w:p>
            <w:pPr>
              <w:spacing w:after="0"/>
              <w:rPr>
                <w:sz w:val="12"/>
                <w:szCs w:val="12"/>
                <w:color w:val="auto"/>
              </w:rPr>
            </w:pPr>
          </w:p>
        </w:tc>
        <w:tc>
          <w:tcPr>
            <w:tcW w:w="94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3"/>
          </w:tcPr>
          <w:p>
            <w:pPr>
              <w:jc w:val="right"/>
              <w:ind w:right="260"/>
              <w:spacing w:after="0" w:line="141" w:lineRule="exact"/>
              <w:rPr>
                <w:sz w:val="20"/>
                <w:szCs w:val="20"/>
                <w:color w:val="auto"/>
              </w:rPr>
            </w:pPr>
            <w:r>
              <w:rPr>
                <w:rFonts w:ascii="Times New Roman" w:cs="Times New Roman" w:eastAsia="Times New Roman" w:hAnsi="Times New Roman"/>
                <w:sz w:val="13"/>
                <w:szCs w:val="13"/>
                <w:b w:val="1"/>
                <w:bCs w:val="1"/>
                <w:color w:val="auto"/>
                <w:w w:val="94"/>
              </w:rPr>
              <w:t>January 2, 2022</w:t>
            </w:r>
          </w:p>
        </w:tc>
        <w:tc>
          <w:tcPr>
            <w:tcW w:w="20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3"/>
          </w:tcPr>
          <w:p>
            <w:pPr>
              <w:jc w:val="right"/>
              <w:ind w:right="571"/>
              <w:spacing w:after="0" w:line="131"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development—related parties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5,235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1,475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46,819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162,292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122,328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100,512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24,814</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57,018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200,062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478,071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160,140</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administrative—related parties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intangible impairment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718,466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4,700,431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254,143</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223,674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5,498,440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940,587</w:t>
            </w: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(227,422)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(204,031)</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(1,515,382)</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(5,442,890)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(928,154)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(337,188)</w:t>
            </w:r>
          </w:p>
        </w:tc>
        <w:tc>
          <w:tcPr>
            <w:tcW w:w="0" w:type="dxa"/>
            <w:vAlign w:val="bottom"/>
          </w:tcPr>
          <w:p>
            <w:pPr>
              <w:spacing w:after="0"/>
              <w:rPr>
                <w:sz w:val="1"/>
                <w:szCs w:val="1"/>
                <w:color w:val="auto"/>
              </w:rPr>
            </w:pPr>
          </w:p>
        </w:tc>
      </w:tr>
      <w:tr>
        <w:trPr>
          <w:trHeight w:val="17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7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0"/>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(224,479)</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(201,709)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(1,507,636)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(5,441,388)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(929,019)</w:t>
            </w: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(336,233)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5,565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17,477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40" w:type="dxa"/>
            <w:vAlign w:val="bottom"/>
            <w:gridSpan w:val="2"/>
            <w:vMerge w:val="continue"/>
          </w:tcPr>
          <w:p>
            <w:pPr>
              <w:spacing w:after="0"/>
              <w:rPr>
                <w:sz w:val="16"/>
                <w:szCs w:val="16"/>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(218,914)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(193,666)</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(1,465,685)</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(5,399,098)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(911,542)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(336,233)</w:t>
            </w: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March 31, 2024</w:t>
            </w:r>
          </w:p>
        </w:tc>
        <w:tc>
          <w:tcPr>
            <w:tcW w:w="130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9"/>
                <w:szCs w:val="9"/>
                <w:color w:val="auto"/>
              </w:rPr>
            </w:pPr>
          </w:p>
        </w:tc>
        <w:tc>
          <w:tcPr>
            <w:tcW w:w="8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January 1, 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460" w:type="dxa"/>
            <w:vAlign w:val="bottom"/>
            <w:gridSpan w:val="2"/>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199,723</w:t>
            </w: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97,287</w:t>
            </w:r>
          </w:p>
        </w:tc>
        <w:tc>
          <w:tcPr>
            <w:tcW w:w="18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3,972,851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3,913,814</w:t>
            </w: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 and member’s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233,460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267,627</w:t>
            </w:r>
          </w:p>
        </w:tc>
        <w:tc>
          <w:tcPr>
            <w:tcW w:w="1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9"/>
              </w:rPr>
              <w:t>11,733,616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11,421,446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10,955,907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(7,995,239)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(7,776,325)</w:t>
            </w: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c>
          <w:tcPr>
            <w:tcW w:w="0" w:type="dxa"/>
            <w:vAlign w:val="bottom"/>
          </w:tcPr>
          <w:p>
            <w:pPr>
              <w:spacing w:after="0"/>
              <w:rPr>
                <w:sz w:val="1"/>
                <w:szCs w:val="1"/>
                <w:color w:val="auto"/>
              </w:rPr>
            </w:pPr>
          </w:p>
        </w:tc>
      </w:tr>
      <w:tr>
        <w:trPr>
          <w:trHeight w:val="199"/>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3,972,851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3,913,814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118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FINANCIAL STATEMENTS</w:t>
      </w:r>
    </w:p>
    <w:p>
      <w:pPr>
        <w:spacing w:after="0" w:line="199"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w:t>
      </w:r>
    </w:p>
    <w:p>
      <w:pPr>
        <w:spacing w:after="0" w:line="161"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of GRAIL have been derived from the historical consolidated financial statements of GRAIL, which we refer to as the “Consolidated Financial Statements,” beginning on page F-1 of this Information Statement. The unaudited pro forma condensed consolidated statements of operations for the three months ended March 31, 2024 and the year ended December 31, 2023 have been prepared as though the Distribution occurred on January 2, 2023. The unaudited pro forma condensed consolidated balance sheet as of March 31, 2024 has been prepared as though the Distribution occurred on March 31, 2024. The unaudited pro forma condensed consolidated financial statements were prepared in accordance with Article 11 of Regulation S-X.</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have been prepared to reflect transaction accounting and autonomous entity adjustments to present the financial condition and results of operations as if GRAIL were a separate stand-alone entity. The unaudited pro forma condensed consolidated financial statements have been adjusted to give effect to the following:</w:t>
      </w:r>
    </w:p>
    <w:p>
      <w:pPr>
        <w:spacing w:after="0" w:line="73" w:lineRule="exact"/>
        <w:rPr>
          <w:sz w:val="20"/>
          <w:szCs w:val="20"/>
          <w:color w:val="auto"/>
        </w:rPr>
      </w:pPr>
    </w:p>
    <w:p>
      <w:pPr>
        <w:jc w:val="both"/>
        <w:ind w:left="1620" w:right="540" w:hanging="375"/>
        <w:spacing w:after="0" w:line="289" w:lineRule="auto"/>
        <w:tabs>
          <w:tab w:leader="none" w:pos="162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post-Spin-Off structure whereby GRAIL, LLC will be converted from a limited liability company to a corporation, including the issuance of an estimated 31.1 million shares of common stock, where at least 85.5% of the outstanding shares will be distributed to holders of Illumina common stock in connection with the Spin-Off and Illumina will retain up to 14.5%;</w:t>
      </w:r>
    </w:p>
    <w:p>
      <w:pPr>
        <w:spacing w:after="0" w:line="55" w:lineRule="exact"/>
        <w:rPr>
          <w:rFonts w:ascii="Times New Roman" w:cs="Times New Roman" w:eastAsia="Times New Roman" w:hAnsi="Times New Roman"/>
          <w:sz w:val="15"/>
          <w:szCs w:val="15"/>
          <w:color w:val="auto"/>
        </w:rPr>
      </w:pPr>
    </w:p>
    <w:p>
      <w:pPr>
        <w:ind w:left="1620" w:right="14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post-Spin-Off disposal funding being provided to GRAIL by Illumina in accordance with the terms of the Separation and Distribution Agreement;</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outstanding cash-based equity appreciation awards into GRAIL, Inc. restricted stock units in accordance with the terms of the Employee Matters Agreement;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and incremental costs expected to be incurred as an autonomous entity and specifically related to the Spin-Off; and</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of certain deferred tax assets, including U.S. net operating losses and tax credits, which will remain the assets of Illumina in accordance with the terms of the Tax Matters Agreement.</w:t>
      </w:r>
    </w:p>
    <w:p>
      <w:pPr>
        <w:spacing w:after="0" w:line="145" w:lineRule="exact"/>
        <w:rPr>
          <w:sz w:val="20"/>
          <w:szCs w:val="20"/>
          <w:color w:val="auto"/>
        </w:rPr>
      </w:pPr>
    </w:p>
    <w:p>
      <w:pPr>
        <w:ind w:left="760" w:right="80" w:firstLine="388"/>
        <w:spacing w:after="0" w:line="274" w:lineRule="auto"/>
        <w:rPr>
          <w:sz w:val="20"/>
          <w:szCs w:val="20"/>
          <w:color w:val="auto"/>
        </w:rPr>
      </w:pPr>
      <w:r>
        <w:rPr>
          <w:rFonts w:ascii="Times New Roman" w:cs="Times New Roman" w:eastAsia="Times New Roman" w:hAnsi="Times New Roman"/>
          <w:sz w:val="15"/>
          <w:szCs w:val="15"/>
          <w:color w:val="auto"/>
        </w:rPr>
        <w:t>The unaudited pro forma condensed consolidated financial statements are presented for illustrative purposes only and are not necessarily indicative of the operating results or financial position that would have been achieved had the Spin-Off occurred on January 2, 2023 or March 31, 2024, respectively, nor are they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statements. The unaudited pro forma condensed consolidated financial statements have been prepared based upon preliminary estimates, therefore the impact of the Spin-Off and the timing thereof could cause material differences from the information presented herein.</w:t>
      </w:r>
    </w:p>
    <w:p>
      <w:pPr>
        <w:spacing w:after="0" w:line="151"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should be read in conjunction with our Consolidated Financial Statements and accompanying notes beginning on page F-1 of this Information Statement and the sections entitled “Capitalization” and “Management’s Discussion and Analysis of Financial Condition and Results of Operations” beginning on pages 116 and 186, respectively, of this Information Statement. The unaudited pro forma condensed consolidated financial statements are subject to certain risks and uncertainties. For more information, see the sections entitled “Cautionary Statement Concerning Forward-Looking Statements” and “Risk Factors” beginning on pages 101 and 31, respectively,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480"/>
          </w:cols>
          <w:pgMar w:left="320" w:top="419" w:right="10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BALANCE SHEET</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40" w:type="dxa"/>
            <w:vAlign w:val="bottom"/>
          </w:tcPr>
          <w:p>
            <w:pPr>
              <w:spacing w:after="0"/>
              <w:rPr>
                <w:sz w:val="8"/>
                <w:szCs w:val="8"/>
                <w:color w:val="auto"/>
              </w:rPr>
            </w:pPr>
          </w:p>
        </w:tc>
        <w:tc>
          <w:tcPr>
            <w:tcW w:w="72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29"/>
              <w:spacing w:after="0" w:line="131" w:lineRule="exact"/>
              <w:rPr>
                <w:sz w:val="20"/>
                <w:szCs w:val="20"/>
                <w:color w:val="auto"/>
              </w:rPr>
            </w:pPr>
            <w:r>
              <w:rPr>
                <w:rFonts w:ascii="Times New Roman" w:cs="Times New Roman" w:eastAsia="Times New Roman" w:hAnsi="Times New Roman"/>
                <w:sz w:val="13"/>
                <w:szCs w:val="13"/>
                <w:b w:val="1"/>
                <w:bCs w:val="1"/>
                <w:color w:val="auto"/>
              </w:rPr>
              <w:t>Entity</w:t>
            </w:r>
          </w:p>
        </w:tc>
        <w:tc>
          <w:tcPr>
            <w:tcW w:w="12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5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199,723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974,100</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14,972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14,972</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Supplies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14,556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14,556</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Supplies—related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7,022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7,022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22,112</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5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1,032,859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78,059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78,059</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3,330</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79,361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79,361</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3,918</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2,652,639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2,652,639</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888,936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888,936</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8,126</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3,972,851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4,747,228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8,832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8,832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68,992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78,992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liabilities—related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Incentive plan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40,595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(40,595)</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13,981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13,981</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8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65,960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65,960</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28,116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581,424</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552,618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522,713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11,733,616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(11,733,616)</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(1,014)</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(7,995,239)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7,995,239</w:t>
            </w:r>
          </w:p>
        </w:tc>
        <w:tc>
          <w:tcPr>
            <w:tcW w:w="12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3,739,391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(3,739,391)</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$0.001 par value per share, no shares authorized, issued and outstanding,</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actual;1,500,000,000 shares authorized, pro forma; 31,052,632 shares issued and outstanding, pro</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forma</w:t>
            </w: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11,995,939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(552,618)</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11,733,616</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(8,005,929)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(690)</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(7,995,239)</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3,991,055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3,991,055</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3,972,851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4,747,228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480"/>
          </w:cols>
          <w:pgMar w:left="320" w:top="419" w:right="10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STATEMENT OF OPERATIONS</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11"/>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tcPr>
          <w:p>
            <w:pPr>
              <w:jc w:val="right"/>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Entity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23,410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23,410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3,182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26,721</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26,721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00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 acquired</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10,990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10,990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2,732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33,472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33,472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96,390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96,390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5,235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46,819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46,819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57,018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57,863</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254,988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(227,422)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(228,267)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2,901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net</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(224,479)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(225,324)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53,193</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(bb)</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58,969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5"/>
              </w:rPr>
              <w:t>(218,914)</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53,193</w:t>
            </w:r>
          </w:p>
        </w:tc>
        <w:tc>
          <w:tcPr>
            <w:tcW w:w="3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(634)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(166,355)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common stock and common stock equivalent shares outstanding</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31,052,632</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(f)</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7"/>
              </w:rPr>
              <w:t>31,052,632</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(f)</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80"/>
          </w:cols>
          <w:pgMar w:left="320" w:top="419" w:right="10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STATEMENT OF OPERATIONS</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3"/>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20" w:type="dxa"/>
            <w:vAlign w:val="bottom"/>
          </w:tcPr>
          <w:p>
            <w:pPr>
              <w:spacing w:after="0"/>
              <w:rPr>
                <w:sz w:val="8"/>
                <w:szCs w:val="8"/>
                <w:color w:val="auto"/>
              </w:rPr>
            </w:pPr>
          </w:p>
        </w:tc>
        <w:tc>
          <w:tcPr>
            <w:tcW w:w="960" w:type="dxa"/>
            <w:vAlign w:val="bottom"/>
            <w:gridSpan w:val="3"/>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Entity</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2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74,347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74,347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18,106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18,106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93,105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93,105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8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39,284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39,284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8,682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8,682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6,623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6,623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133,889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133,889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318,088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318,088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20,657</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20,657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162,292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162,292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200,062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(b)</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3,379</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(aa)</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213,441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718,466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718,466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1,621,866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(1,515,382)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(3,379)</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(1,528,761)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7,954</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7,954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7,746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7,746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(1,507,636)</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(1,521,015)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41,951</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(bb)</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224,829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182,033</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(e)</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172,033</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(2,534)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(1,296,186)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(41.74)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(41.74)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Average common stock and common stock equivalent shares</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3"/>
              </w:rPr>
              <w:t> (f)</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3"/>
              </w:rPr>
              <w:t> (f)</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480"/>
          </w:cols>
          <w:pgMar w:left="320" w:top="419" w:right="10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CONSOLIDATED FINANCIAL STATEMENTS</w:t>
      </w:r>
    </w:p>
    <w:p>
      <w:pPr>
        <w:spacing w:after="0" w:line="199"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unaudited pro forma condensed consolidated balance sheet as of March 31, 2024, and unaudited pro forma condensed consolidated statements of operations for the three months ended March 31, 2024 and the year ended December 31, 2023, include the following adjustments: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Transaction Accounting Adjustments</w:t>
      </w:r>
    </w:p>
    <w:p>
      <w:pPr>
        <w:spacing w:after="0" w:line="116" w:lineRule="exact"/>
        <w:rPr>
          <w:sz w:val="20"/>
          <w:szCs w:val="20"/>
          <w:color w:val="auto"/>
        </w:rPr>
      </w:pPr>
    </w:p>
    <w:p>
      <w:pPr>
        <w:ind w:left="2020" w:right="60" w:hanging="383"/>
        <w:spacing w:after="0" w:line="251" w:lineRule="auto"/>
        <w:tabs>
          <w:tab w:leader="none" w:pos="20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disposal funding to be provided by Illumina to GRAIL in accordance with the Separation and Distribution Agreement. The $974.1 million in disposal funding is calculated assuming that the Spin-Off will be completed on June 24, 2024 and then is netted against the cash and cash equivalents held by GRAIL as of March 31, 2024 in the unaudited pro forma condensed consolidated balance sheet to arrive at a total pro forma cash and cash equivalents balance of $974.1 million. The actual disposal funding will increase or decrease by approximately $5.0 million per week, determined on a straight-line basis, if the Distribution Date is earlier or later than June 24, 2024 and will be netted against cash and cash equivalents held by GRAIL as of the Distribution Date. For example, assuming a June 24, 2024 Distribution Date, if cash and cash equivalents held by GRAIL as of the Distribution Date were $100.0 million, the $974.1 million in disposal funding would be netted against the $100.0 million. We have assumed that no equity distributions, repurchases, or GRAIL Change of Control occur during the Restricted Period that would require clawback pursuant to the Separation and Distribution Agreement.</w:t>
      </w:r>
    </w:p>
    <w:p>
      <w:pPr>
        <w:spacing w:after="0" w:line="86" w:lineRule="exact"/>
        <w:rPr>
          <w:rFonts w:ascii="Times New Roman" w:cs="Times New Roman" w:eastAsia="Times New Roman" w:hAnsi="Times New Roman"/>
          <w:sz w:val="16"/>
          <w:szCs w:val="16"/>
          <w:color w:val="auto"/>
        </w:rPr>
      </w:pPr>
    </w:p>
    <w:p>
      <w:pPr>
        <w:ind w:left="2020" w:hanging="383"/>
        <w:spacing w:after="0"/>
        <w:tabs>
          <w:tab w:leader="none" w:pos="20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estimated non-recurring transaction costs expected to be incurred in connection with the Spin-Off.</w:t>
      </w:r>
    </w:p>
    <w:p>
      <w:pPr>
        <w:spacing w:after="0" w:line="113" w:lineRule="exact"/>
        <w:rPr>
          <w:rFonts w:ascii="Times New Roman" w:cs="Times New Roman" w:eastAsia="Times New Roman" w:hAnsi="Times New Roman"/>
          <w:sz w:val="16"/>
          <w:szCs w:val="16"/>
          <w:color w:val="auto"/>
        </w:rPr>
      </w:pPr>
    </w:p>
    <w:p>
      <w:pPr>
        <w:ind w:left="2020" w:right="80" w:hanging="383"/>
        <w:spacing w:after="0" w:line="313" w:lineRule="auto"/>
        <w:tabs>
          <w:tab w:leader="none" w:pos="20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one-time reclassification from incentive plan liabilities to additional paid-in capital upon conversion of outstanding cash-based equity appreciation awards into GRAIL, Inc. restricted stock units in accordance with the Employee Matters Agreement.</w:t>
      </w:r>
    </w:p>
    <w:p>
      <w:pPr>
        <w:spacing w:after="0" w:line="26" w:lineRule="exact"/>
        <w:rPr>
          <w:rFonts w:ascii="Times New Roman" w:cs="Times New Roman" w:eastAsia="Times New Roman" w:hAnsi="Times New Roman"/>
          <w:sz w:val="15"/>
          <w:szCs w:val="15"/>
          <w:color w:val="auto"/>
        </w:rPr>
      </w:pPr>
    </w:p>
    <w:p>
      <w:pPr>
        <w:ind w:left="2040" w:right="2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Under the terms of the Employee Matters Agreement, there may be modifications to existing awards granted pursuant to the incentive plan. Certain assumptions impacting the modified awards are currently unknown until completion of the Spin-Off and such changes to stock-based compensation expense cannot be predicted at this time. Key assumptions that could impact the fair value upon modification of the incentive plan awards that are currently not quantifiable include GRAIL’s average market capitalization post-Spin-Off determined by reference to the volume weighted average per share price of GRAIL stock for the four trading days immediately following the Distribution Date that could either increase or decrease stock-based compensation expense in future reporting periods. Accordingly, we are not able to estimate or reflect pro forma adjustments to stock-based compensation expense in the unaudited pro forma condensed consolidated statements of operations.</w:t>
      </w:r>
    </w:p>
    <w:p>
      <w:pPr>
        <w:spacing w:after="0" w:line="84" w:lineRule="exact"/>
        <w:rPr>
          <w:rFonts w:ascii="Times New Roman" w:cs="Times New Roman" w:eastAsia="Times New Roman" w:hAnsi="Times New Roman"/>
          <w:sz w:val="15"/>
          <w:szCs w:val="15"/>
          <w:color w:val="auto"/>
        </w:rPr>
      </w:pPr>
    </w:p>
    <w:p>
      <w:pPr>
        <w:ind w:left="2020" w:right="160" w:hanging="383"/>
        <w:spacing w:after="0" w:line="258" w:lineRule="auto"/>
        <w:tabs>
          <w:tab w:leader="none" w:pos="20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effects of the non-recurring transaction accounting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77" w:lineRule="exact"/>
        <w:rPr>
          <w:rFonts w:ascii="Times New Roman" w:cs="Times New Roman" w:eastAsia="Times New Roman" w:hAnsi="Times New Roman"/>
          <w:sz w:val="16"/>
          <w:szCs w:val="16"/>
          <w:color w:val="auto"/>
        </w:rPr>
      </w:pPr>
    </w:p>
    <w:p>
      <w:pPr>
        <w:ind w:left="2020" w:hanging="383"/>
        <w:spacing w:after="0" w:line="255" w:lineRule="auto"/>
        <w:tabs>
          <w:tab w:leader="none" w:pos="20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expected tax effects of the Separation and Distribution Agreement and Tax Matters Agreement whereby certain deferred tax assets, including U.S. net operating losses and tax credits, will remain the assets of Illumina.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480"/>
          </w:cols>
          <w:pgMar w:left="320" w:top="419" w:right="10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2020" w:right="20" w:hanging="383"/>
        <w:spacing w:after="0" w:line="253" w:lineRule="auto"/>
        <w:tabs>
          <w:tab w:leader="none" w:pos="20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reclassification of Illumina’s net investment in GRAIL to additional paid-in capital, as well as the issuance of 31.1 million shares of GRAIL common stock with a par value of $0.001 per share pursuant to the Separation and Distribution Agreement. We have assumed the number of outstanding shares of GRAIL common stock based on 159.3 million shares of Illumina common stock outstanding as of April 26, 2024, and assumed a distribution of at least 85.5% of the outstanding shares of GRAIL common stock to Illumina’s stockholders, on the basis of one share of GRAIL common stock for every six shares of Illumina common stock. The actual number of shares issued will not be known until the record date for the distribution. We expect up to 14.5% of GRAIL common stock to be owned by Illumina at the time of the Spin-Off.</w:t>
      </w:r>
    </w:p>
    <w:p>
      <w:pPr>
        <w:spacing w:after="0" w:line="70" w:lineRule="exact"/>
        <w:rPr>
          <w:rFonts w:ascii="Times New Roman" w:cs="Times New Roman" w:eastAsia="Times New Roman" w:hAnsi="Times New Roman"/>
          <w:sz w:val="16"/>
          <w:szCs w:val="16"/>
          <w:color w:val="auto"/>
        </w:rPr>
      </w:pPr>
    </w:p>
    <w:p>
      <w:pPr>
        <w:ind w:left="2040" w:right="2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used to compute pro forma basic and diluted net loss per share is based on the number of shares of GRAIL common stock assumed to be issued and outstanding immediately after the Spin-Off. The calculation does not consider the conversion of outstanding cash-based equity appreciation awards into GRAIL, Inc. restricted stock units in accordance with the terms of the Employee Matters Agreement, the effect of which would be antidilutive given GRAIL has historically operated at a loss.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Autonomous Entity Adjustments</w:t>
      </w:r>
    </w:p>
    <w:p>
      <w:pPr>
        <w:spacing w:after="0" w:line="116" w:lineRule="exact"/>
        <w:rPr>
          <w:sz w:val="20"/>
          <w:szCs w:val="20"/>
          <w:color w:val="auto"/>
        </w:rPr>
      </w:pPr>
    </w:p>
    <w:p>
      <w:pPr>
        <w:ind w:left="2020" w:hanging="383"/>
        <w:spacing w:after="0" w:line="278" w:lineRule="auto"/>
        <w:tabs>
          <w:tab w:leader="none" w:pos="20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estimated expenses for recurring director and officer liability insurance premiums related to operating as an autonomous entity and specifically related to the Spin-Off.</w:t>
      </w:r>
    </w:p>
    <w:p>
      <w:pPr>
        <w:spacing w:after="0" w:line="61" w:lineRule="exact"/>
        <w:rPr>
          <w:rFonts w:ascii="Times New Roman" w:cs="Times New Roman" w:eastAsia="Times New Roman" w:hAnsi="Times New Roman"/>
          <w:sz w:val="16"/>
          <w:szCs w:val="16"/>
          <w:color w:val="auto"/>
        </w:rPr>
      </w:pPr>
    </w:p>
    <w:p>
      <w:pPr>
        <w:ind w:left="2020" w:hanging="383"/>
        <w:spacing w:after="0" w:line="258" w:lineRule="auto"/>
        <w:tabs>
          <w:tab w:leader="none" w:pos="20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effects of the autonomous entity pro forma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40"/>
          </w:cols>
          <w:pgMar w:left="320" w:top="419" w:right="11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74" w:lineRule="exact"/>
        <w:rPr>
          <w:sz w:val="20"/>
          <w:szCs w:val="20"/>
          <w:color w:val="auto"/>
        </w:rPr>
      </w:pPr>
    </w:p>
    <w:p>
      <w:pPr>
        <w:ind w:left="760" w:right="20" w:firstLine="388"/>
        <w:spacing w:after="0" w:line="249" w:lineRule="auto"/>
        <w:rPr>
          <w:sz w:val="20"/>
          <w:szCs w:val="20"/>
          <w:color w:val="auto"/>
        </w:rPr>
      </w:pPr>
      <w:r>
        <w:rPr>
          <w:rFonts w:ascii="Times New Roman" w:cs="Times New Roman" w:eastAsia="Times New Roman" w:hAnsi="Times New Roman"/>
          <w:sz w:val="16"/>
          <w:szCs w:val="16"/>
          <w:color w:val="auto"/>
        </w:rPr>
        <w:t xml:space="preserve">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6"/>
          <w:szCs w:val="16"/>
          <w:i w:val="1"/>
          <w:iCs w:val="1"/>
          <w:color w:val="auto"/>
        </w:rPr>
        <w:t>Cancer Epidemiology, Biomarkers &amp;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Prevention </w:t>
      </w:r>
      <w:r>
        <w:rPr>
          <w:rFonts w:ascii="Times New Roman" w:cs="Times New Roman" w:eastAsia="Times New Roman" w:hAnsi="Times New Roman"/>
          <w:sz w:val="16"/>
          <w:szCs w:val="16"/>
          <w:color w:val="auto"/>
        </w:rPr>
        <w:t>(Cancer Epidemiol Biomarkers Prev. 2021; 30:460–8) that estimated the potential impact of MCED testing on mortality reduction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(Data. 2017; 2(30):2–16) estimated that diagnosing cancer early could result in $26 billion in annual cost-savings in the United States.</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480"/>
          </w:cols>
          <w:pgMar w:left="320" w:top="419" w:right="10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We designed Galleri to detect cancer early. If cancer is detected early,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w:t>
      </w:r>
    </w:p>
    <w:p>
      <w:pPr>
        <w:spacing w:after="0" w:line="162"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high-profile accolades, including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 xml:space="preserve">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168"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in the United States to enable coverage of FDA-approved MCED tests by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w:t>
      </w:r>
    </w:p>
    <w:p>
      <w:pPr>
        <w:spacing w:after="0" w:line="172"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Since our founding, we have undertaken a rigorous approach to identify in a blood sample the most informative markers of cancer through what we believe is the largest clinical program in genomic medicine to date. We are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460"/>
          </w:cols>
          <w:pgMar w:left="320" w:top="419" w:right="11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16"/>
          <w:szCs w:val="16"/>
          <w:color w:val="auto"/>
        </w:rPr>
        <w:t>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181"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which serves as the technological basis for our Galleri test. Our targeted methylation approach can detect lower levels of cancer signal in blood compared to other approaches we examined, enabling early cancer detection in asymptomatic individuals more efficiently compared to whole-genome methylation. For additional information, see “— Methylation Technology Platform.”</w:t>
      </w:r>
    </w:p>
    <w:p>
      <w:pPr>
        <w:spacing w:after="0" w:line="170"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620" w:right="240" w:hanging="375"/>
        <w:spacing w:after="0" w:line="281" w:lineRule="auto"/>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Precision oncology portfolio</w:t>
      </w:r>
      <w:r>
        <w:rPr>
          <w:rFonts w:ascii="Times New Roman" w:cs="Times New Roman" w:eastAsia="Times New Roman" w:hAnsi="Times New Roman"/>
          <w:sz w:val="16"/>
          <w:szCs w:val="16"/>
          <w:color w:val="auto"/>
        </w:rPr>
        <w:t>: We are developing our precision oncology portfolio and launched our research use only (“RUO”) targeted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methylation platform with customizable classifiers in 2023. We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80"/>
          </w:cols>
          <w:pgMar w:left="320" w:top="419" w:right="10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100"/>
        <w:spacing w:after="0" w:line="271" w:lineRule="auto"/>
        <w:rPr>
          <w:sz w:val="20"/>
          <w:szCs w:val="20"/>
          <w:color w:val="auto"/>
        </w:rPr>
      </w:pPr>
      <w:r>
        <w:rPr>
          <w:rFonts w:ascii="Times New Roman" w:cs="Times New Roman" w:eastAsia="Times New Roman" w:hAnsi="Times New Roman"/>
          <w:sz w:val="15"/>
          <w:szCs w:val="15"/>
          <w:color w:val="auto"/>
        </w:rPr>
        <w:t>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w:t>
      </w:r>
    </w:p>
    <w:p>
      <w:pPr>
        <w:spacing w:after="0" w:line="70" w:lineRule="exact"/>
        <w:rPr>
          <w:sz w:val="20"/>
          <w:szCs w:val="20"/>
          <w:color w:val="auto"/>
        </w:rPr>
      </w:pPr>
    </w:p>
    <w:p>
      <w:pPr>
        <w:ind w:left="1620" w:hanging="375"/>
        <w:spacing w:after="0" w:line="251" w:lineRule="auto"/>
        <w:tabs>
          <w:tab w:leader="none" w:pos="16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accurately identify where they were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90%.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w:t>
      </w:r>
    </w:p>
    <w:p>
      <w:pPr>
        <w:spacing w:after="0" w:line="170"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620" w:hanging="375"/>
        <w:spacing w:after="0" w:line="251" w:lineRule="auto"/>
        <w:tabs>
          <w:tab w:leader="none" w:pos="16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screening test, Galleri. </w:t>
      </w:r>
      <w:r>
        <w:rPr>
          <w:rFonts w:ascii="Times New Roman" w:cs="Times New Roman" w:eastAsia="Times New Roman" w:hAnsi="Times New Roman"/>
          <w:sz w:val="16"/>
          <w:szCs w:val="16"/>
          <w:color w:val="auto"/>
        </w:rPr>
        <w:t>Galleri is a commercially available, MCED screening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test that is setting the standard for multi-cancer early detection. While Galleri has not been approved or cleared by the FDA, we believe Galleri is clinically validated as a screening test based on the results of our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trials Galleri has demonstrated a high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Magazine </w:t>
      </w:r>
      <w:r>
        <w:rPr>
          <w:rFonts w:ascii="Times New Roman" w:cs="Times New Roman" w:eastAsia="Times New Roman" w:hAnsi="Times New Roman"/>
          <w:sz w:val="16"/>
          <w:szCs w:val="16"/>
          <w:color w:val="auto"/>
        </w:rPr>
        <w:t>as one of the Best Inventions of 2022, and</w:t>
      </w:r>
      <w:r>
        <w:rPr>
          <w:rFonts w:ascii="Times New Roman" w:cs="Times New Roman" w:eastAsia="Times New Roman" w:hAnsi="Times New Roman"/>
          <w:sz w:val="16"/>
          <w:szCs w:val="16"/>
          <w:i w:val="1"/>
          <w:iCs w:val="1"/>
          <w:color w:val="auto"/>
        </w:rPr>
        <w:t xml:space="preserve"> The 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60"/>
          </w:cols>
          <w:pgMar w:left="320" w:top="419" w:right="11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620" w:right="60" w:hanging="375"/>
        <w:spacing w:after="0" w:line="260"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 Galleri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with more than 300 million individuals globally over the age of 50 (our intended use population), including more than</w:t>
      </w:r>
    </w:p>
    <w:p>
      <w:pPr>
        <w:spacing w:after="0" w:line="1" w:lineRule="exact"/>
        <w:rPr>
          <w:rFonts w:ascii="Times New Roman" w:cs="Times New Roman" w:eastAsia="Times New Roman" w:hAnsi="Times New Roman"/>
          <w:sz w:val="16"/>
          <w:szCs w:val="16"/>
          <w:color w:val="auto"/>
        </w:rPr>
      </w:pPr>
    </w:p>
    <w:p>
      <w:pPr>
        <w:ind w:left="1620" w:right="4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will evaluate the final results from the NHS-Galleri Trial, which are expected to be available in 2026, before determining whether to implement the Galleri test in the NHS. Our commercial leadership is further supported by our high-capacity laboratories to enable population screening volumes.</w:t>
      </w:r>
    </w:p>
    <w:p>
      <w:pPr>
        <w:spacing w:after="0" w:line="83" w:lineRule="exact"/>
        <w:rPr>
          <w:rFonts w:ascii="Times New Roman" w:cs="Times New Roman" w:eastAsia="Times New Roman" w:hAnsi="Times New Roman"/>
          <w:sz w:val="16"/>
          <w:szCs w:val="16"/>
          <w:color w:val="auto"/>
        </w:rPr>
      </w:pPr>
    </w:p>
    <w:p>
      <w:pPr>
        <w:ind w:left="1620" w:hanging="375"/>
        <w:spacing w:after="0" w:line="250"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Unprecedented clinical studies and real-world experience. </w:t>
      </w:r>
      <w:r>
        <w:rPr>
          <w:rFonts w:ascii="Times New Roman" w:cs="Times New Roman" w:eastAsia="Times New Roman" w:hAnsi="Times New Roman"/>
          <w:sz w:val="16"/>
          <w:szCs w:val="16"/>
          <w:color w:val="auto"/>
        </w:rPr>
        <w:t>We designed and executed what we believe is the largest clinical program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Together with our partners at leading community and academic medical centers in the United States and United Kingdom, we expect to continue to report ongoing and long-term follow-up clinical data from these studies over many years.</w:t>
      </w:r>
    </w:p>
    <w:p>
      <w:pPr>
        <w:spacing w:after="0" w:line="87" w:lineRule="exact"/>
        <w:rPr>
          <w:rFonts w:ascii="Times New Roman" w:cs="Times New Roman" w:eastAsia="Times New Roman" w:hAnsi="Times New Roman"/>
          <w:sz w:val="16"/>
          <w:szCs w:val="16"/>
          <w:color w:val="auto"/>
        </w:rPr>
      </w:pPr>
    </w:p>
    <w:p>
      <w:pPr>
        <w:ind w:left="1620" w:right="20" w:hanging="375"/>
        <w:spacing w:after="0" w:line="251"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480"/>
          </w:cols>
          <w:pgMar w:left="320" w:top="419" w:right="10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620" w:hanging="375"/>
        <w:spacing w:after="0" w:line="253" w:lineRule="auto"/>
        <w:tabs>
          <w:tab w:leader="none" w:pos="16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 Galleri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our products in development. Specifically, as of March 31, 2024, we have exclusive licenses to approximately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2" w:lineRule="exact"/>
        <w:rPr>
          <w:rFonts w:ascii="Times New Roman" w:cs="Times New Roman" w:eastAsia="Times New Roman" w:hAnsi="Times New Roman"/>
          <w:sz w:val="16"/>
          <w:szCs w:val="16"/>
          <w:color w:val="auto"/>
        </w:rPr>
      </w:pPr>
    </w:p>
    <w:p>
      <w:pPr>
        <w:ind w:left="1620" w:right="20" w:hanging="375"/>
        <w:spacing w:after="0" w:line="256" w:lineRule="auto"/>
        <w:tabs>
          <w:tab w:leader="none" w:pos="16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620" w:right="20" w:hanging="375"/>
        <w:spacing w:after="0" w:line="252"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620" w:right="60" w:hanging="375"/>
        <w:spacing w:after="0" w:line="250"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FDA approval and reimbursement and coverage from payors. </w:t>
      </w:r>
      <w:r>
        <w:rPr>
          <w:rFonts w:ascii="Times New Roman" w:cs="Times New Roman" w:eastAsia="Times New Roman" w:hAnsi="Times New Roman"/>
          <w:sz w:val="16"/>
          <w:szCs w:val="16"/>
          <w:color w:val="auto"/>
        </w:rPr>
        <w:t>Our ability to impact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broader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for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w:t>
      </w:r>
    </w:p>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460"/>
          </w:cols>
          <w:pgMar w:left="320" w:top="419" w:right="11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40"/>
        <w:spacing w:after="0" w:line="253" w:lineRule="auto"/>
        <w:rPr>
          <w:sz w:val="20"/>
          <w:szCs w:val="20"/>
          <w:color w:val="auto"/>
        </w:rPr>
      </w:pPr>
      <w:r>
        <w:rPr>
          <w:rFonts w:ascii="Times New Roman" w:cs="Times New Roman" w:eastAsia="Times New Roman" w:hAnsi="Times New Roman"/>
          <w:sz w:val="16"/>
          <w:szCs w:val="16"/>
          <w:color w:val="auto"/>
        </w:rPr>
        <w:t>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0" w:lineRule="exact"/>
        <w:rPr>
          <w:sz w:val="20"/>
          <w:szCs w:val="20"/>
          <w:color w:val="auto"/>
        </w:rPr>
      </w:pPr>
    </w:p>
    <w:p>
      <w:pPr>
        <w:ind w:left="1620" w:hanging="375"/>
        <w:spacing w:after="0" w:line="252"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Oncology</w:t>
      </w:r>
      <w:r>
        <w:rPr>
          <w:rFonts w:ascii="Times New Roman" w:cs="Times New Roman" w:eastAsia="Times New Roman" w:hAnsi="Times New Roman"/>
          <w:sz w:val="16"/>
          <w:szCs w:val="16"/>
          <w:color w:val="auto"/>
        </w:rPr>
        <w:t>. We have also presented our data in more than 20 podium and 190 poster presentations at renowned medical conferences,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620" w:right="60" w:hanging="375"/>
        <w:spacing w:after="0" w:line="250"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 methylation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non-inferiority studies using clinical study data and real world evidence data obtained through Galleri’s current commercial use and bridging studies agreed upon with regulatory authorities. We will continue to improve our technologies and launch innovative products across the cancer care continuum.</w:t>
      </w:r>
    </w:p>
    <w:p>
      <w:pPr>
        <w:spacing w:after="0" w:line="89" w:lineRule="exact"/>
        <w:rPr>
          <w:rFonts w:ascii="Times New Roman" w:cs="Times New Roman" w:eastAsia="Times New Roman" w:hAnsi="Times New Roman"/>
          <w:sz w:val="16"/>
          <w:szCs w:val="16"/>
          <w:color w:val="auto"/>
        </w:rPr>
      </w:pPr>
    </w:p>
    <w:p>
      <w:pPr>
        <w:ind w:left="1620" w:hanging="375"/>
        <w:spacing w:after="0" w:line="272" w:lineRule="auto"/>
        <w:tabs>
          <w:tab w:leader="none" w:pos="162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480"/>
          </w:cols>
          <w:pgMar w:left="320" w:top="419" w:right="10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1640" w:right="260"/>
        <w:spacing w:after="0" w:line="263" w:lineRule="auto"/>
        <w:rPr>
          <w:sz w:val="20"/>
          <w:szCs w:val="20"/>
          <w:color w:val="auto"/>
        </w:rPr>
      </w:pPr>
      <w:r>
        <w:rPr>
          <w:rFonts w:ascii="Times New Roman" w:cs="Times New Roman" w:eastAsia="Times New Roman" w:hAnsi="Times New Roman"/>
          <w:sz w:val="16"/>
          <w:szCs w:val="16"/>
          <w:color w:val="auto"/>
        </w:rPr>
        <w:t>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1" w:lineRule="exact"/>
        <w:rPr>
          <w:sz w:val="20"/>
          <w:szCs w:val="20"/>
          <w:color w:val="auto"/>
        </w:rPr>
      </w:pPr>
    </w:p>
    <w:p>
      <w:pPr>
        <w:ind w:left="1620" w:right="60" w:hanging="375"/>
        <w:spacing w:after="0" w:line="256" w:lineRule="auto"/>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Improving Cancer Care</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Burden of Cancer and the Benefits of Earlier Detection</w:t>
      </w:r>
    </w:p>
    <w:p>
      <w:pPr>
        <w:spacing w:after="0" w:line="106" w:lineRule="exact"/>
        <w:rPr>
          <w:sz w:val="20"/>
          <w:szCs w:val="20"/>
          <w:color w:val="auto"/>
        </w:rPr>
      </w:pPr>
    </w:p>
    <w:p>
      <w:pPr>
        <w:ind w:left="760" w:right="140" w:firstLine="388"/>
        <w:spacing w:after="0" w:line="276" w:lineRule="auto"/>
        <w:rPr>
          <w:sz w:val="20"/>
          <w:szCs w:val="20"/>
          <w:color w:val="auto"/>
        </w:rPr>
      </w:pPr>
      <w:r>
        <w:rPr>
          <w:rFonts w:ascii="Times New Roman" w:cs="Times New Roman" w:eastAsia="Times New Roman" w:hAnsi="Times New Roman"/>
          <w:sz w:val="15"/>
          <w:szCs w:val="15"/>
          <w:color w:val="auto"/>
        </w:rPr>
        <w:t xml:space="preserve">Cancer is the second leading cause of death in both the United States and worldwide, with more than 19 million new cases and 10 million deaths globally in 2020. This burden is expected to grow as the global population ages. According to the data in the American Cancer Society’s </w:t>
      </w:r>
      <w:r>
        <w:rPr>
          <w:rFonts w:ascii="Times New Roman" w:cs="Times New Roman" w:eastAsia="Times New Roman" w:hAnsi="Times New Roman"/>
          <w:sz w:val="15"/>
          <w:szCs w:val="15"/>
          <w:i w:val="1"/>
          <w:iCs w:val="1"/>
          <w:color w:val="auto"/>
        </w:rPr>
        <w:t>Cancer Facts</w:t>
      </w:r>
    </w:p>
    <w:p>
      <w:pPr>
        <w:spacing w:after="0" w:line="1" w:lineRule="exact"/>
        <w:rPr>
          <w:sz w:val="20"/>
          <w:szCs w:val="20"/>
          <w:color w:val="auto"/>
        </w:rPr>
      </w:pPr>
    </w:p>
    <w:p>
      <w:pPr>
        <w:ind w:left="760" w:firstLine="9"/>
        <w:spacing w:after="0" w:line="250" w:lineRule="auto"/>
        <w:tabs>
          <w:tab w:leader="none" w:pos="923" w:val="left"/>
        </w:tabs>
        <w:numPr>
          <w:ilvl w:val="0"/>
          <w:numId w:val="1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Figures 2024</w:t>
      </w:r>
      <w:r>
        <w:rPr>
          <w:rFonts w:ascii="Times New Roman" w:cs="Times New Roman" w:eastAsia="Times New Roman" w:hAnsi="Times New Roman"/>
          <w:sz w:val="16"/>
          <w:szCs w:val="16"/>
          <w:color w:val="auto"/>
        </w:rPr>
        <w:t>, there will be approximately 2.0 million new cancer cases and 611,000 cancer deaths in the United States in 2024. An analysis published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AACR’s Cancer Epidemiology, Biomarkers and Prevention Journal (Cancer Epidemiol Biomarkers Prev. 2020; 29(7):1304–1312)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Times New Roman" w:cs="Times New Roman" w:eastAsia="Times New Roman" w:hAnsi="Times New Roman"/>
          <w:sz w:val="16"/>
          <w:szCs w:val="16"/>
          <w:i w:val="1"/>
          <w:iCs w:val="1"/>
          <w:color w:val="auto"/>
        </w:rPr>
        <w:t>JAMA Oncology</w:t>
      </w:r>
      <w:r>
        <w:rPr>
          <w:rFonts w:ascii="Times New Roman" w:cs="Times New Roman" w:eastAsia="Times New Roman" w:hAnsi="Times New Roman"/>
          <w:sz w:val="16"/>
          <w:szCs w:val="16"/>
          <w:color w:val="auto"/>
        </w:rPr>
        <w:t xml:space="preserve"> in February 2023 (JAMA Oncol. 2023; 9(4):465–472), it is estimated that the global economic cost of cancer from 2020 to 2050 will be approximately $25 trillion.</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cs="Times New Roman" w:eastAsia="Times New Roman" w:hAnsi="Times New Roman"/>
          <w:sz w:val="16"/>
          <w:szCs w:val="16"/>
          <w:i w:val="1"/>
          <w:iCs w:val="1"/>
          <w:color w:val="auto"/>
        </w:rPr>
        <w:t>Cancer Epidemiology, Biomarkers &amp; Prevention Journal</w:t>
      </w:r>
      <w:r>
        <w:rPr>
          <w:rFonts w:ascii="Times New Roman" w:cs="Times New Roman" w:eastAsia="Times New Roman" w:hAnsi="Times New Roman"/>
          <w:sz w:val="16"/>
          <w:szCs w:val="16"/>
          <w:color w:val="auto"/>
        </w:rPr>
        <w:t xml:space="preserve"> in May 2020 (Cancer Epidemiol Biomarkers Prev. 2020; 29 (5): 895–902.</w:t>
      </w:r>
    </w:p>
    <w:p>
      <w:pPr>
        <w:spacing w:after="0" w:line="166" w:lineRule="exact"/>
        <w:rPr>
          <w:sz w:val="20"/>
          <w:szCs w:val="20"/>
          <w:color w:val="auto"/>
        </w:rPr>
      </w:pPr>
    </w:p>
    <w:p>
      <w:pPr>
        <w:ind w:left="760" w:right="140" w:firstLine="388"/>
        <w:spacing w:after="0" w:line="256" w:lineRule="auto"/>
        <w:rPr>
          <w:sz w:val="20"/>
          <w:szCs w:val="20"/>
          <w:color w:val="auto"/>
        </w:rPr>
      </w:pPr>
      <w:r>
        <w:rPr>
          <w:rFonts w:ascii="Times New Roman" w:cs="Times New Roman" w:eastAsia="Times New Roman" w:hAnsi="Times New Roman"/>
          <w:sz w:val="16"/>
          <w:szCs w:val="16"/>
          <w:color w:val="auto"/>
        </w:rPr>
        <w:t xml:space="preserve">Treatment costs increase by stage across all cancers, and, according to an article published in the </w:t>
      </w:r>
      <w:r>
        <w:rPr>
          <w:rFonts w:ascii="Times New Roman" w:cs="Times New Roman" w:eastAsia="Times New Roman" w:hAnsi="Times New Roman"/>
          <w:sz w:val="16"/>
          <w:szCs w:val="16"/>
          <w:i w:val="1"/>
          <w:iCs w:val="1"/>
          <w:color w:val="auto"/>
        </w:rPr>
        <w:t>Journal of the National Comprehensive 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Network </w:t>
      </w:r>
      <w:r>
        <w:rPr>
          <w:rFonts w:ascii="Times New Roman" w:cs="Times New Roman" w:eastAsia="Times New Roman" w:hAnsi="Times New Roman"/>
          <w:sz w:val="16"/>
          <w:szCs w:val="16"/>
          <w:color w:val="auto"/>
        </w:rPr>
        <w:t>in April 2018, (J Natl Compr. Canc. Netw. 2018 Apr; 16(4):402–410), treating cancers that are in more advanced stages can be up to two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four times more costly than treating cancers at earlier stages. In addition, an analysis published in Data (Data. 2017; 2(30):2–16) estimated that diagnosing cancer early could result in $26 billion (approximately 17% of total treatment costs) in annual cancer treatment cost-savings in the United States.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Cancer Screening Today and Limitations of the Current Cancer Screening Paradigm</w:t>
      </w:r>
    </w:p>
    <w:p>
      <w:pPr>
        <w:spacing w:after="0" w:line="106" w:lineRule="exact"/>
        <w:rPr>
          <w:sz w:val="20"/>
          <w:szCs w:val="20"/>
          <w:color w:val="auto"/>
        </w:rPr>
      </w:pPr>
    </w:p>
    <w:p>
      <w:pPr>
        <w:ind w:left="760" w:right="60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we consider standard of care screening for cancer to consist of the grade A and B recommendations published by the USPSTF, which currently recommend broad population screening for only</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80"/>
          </w:cols>
          <w:pgMar w:left="320" w:top="419" w:right="10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spacing w:after="0" w:line="263" w:lineRule="auto"/>
        <w:rPr>
          <w:sz w:val="20"/>
          <w:szCs w:val="20"/>
          <w:color w:val="auto"/>
        </w:rPr>
      </w:pPr>
      <w:r>
        <w:rPr>
          <w:rFonts w:ascii="Times New Roman" w:cs="Times New Roman" w:eastAsia="Times New Roman" w:hAnsi="Times New Roman"/>
          <w:sz w:val="16"/>
          <w:szCs w:val="16"/>
          <w:color w:val="auto"/>
        </w:rPr>
        <w:t>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w:t>
      </w:r>
    </w:p>
    <w:p>
      <w:pPr>
        <w:spacing w:after="0" w:line="15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First, existing standard of care screening is limited to a minority of cancers. For the majority of cancer types, there are no recommended screening guidelines or no screening tests exist. Only 14% of cancers in the United States are diagnosed through screening, according to NORC at the University of Chicago. We estimate that more than 60% of cancer deaths result from cancers that have no recommended screening guidelines. For example, according to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Additional analyses that take into account compliance with screening rates have estimated that more than 80% of cancer deaths may be from unscreened cancers. Many patients are diagnosed when presenting with symptoms, by which time these cancers may be advanced and harder to treat. Additionally, we estimate that asymptomatic individuals undertaking a standard of care screening test are many times more likely to have a different type of cancer than the cancer type for which they are being screened. For example, we supported the publication of a letter, Multi-cancer early detection: A new paradigm for reducing cancer-specific and all-cause mortality,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in April 2021, which included an analysis of cancer incidence and mortality rates available from SEER. This analysis examined the USPSTF’s recommended screening for the general population—biennial mammography for women aged 50-74, cervical cancer screening for women aged 21-64, and colorectal cancer screening for persons aged 50-79—and quantified for each of these target populations the rates of incidence and death due to cancers other than the one being screened. This analysis found that asymptomatic individuals undertaking a standard of care screening test are between 2-24x more likely to have a different type of cancer than the cancer type for which they are being screened.</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Third, we believe single-cancer screening tests are also unlikely to be developed for detecting less common cancers, which we estimate account for a majority of all cancer deaths in the United States, based on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regarding estimated new cancer cases and cancer deaths. In many instances, we believe the incidence of such cancers is too low to undertake the required clinical studies. For example,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categorizes cancer cases by 46 sites in the human body, with cancers at more than half of these sites expected to result in less than 10,000 deaths in 2024. Additionally, achieving cost effectiveness for a test for a less common cancer type would be challenging. Developing single-cancer screening tests for individual cancer types with lower incidence presents significant logistical burdens and expense.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60"/>
          </w:cols>
          <w:pgMar w:left="320" w:top="419" w:right="11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Opportunity for Multi-Cancer Early Detection</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believe a population-scale, MCED screening test will help address these limitations of the current cancer screening paradigm and can be a powerful tool to reduce the burden of cancer.</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How to Measure Performance of a Population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a number of measures of performance for cancer screening tests.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150495</wp:posOffset>
            </wp:positionV>
            <wp:extent cx="4194175" cy="2206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419417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w:t>
      </w:r>
    </w:p>
    <w:p>
      <w:pPr>
        <w:spacing w:after="0" w:line="14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Rather than sensitivity, we believe that the two most appropriate metrics for evaluating the effectiveness of an MCED test screening at population-scale are PPV, which incorporates both sensitivity and specificity, and 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w:t>
      </w:r>
    </w:p>
    <w:p>
      <w:pPr>
        <w:spacing w:after="0" w:line="132"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a condition like cancer that has a low prevalence in the population, PPV is significantly impacted by prevalence and specificity, such that PPV increases with the prevalence of cancer in the population and with the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460"/>
          </w:cols>
          <w:pgMar w:left="320" w:top="419" w:right="11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specificity. This is because in diseases, like cancer, with low prevalence, the population without cancer will be much larger and therefore small changes in specificity will result in relatively large changes in the number of 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117475</wp:posOffset>
            </wp:positionV>
            <wp:extent cx="3619500" cy="3355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361950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Requirements of a Population-Scale MCED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the following features are essential for an MCED test to be accepted as a broad-based screening test in asymptomatic populations:</w:t>
      </w:r>
    </w:p>
    <w:p>
      <w:pPr>
        <w:spacing w:after="0" w:line="112" w:lineRule="exact"/>
        <w:rPr>
          <w:sz w:val="20"/>
          <w:szCs w:val="20"/>
          <w:color w:val="auto"/>
        </w:rPr>
      </w:pPr>
    </w:p>
    <w:p>
      <w:pPr>
        <w:ind w:left="1620" w:right="140" w:hanging="375"/>
        <w:spacing w:after="0" w:line="281"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identify a broad range of cancer types</w:t>
      </w:r>
      <w:r>
        <w:rPr>
          <w:rFonts w:ascii="Times New Roman" w:cs="Times New Roman" w:eastAsia="Times New Roman" w:hAnsi="Times New Roman"/>
          <w:sz w:val="16"/>
          <w:szCs w:val="16"/>
          <w:color w:val="auto"/>
        </w:rPr>
        <w:t>: An MCED test should identify many cancer types to maximize the absolute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clinically significant cancer cases detected in a population and yield.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380"/>
          </w:cols>
          <w:pgMar w:left="320" w:top="419" w:right="11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620" w:right="300" w:hanging="375"/>
        <w:spacing w:after="0" w:line="264"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PPV and low false positive rate</w:t>
      </w:r>
      <w:r>
        <w:rPr>
          <w:rFonts w:ascii="Times New Roman" w:cs="Times New Roman" w:eastAsia="Times New Roman" w:hAnsi="Times New Roman"/>
          <w:sz w:val="16"/>
          <w:szCs w:val="16"/>
          <w:color w:val="auto"/>
        </w:rPr>
        <w:t>: An MCED test should have a high PPV and low false positive rate to help maximize physician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confidence in a positive test result, drive a sense of urgency to perform confirmatory diagnostic workups, and minimize the number of unnecessary workups in a population.</w:t>
      </w:r>
    </w:p>
    <w:p>
      <w:pPr>
        <w:spacing w:after="0" w:line="71" w:lineRule="exact"/>
        <w:rPr>
          <w:rFonts w:ascii="Times New Roman" w:cs="Times New Roman" w:eastAsia="Times New Roman" w:hAnsi="Times New Roman"/>
          <w:sz w:val="16"/>
          <w:szCs w:val="16"/>
          <w:color w:val="auto"/>
        </w:rPr>
      </w:pPr>
    </w:p>
    <w:p>
      <w:pPr>
        <w:ind w:left="1620" w:right="360" w:hanging="375"/>
        <w:spacing w:after="0" w:line="281"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predict with high accuracy the cancer signal origin and direct diagnostic workup</w:t>
      </w:r>
      <w:r>
        <w:rPr>
          <w:rFonts w:ascii="Times New Roman" w:cs="Times New Roman" w:eastAsia="Times New Roman" w:hAnsi="Times New Roman"/>
          <w:sz w:val="16"/>
          <w:szCs w:val="16"/>
          <w:color w:val="auto"/>
        </w:rPr>
        <w:t>: An MCED test should predict the cancer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 origin with high accuracy to facilitate efficient diagnostic workups.</w:t>
      </w:r>
    </w:p>
    <w:p>
      <w:pPr>
        <w:spacing w:after="0" w:line="57" w:lineRule="exact"/>
        <w:rPr>
          <w:rFonts w:ascii="Times New Roman" w:cs="Times New Roman" w:eastAsia="Times New Roman" w:hAnsi="Times New Roman"/>
          <w:sz w:val="16"/>
          <w:szCs w:val="16"/>
          <w:color w:val="auto"/>
        </w:rPr>
      </w:pPr>
    </w:p>
    <w:p>
      <w:pPr>
        <w:jc w:val="both"/>
        <w:ind w:left="1620" w:right="40" w:hanging="375"/>
        <w:spacing w:after="0" w:line="264"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Backed by robust analytical and clinical performance</w:t>
      </w:r>
      <w:r>
        <w:rPr>
          <w:rFonts w:ascii="Times New Roman" w:cs="Times New Roman" w:eastAsia="Times New Roman" w:hAnsi="Times New Roman"/>
          <w:sz w:val="16"/>
          <w:szCs w:val="16"/>
          <w:color w:val="auto"/>
        </w:rPr>
        <w:t>: An MCED test should be rigorously validated to account for non-cancer biological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signals and the underlying heterogeneity of populations without cancer. We believe clinical validation should be performed using a locked assay and classifier and should be analyzed in case-control and intended-use populations.</w:t>
      </w:r>
    </w:p>
    <w:p>
      <w:pPr>
        <w:spacing w:after="0" w:line="71" w:lineRule="exact"/>
        <w:rPr>
          <w:rFonts w:ascii="Times New Roman" w:cs="Times New Roman" w:eastAsia="Times New Roman" w:hAnsi="Times New Roman"/>
          <w:sz w:val="16"/>
          <w:szCs w:val="16"/>
          <w:color w:val="auto"/>
        </w:rPr>
      </w:pPr>
    </w:p>
    <w:p>
      <w:pPr>
        <w:ind w:left="1620" w:right="280" w:hanging="375"/>
        <w:spacing w:after="0" w:line="264"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limit overdiagnosis of indolent cancers</w:t>
      </w:r>
      <w:r>
        <w:rPr>
          <w:rFonts w:ascii="Times New Roman" w:cs="Times New Roman" w:eastAsia="Times New Roman" w:hAnsi="Times New Roman"/>
          <w:sz w:val="16"/>
          <w:szCs w:val="16"/>
          <w:color w:val="auto"/>
        </w:rPr>
        <w:t>: An MCED test should preferentially detect the cancers most likely to result in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aggressive and clinically significant cancers warranting treatment, and should not result in overdiagnosis of more indolent cancers.</w:t>
      </w:r>
    </w:p>
    <w:p>
      <w:pPr>
        <w:spacing w:after="0" w:line="71" w:lineRule="exact"/>
        <w:rPr>
          <w:rFonts w:ascii="Times New Roman" w:cs="Times New Roman" w:eastAsia="Times New Roman" w:hAnsi="Times New Roman"/>
          <w:sz w:val="16"/>
          <w:szCs w:val="16"/>
          <w:color w:val="auto"/>
        </w:rPr>
      </w:pPr>
    </w:p>
    <w:p>
      <w:pPr>
        <w:ind w:left="1620" w:hanging="375"/>
        <w:spacing w:after="0" w:line="259"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Application to a diverse population</w:t>
      </w:r>
      <w:r>
        <w:rPr>
          <w:rFonts w:ascii="Times New Roman" w:cs="Times New Roman" w:eastAsia="Times New Roman" w:hAnsi="Times New Roman"/>
          <w:sz w:val="16"/>
          <w:szCs w:val="16"/>
          <w:color w:val="auto"/>
        </w:rPr>
        <w:t>: An MCED test should be built on a comprehensive evidence program that supports implementation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w:t>
      </w:r>
    </w:p>
    <w:p>
      <w:pPr>
        <w:spacing w:after="0" w:line="74" w:lineRule="exact"/>
        <w:rPr>
          <w:rFonts w:ascii="Times New Roman" w:cs="Times New Roman" w:eastAsia="Times New Roman" w:hAnsi="Times New Roman"/>
          <w:sz w:val="16"/>
          <w:szCs w:val="16"/>
          <w:color w:val="auto"/>
        </w:rPr>
      </w:pPr>
    </w:p>
    <w:p>
      <w:pPr>
        <w:ind w:left="1620" w:hanging="375"/>
        <w:spacing w:after="0" w:line="281"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to standard of care screenings</w:t>
      </w:r>
      <w:r>
        <w:rPr>
          <w:rFonts w:ascii="Times New Roman" w:cs="Times New Roman" w:eastAsia="Times New Roman" w:hAnsi="Times New Roman"/>
          <w:sz w:val="16"/>
          <w:szCs w:val="16"/>
          <w:color w:val="auto"/>
        </w:rPr>
        <w:t>: An MCED test should serve as a complement to, not a replacement for, current standard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screening tests so as not to discourage adherence to existing USPSTF guidelines.</w:t>
      </w:r>
    </w:p>
    <w:p>
      <w:pPr>
        <w:spacing w:after="0" w:line="57" w:lineRule="exact"/>
        <w:rPr>
          <w:rFonts w:ascii="Times New Roman" w:cs="Times New Roman" w:eastAsia="Times New Roman" w:hAnsi="Times New Roman"/>
          <w:sz w:val="16"/>
          <w:szCs w:val="16"/>
          <w:color w:val="auto"/>
        </w:rPr>
      </w:pPr>
    </w:p>
    <w:p>
      <w:pPr>
        <w:ind w:left="1620" w:right="120" w:hanging="375"/>
        <w:spacing w:after="0" w:line="281" w:lineRule="auto"/>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Simple to implement and access</w:t>
      </w:r>
      <w:r>
        <w:rPr>
          <w:rFonts w:ascii="Times New Roman" w:cs="Times New Roman" w:eastAsia="Times New Roman" w:hAnsi="Times New Roman"/>
          <w:sz w:val="16"/>
          <w:szCs w:val="16"/>
          <w:color w:val="auto"/>
        </w:rPr>
        <w:t>: An MCED test should be easy to implement in clinical practice and reduce or avoid common barriers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screening such as requirements for access to specialized equipment.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Products: Galleri and Beyond</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Multi-Cancer Early Detection Test: Galleri</w:t>
      </w:r>
    </w:p>
    <w:p>
      <w:pPr>
        <w:spacing w:after="0" w:line="106"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Our commercially available multi-cancer early detection screening test, Galleri, is transforming cancer care and has the potential to unlock substantial improvements in cancer detection and mortality.</w:t>
      </w:r>
    </w:p>
    <w:p>
      <w:pPr>
        <w:spacing w:after="0" w:line="14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Galleri has demonstrated an ability to predict the location of the suspected cancer with high accuracy (88%), and high PPVs and low false positive rates. For additional information, see “Business—Our Clinical Studies.” Galleri screening test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 this real-world setting, Galleri has detected deadly cancers in early stages. Our test has been deployed across healthcare systems, employers, payors, and life insurance providers, and for additional at-risk groups such as first responders, including firefighters, and continues to unlock the promise of early cancer detection.</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440"/>
          </w:cols>
          <w:pgMar w:left="320" w:top="419" w:right="11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developed Galleri with the following critical features necessary to address the requirements of a population-scale MCED screening test:</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identify a broad range of cancer types</w:t>
      </w:r>
    </w:p>
    <w:p>
      <w:pPr>
        <w:spacing w:after="0" w:line="102"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High PPV and low false positive rate</w:t>
      </w:r>
    </w:p>
    <w:p>
      <w:pPr>
        <w:spacing w:after="0" w:line="10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130175</wp:posOffset>
            </wp:positionV>
            <wp:extent cx="4526280" cy="254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452628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60"/>
          </w:cols>
          <w:pgMar w:left="320" w:top="419" w:right="11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PPVs and number of false positives associated with the current standard of care screening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127635</wp:posOffset>
            </wp:positionV>
            <wp:extent cx="4496435" cy="37484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449643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predict with high accuracy the cancer signal origin and direct diagnostic workup</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our PATHFINDER study, Galleri demonstrated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80"/>
          </w:cols>
          <w:pgMar w:left="320" w:top="419" w:right="10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Backed by robust analytical and clinical performance</w:t>
      </w:r>
    </w:p>
    <w:p>
      <w:pPr>
        <w:spacing w:after="0" w:line="102"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Galleri screening test performance is validated by extensive clinical studies. We have established a broad population-scale clinical evidence program, including the more than 21,000 participants included in the studies that supported the development and launch of Galleri. We believe we established clinical validation using a locked assay and classifier in case-control and intended-use populations. A locked assay means that the assay and classifier are fully specified, with no further adjustments.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 cancer) and a group of “controls”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we were able to translate performance from our foundational case control CCGA study to our interventional PATHFINDER study. We have shared evidence supporting Galleri’s performance at renowned medical conferences and published results from our studies in leading scientific and medical journals.</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limit overdiagnosis of indolent cancers</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440"/>
          </w:cols>
          <w:pgMar w:left="320" w:top="419" w:right="11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181610</wp:posOffset>
            </wp:positionV>
            <wp:extent cx="4488815" cy="3211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4488815"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Application to a diverse population</w:t>
      </w:r>
    </w:p>
    <w:p>
      <w:pPr>
        <w:spacing w:after="0" w:line="102"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480"/>
          </w:cols>
          <w:pgMar w:left="320" w:top="419" w:right="10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Complementary to standard of care screenings</w:t>
      </w:r>
    </w:p>
    <w:p>
      <w:pPr>
        <w:spacing w:after="0" w:line="102" w:lineRule="exact"/>
        <w:rPr>
          <w:sz w:val="20"/>
          <w:szCs w:val="20"/>
          <w:color w:val="auto"/>
        </w:rPr>
      </w:pPr>
    </w:p>
    <w:p>
      <w:pPr>
        <w:jc w:val="both"/>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To estimate the potential impact of early cancer detection and mortality reduction, we developed and published a cancer epidemiology forecast model. In 2021, we published modeling data in </w:t>
      </w:r>
      <w:r>
        <w:rPr>
          <w:rFonts w:ascii="Times New Roman" w:cs="Times New Roman" w:eastAsia="Times New Roman" w:hAnsi="Times New Roman"/>
          <w:sz w:val="16"/>
          <w:szCs w:val="16"/>
          <w:i w:val="1"/>
          <w:iCs w:val="1"/>
          <w:color w:val="auto"/>
        </w:rPr>
        <w:t>Cancer Epidemiology, Biomarkers &amp; Prevention</w:t>
      </w:r>
      <w:r>
        <w:rPr>
          <w:rFonts w:ascii="Times New Roman" w:cs="Times New Roman" w:eastAsia="Times New Roman" w:hAnsi="Times New Roman"/>
          <w:sz w:val="16"/>
          <w:szCs w:val="16"/>
          <w:color w:val="auto"/>
        </w:rPr>
        <w:t xml:space="preserve"> (Cancer Epidemiol Biomarkers Prev. 2021; 30:460–8) that estimated the potential impact of MCED testing on mortality reduction based on test performance in our CCGA-2 study and using 2006 to 2015 SEER data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or 39% of the five-year deaths expected if not for early detection by Galleri.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450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4488815"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Simple to implement and access</w:t>
      </w:r>
    </w:p>
    <w:p>
      <w:pPr>
        <w:spacing w:after="0" w:line="102"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40"/>
          </w:cols>
          <w:pgMar w:left="320" w:top="419" w:right="11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Support Services for Physicians that Drive a Positive Patient Experience</w:t>
      </w:r>
    </w:p>
    <w:p>
      <w:pPr>
        <w:spacing w:after="0" w:line="104"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w:t>
      </w:r>
    </w:p>
    <w:p>
      <w:pPr>
        <w:spacing w:after="0" w:line="158"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00"/>
          </w:cols>
          <w:pgMar w:left="320" w:top="419" w:right="11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image below depicts an illustrative cancer signal detected test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150495</wp:posOffset>
            </wp:positionV>
            <wp:extent cx="2773045" cy="3748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277304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Investment to Enhance Versions of Tests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 New products, including enhanced versions of current products, will require the completion of certain clinical development and regulatory activities, such as non-inferiority studies using clinical study data and real world evidence data obtained through Galleri’s current commercial use and bridging studies to measure and evaluate concordance, performance and safety of a subsequent, enhanced version of our product versus the relevant existing product. Any bridging study may use previously collected clinical study data and other samples, and will need to be agreed upon with regulatory authorities. If these efforts are unsuccessful or insufficient to facilitate the development and commercialization of enhanced versions of our existing products,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80"/>
          </w:cols>
          <w:pgMar w:left="320" w:top="419" w:right="10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we would be required to revert to the prior version and forego, or be delayed in, implementing any perceived or potential enhancements. We do not believe these efforts would impact our ability to continue to rely on previously-collected data generated from earlier versions of products or to continue to commercialize the current version of Galleri. See “Risk Factors— Risks Relating to Our Business and Industry—Our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 and “—We may be unable to develop and commercialize new products, including enhanced versions of current products, and enhanced versions may require non-inferiority studies and bridging studies with review and agreement from regulatory bodies prior to launch.”</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Precision Oncology Portfolio</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 To date, we have run more than 6,000 samples in our development services programs across multiple partners.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w:t>
      </w:r>
    </w:p>
    <w:p>
      <w:pPr>
        <w:spacing w:after="0" w:line="166"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80"/>
          </w:cols>
          <w:pgMar w:left="320" w:top="419" w:right="10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40"/>
        <w:spacing w:after="0" w:line="263" w:lineRule="auto"/>
        <w:rPr>
          <w:sz w:val="20"/>
          <w:szCs w:val="20"/>
          <w:color w:val="auto"/>
        </w:rPr>
      </w:pPr>
      <w:r>
        <w:rPr>
          <w:rFonts w:ascii="Times New Roman" w:cs="Times New Roman" w:eastAsia="Times New Roman" w:hAnsi="Times New Roman"/>
          <w:sz w:val="16"/>
          <w:szCs w:val="16"/>
          <w:color w:val="auto"/>
        </w:rPr>
        <w:t>as compared to mutation-based approaches which are known to be confounded by normal biological processes, 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Further, we have validated performance of our technology in an MRD setting, with sensitivity on par with tumor-informed methods. For example, as presented at the American Association of Cancer Research meeting in 2023, GRAIL’s analytical sensitivity is reported as the tumor methylation fraction at which the assay detects 95% of samples (“median LoD95”). Our median LoD95 across participants in 12 different cancer types (breast, colorectal, esophagus, head and neck, kidney, liver/bile duct, lung, ovary, pancreas/gallbladder, sarcoma, stomach, uterus) was 0.023%, which means that above 0.023% tumor methylation fraction the assay detected 95% of samples. As a reference, Natera’s tumor-informed Signatera RUO assay for use in several solid tumor cancers, an MRD test, reported similar analytical validation with greater than 65% sensitivity above 0.03% tumor fraction, meaning that above 0.03% tumor fraction (as measured using single nucleotide variants in an analogous approach to calculating the amount of tumor content in circulation) the assay detected 65% of samples. Above 0.1% the assay reported a 100% sensitivity. Accordingly, we believe our median LoD95 of 0.023% is on par with these results. MRD testing is used in pharmaceutical studies and clinical practice to detect the presence or absence of residual disease and inform treatment decisions, including identifying patients who may be eligible for adjuvant therapy.</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Diagnostic Aid for Cancer Test</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platform was able to detect many cancer types and identify where the cancer signal origin was located in the body.</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Symptomatic detection of cancer is a significant unmet need; we estimate that approximately 16 million patients in the United States present with non-specific signs and symptoms each year. These patients are subject 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460"/>
          </w:cols>
          <w:pgMar w:left="320" w:top="419" w:right="11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Based on our findings in the SYMPLIFY study that included more than 6,200 participants and was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90%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8815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44888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Our DAC test has the potential to be reimbursed as a medical benefit, which is an existing, established coverage pathway in the United States.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 Efforts we have made to develop DAC include measuring DAC performance in our SYMPLIFY study, taking efforts to secure reimbursement, and evaluating commercial launch, including whether to launch prior to reimbursement. In deploying DAC in clinical practice, we expect to leverage our existing commercial salesforce and infrastructure.</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Additional Products in Development</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Methylation Technology Platform</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Origin Story</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460"/>
          </w:cols>
          <w:pgMar w:left="320" w:top="419" w:right="11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Detecting Cancer Signals in the Blood</w:t>
      </w:r>
    </w:p>
    <w:p>
      <w:pPr>
        <w:spacing w:after="0" w:line="106"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 an individual’s genetic mutations can help diagnose and treat cancer (for example, by selecting a therapy known to target a specific mutation or set of mutations), mutations only provide part of the picture that drives the complex biology of cancer.</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w:t>
      </w:r>
    </w:p>
    <w:p>
      <w:pPr>
        <w:spacing w:after="0" w:line="17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 LoD to capture signals that are derived from a tumor versus those from healthy cells in the body, and be able to distinguish this signal from noise in a population of asymptomatic individuals with other confounding conditions and circulating DNA from normal cells.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80"/>
          </w:cols>
          <w:pgMar w:left="320" w:top="419" w:right="10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Proprietary Methylation Platform</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Unbiased Discovery Approach</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w:t>
      </w:r>
    </w:p>
    <w:p>
      <w:pPr>
        <w:spacing w:after="0" w:line="15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40"/>
          </w:cols>
          <w:pgMar w:left="320" w:top="419" w:right="11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in connection with our CCGA study, we discovered highly informative and low noise methylation sites for cancer signal detection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serves as the basis for our Galleri test. Our targeted methylation approach can detect lower levels of cancer signal in blood compared to the other approaches examined, enabling early cancer detection in asymptomatic individuals more efficiently compared to whole-genome methylation. The graphic below shows that our targeted methylation assay had a LoD of approximately 150 parts per million (“PPM”) which is significantly lower than other NGS approaches we assessed. LoD is the tumor fraction (or the estimated fraction of tumor genomes in a cfDNA sample) at which the probability of detecting the cancer is at least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136525</wp:posOffset>
            </wp:positionV>
            <wp:extent cx="4488815" cy="31737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4488815"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w:t>
      </w:r>
    </w:p>
    <w:p>
      <w:pPr>
        <w:spacing w:after="0" w:line="1" w:lineRule="exact"/>
        <w:rPr>
          <w:sz w:val="20"/>
          <w:szCs w:val="20"/>
          <w:color w:val="auto"/>
        </w:rPr>
      </w:pPr>
    </w:p>
    <w:p>
      <w:pPr>
        <w:ind w:left="760" w:right="160"/>
        <w:spacing w:after="0" w:line="251" w:lineRule="auto"/>
        <w:rPr>
          <w:sz w:val="20"/>
          <w:szCs w:val="20"/>
          <w:color w:val="auto"/>
        </w:rPr>
      </w:pPr>
      <w:r>
        <w:rPr>
          <w:rFonts w:ascii="Times New Roman" w:cs="Times New Roman" w:eastAsia="Times New Roman" w:hAnsi="Times New Roman"/>
          <w:sz w:val="16"/>
          <w:szCs w:val="16"/>
          <w:color w:val="auto"/>
        </w:rPr>
        <w:t>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2022 in Cancer Cell (Cancer Cell 40, 1537–1549 December 12, 2022).</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400"/>
          </w:cols>
          <w:pgMar w:left="320" w:top="419" w:right="11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Methylation-based Platform is Highly-Differentiated – Technology Advantages and Validated Performance</w:t>
      </w:r>
    </w:p>
    <w:p>
      <w:pPr>
        <w:spacing w:after="0" w:line="106"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 (“CpG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Clinical Studies</w:t>
      </w:r>
    </w:p>
    <w:p>
      <w:pPr>
        <w:spacing w:after="0" w:line="10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built what we believe is one of the largest clinical programs in genomic medicine, which has generated what we believe is an unprecedented longitudinal dataset of high-quality, linked clinical and genomic data. We are collecting population-scale clinical data from more than 385,000 participants in numerous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 PATHFINDER 2 study and NHS-Galleri Trial are designed to support a PMA submission, with select inclusion criteria (matching the intended use population for Galleri), use of an appropriate assay (developed and commercially available), and enrollment of a sufficient number of participants to facilitate the generation appropriate data and evidence. This design differs from our other studies, such as our CCGA study, which included participants outside of the intended use population for Galleri, and PATHFINDER study, which enrolled fewer participants and utilized an earlier version of Galleri for initial results. Additionally, we announced plans for a 100,000 individual real world study in the Medicare population, with a focus on racial and ethnic minorities and seniors aged 65 and above from under-served communities. The study seeks to compare up to 50,000 prospectively enrolled Medicare beneficiaries who have received usual care plus an annual Galleri test with a matched comparator arm of beneficiaries who receive usual care alone, for up to three annual testing cycles. The study will also include a 50,000-person synthetic control arm. GRAIL is responsible for designing and executing this study and is planning to work with leading health care systems across the country and other key partners over the next few years. Our studies have supported the development of our methylation platform, Galleri, and are facilitating the development of DAC. These foundational population-scale studies involve partnerships with numerous leading academic and cancer</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80"/>
          </w:cols>
          <w:pgMar w:left="320" w:top="419" w:right="10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78" w:lineRule="auto"/>
        <w:rPr>
          <w:sz w:val="20"/>
          <w:szCs w:val="20"/>
          <w:color w:val="auto"/>
        </w:rPr>
      </w:pPr>
      <w:r>
        <w:rPr>
          <w:rFonts w:ascii="Times New Roman" w:cs="Times New Roman" w:eastAsia="Times New Roman" w:hAnsi="Times New Roman"/>
          <w:sz w:val="16"/>
          <w:szCs w:val="16"/>
          <w:color w:val="auto"/>
        </w:rPr>
        <w:t>institutions and large community networks, including, among others, the Cleveland Clinic, Dana-Farber Cancer Institute, Guardian Research Network, Kettering Health, Mayo Clinic, Sutter Health, and the US Oncology Network.</w:t>
      </w:r>
    </w:p>
    <w:p>
      <w:pPr>
        <w:spacing w:after="0" w:line="14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clinical studies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150495</wp:posOffset>
            </wp:positionV>
            <wp:extent cx="4564380" cy="2191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4564380"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 Galleri-Medicare Study by the third quarter of 2024.</w:t>
      </w:r>
    </w:p>
    <w:p>
      <w:pPr>
        <w:spacing w:after="0" w:line="165"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have presented data and published results from our clinical studies in leading forums, including multiple major medical conferences, such as AACR, ASCO, and ESMO, and leading journals, such as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Data from our studies is expected to support regulatory filings as we pursue PMA approval.</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00"/>
          </w:cols>
          <w:pgMar w:left="320" w:top="419" w:right="11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NHS-Galleri</w:t>
      </w:r>
    </w:p>
    <w:p>
      <w:pPr>
        <w:spacing w:after="0" w:line="106"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Funding for the trial is provided by us. Collaborators include Queen Mary University of London, Kings College London Cancer Prevention Trials Unit, and NHS England, and, based on reviews by the Independent Data Monitoring Committee, the benefit and risk analysis of the trial remains unchanged. These collaborations are subject to terms generally consistent with industry sponsored studies, provided that our arrangement with NHS includes the framework for a two year commercial implementation pilot that the NHS determined not to pursue. The NHS-Galleri Trial is being conducted pursuant to an FDA-approved investigational device exemption (“IDE”) application. 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 with Galleri, and attitudes regarding standard of care screening. The trial aimed to enroll a representative population sample to promote health equity and was fully enrolled in just over 10 months. The NHS previously evaluated results of an early analysis from the first screening test (the prevalent screening round) in the NHS-Galleri Trial to determine whether the results were compelling enough to commence an implementation pilot prior to the final trial results. The results of this early analysis represented limited information from only one year of results out of the three-year trial period. In May 2024, the NHS determined not to initiate the pilot until the final trial results are available. As a result, the NHS will evaluate the final results from the NHS-Galleri Trial, which are expected to be available in 2026, before determining whether to implement the Galleri test in the NHS. We seek to use data from the NHS-Galleri Trial, together with data from our PATHFINDER 2 study, as well as supplemental data from other clinical studies, to support our planned PMA submission for Galleri in the United States.</w:t>
      </w:r>
    </w:p>
    <w:p>
      <w:pPr>
        <w:spacing w:after="0" w:line="35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460"/>
          </w:cols>
          <w:pgMar w:left="320" w:top="419" w:right="11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NHS-Galleri Trial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834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448881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 2</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 As of March 31, 2024, we had enrolled over 30,000 participants in the study. Funding for PATHFINDER 2 is provided by us. Collaborators include, among others, the Cleveland Clinic, Duke Health, Henry Ford Health System, Mayo Clinic, Memorial Care, Sutter Health, and the US Oncology Network, and based on reviews by the Data Safety Monitoring Committee, no serious adverse events have been identified. These collaborations are subject to terms generally consistent with industry sponsored studies.</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false positive) and to evaluate the performance of Galleri across various measures, including PPV, NPV, sensitivity, specificity, and 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 resolution for positive test results. A planned analysis from the study is expected to be submitted as part of our PMA submission to the FDA. We seek to use data from the PATHFINDER 2 study, together with data from the NHS-Galleri Trial, as well as supplemental data from other clinical studies, to support our planned PMA submission for Galleri in the United States.</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480"/>
          </w:cols>
          <w:pgMar w:left="320" w:top="419" w:right="10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2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7127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448881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December 2019, we initiated PATHFINDER, a prospective, multi-center, interventional study evaluating an earlier version of Galleri in clinical practice. The study enrolled 6,662 participants across several health systems in the United States. Funding for PATHFINDER was provided by us. Collaborators included, among others, the Cleveland Clinic, Dana-Farber Cancer Institute, Intermountain Healthcare, Mayo Clinic, Oregon Health &amp; Science University, Sutter Health, and the US Oncology Network, and no serious adverse events were identified. These collaborations were subject to terms generally consistent with industry sponsored studies. The study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in October 2023. These data, in conjunction with the results from our CCGA study, supported our launch of Galleri as a laboratory developed test (“LDT”) in the United States.</w:t>
      </w:r>
    </w:p>
    <w:p>
      <w:pPr>
        <w:spacing w:after="0" w:line="166"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440"/>
          </w:cols>
          <w:pgMar w:left="320" w:top="419" w:right="11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For patients with a cancer signal detected result, the predicted cancer signal origin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the first workup based on cancer signal origin facilitated a diagnostic resolution in 25 of the 32 participants who had diagnostic resolution (approximately 80%). This group of 32 participants consisted of only those who received a cancer signal detected result from both Galleri and an earlier version of our MCED test also being studied in PATHFINDER.</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Study results with the earlier version of the test showed a high PPV of approximately 38%, high (97%) cancer signal origin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cancer signal origin prediction accuracy. Specificity was 99.1% with the earlier version of the test and 99.5% with the refined version of the test, resulting in a false positive rate of less than 1% for both versions of the test.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4860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448881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Circulating Cell-free Genome Atlas Study</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 study enrolled 15,254 participants, 56% of which had newly diagnosed cancer, inclusive of both early-and late-stage disease, and 44% of which did not have a known cancer diagnosis at the time of enrollment. Funding for the CCGA study was provided by us. Collaborators included, among others, the Cleveland Clinic, Dana-Farber Cancer Institute, Lahey Hospital and Medical Center, Mayo Clinic, and the US Oncology Network, and no serious adverse events were identified. These collaborations were subject to terms generally consistent with industry sponsored studies. We completed enrollment of our CCGA study in February 2019, and follow-up with</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460"/>
          </w:cols>
          <w:pgMar w:left="320" w:top="419" w:right="11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80"/>
        <w:spacing w:after="0" w:line="278" w:lineRule="auto"/>
        <w:rPr>
          <w:sz w:val="20"/>
          <w:szCs w:val="20"/>
          <w:color w:val="auto"/>
        </w:rPr>
      </w:pPr>
      <w:r>
        <w:rPr>
          <w:rFonts w:ascii="Times New Roman" w:cs="Times New Roman" w:eastAsia="Times New Roman" w:hAnsi="Times New Roman"/>
          <w:sz w:val="16"/>
          <w:szCs w:val="16"/>
          <w:color w:val="auto"/>
        </w:rPr>
        <w:t>participants is ongoing and expected to continue until 2024. The results of CCGA, in conjunction with the results from our PATHFINDER study, supported our launch of Galleri as an LDT in the United States.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spacing w:after="0" w:line="168"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We evaluated data from the CCGA study in three pre-specified sub-studies, each as described in more detail below. The design of our CCGA study, including the three pre-specified sub-studies,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117475</wp:posOffset>
            </wp:positionV>
            <wp:extent cx="4488815" cy="27654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448881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CCGA-1</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40"/>
          </w:cols>
          <w:pgMar w:left="320" w:top="419" w:right="11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5"/>
          <w:szCs w:val="15"/>
          <w:color w:val="auto"/>
        </w:rPr>
        <w:t xml:space="preserve">for cancer signal detection and cancer signal origin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cs="Times New Roman" w:eastAsia="Times New Roman" w:hAnsi="Times New Roman"/>
          <w:sz w:val="15"/>
          <w:szCs w:val="15"/>
          <w:i w:val="1"/>
          <w:iCs w:val="1"/>
          <w:color w:val="auto"/>
        </w:rPr>
        <w:t>Cancer Cell</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CCGA-2</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spacing w:after="0" w:line="159"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from the CCGA-2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CCGA-3</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w:t>
      </w:r>
    </w:p>
    <w:p>
      <w:pPr>
        <w:spacing w:after="0" w:line="15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of the CCGA-3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STRIVE</w:t>
      </w:r>
    </w:p>
    <w:p>
      <w:pPr>
        <w:spacing w:after="0" w:line="10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Funding for the study is provided by us. Collaborators include, among others, the Cleveland Clinic, Henry Ford Health System, Mayo Clinic, and Sutter Health, and no serious adverse events have been identified. These collaborations are subject to terms generally consistent with industry sponsored studies.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460"/>
          </w:cols>
          <w:pgMar w:left="320" w:top="419" w:right="11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60"/>
        <w:spacing w:after="0" w:line="255" w:lineRule="auto"/>
        <w:rPr>
          <w:sz w:val="20"/>
          <w:szCs w:val="20"/>
          <w:color w:val="auto"/>
        </w:rPr>
      </w:pPr>
      <w:r>
        <w:rPr>
          <w:rFonts w:ascii="Times New Roman" w:cs="Times New Roman" w:eastAsia="Times New Roman" w:hAnsi="Times New Roman"/>
          <w:sz w:val="16"/>
          <w:szCs w:val="16"/>
          <w:color w:val="auto"/>
        </w:rPr>
        <w:t>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SUMMIT</w:t>
      </w:r>
    </w:p>
    <w:p>
      <w:pPr>
        <w:spacing w:after="0" w:line="106" w:lineRule="exact"/>
        <w:rPr>
          <w:sz w:val="20"/>
          <w:szCs w:val="20"/>
          <w:color w:val="auto"/>
        </w:rPr>
      </w:pPr>
    </w:p>
    <w:p>
      <w:pPr>
        <w:ind w:left="760" w:right="100" w:firstLine="388"/>
        <w:spacing w:after="0" w:line="251" w:lineRule="auto"/>
        <w:rPr>
          <w:sz w:val="20"/>
          <w:szCs w:val="20"/>
          <w:color w:val="auto"/>
        </w:rPr>
      </w:pPr>
      <w:r>
        <w:rPr>
          <w:rFonts w:ascii="Times New Roman" w:cs="Times New Roman" w:eastAsia="Times New Roman" w:hAnsi="Times New Roman"/>
          <w:sz w:val="16"/>
          <w:szCs w:val="16"/>
          <w:color w:val="auto"/>
        </w:rPr>
        <w:t>SUMMIT is a prospective, observational, longitudinal cohort study that is being conducted in and around London, United Kingdom. Funding for the study is provided by us. Collaborators include University College London and University College London Hospitals, and no serious adverse events have been identified. These collaborations are subject to terms generally consistent with industry sponsored studies.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spacing w:after="0" w:line="170" w:lineRule="exact"/>
        <w:rPr>
          <w:sz w:val="20"/>
          <w:szCs w:val="20"/>
          <w:color w:val="auto"/>
        </w:rPr>
      </w:pPr>
    </w:p>
    <w:p>
      <w:pPr>
        <w:ind w:left="760" w:right="20" w:firstLine="388"/>
        <w:spacing w:after="0" w:line="313" w:lineRule="auto"/>
        <w:rPr>
          <w:sz w:val="20"/>
          <w:szCs w:val="20"/>
          <w:color w:val="auto"/>
        </w:rPr>
      </w:pPr>
      <w:r>
        <w:rPr>
          <w:rFonts w:ascii="Times New Roman" w:cs="Times New Roman" w:eastAsia="Times New Roman" w:hAnsi="Times New Roman"/>
          <w:sz w:val="15"/>
          <w:szCs w:val="15"/>
          <w:color w:val="auto"/>
        </w:rPr>
        <w:t>Our SUMMIT study may also demonstrate the utility of MCED testing in a high-risk population by comparing performance of Galleri in detecting lung and other smoking-related cancers to that of LDCT. We expect to report interim results from the SUMMIT study in the first half of 2025.</w:t>
      </w:r>
    </w:p>
    <w:p>
      <w:pPr>
        <w:spacing w:after="0" w:line="2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REFLECTION</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spacing w:after="0" w:line="165"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began enrolling the REFLECTION study August 2021 and enrollment is ongoing at all sites. Funding for the study is provided by us. Collaborators include, or have previously included, Carolina Blood and Cancer Care Associates, Providence, U.S. Department of Veterans Affairs, and Vincere Cancer Center, and no serious adverse events have been identified. These collaborations are subject to terms generally consistent with industry sponsored studies.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that data will be generated over time as enrollment increases across sites.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480"/>
          </w:cols>
          <w:pgMar w:left="320" w:top="419" w:right="10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REFLECTION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0326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44888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SYMPLIFY</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 xml:space="preserve">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Funding for the study is provided by us. Collaborators includes Oxford University. This collaboration is subject to terms generally consistent with industry sponsored studies.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cs="Times New Roman" w:eastAsia="Times New Roman" w:hAnsi="Times New Roman"/>
          <w:sz w:val="15"/>
          <w:szCs w:val="15"/>
          <w:i w:val="1"/>
          <w:iCs w:val="1"/>
          <w:color w:val="auto"/>
        </w:rPr>
        <w:t>The Lancet Oncology</w:t>
      </w:r>
      <w:r>
        <w:rPr>
          <w:rFonts w:ascii="Times New Roman" w:cs="Times New Roman" w:eastAsia="Times New Roman" w:hAnsi="Times New Roman"/>
          <w:sz w:val="15"/>
          <w:szCs w:val="15"/>
          <w:color w:val="auto"/>
        </w:rPr>
        <w:t>, and we are using the results to support the development and launch of DAC.</w:t>
      </w:r>
    </w:p>
    <w:p>
      <w:pPr>
        <w:spacing w:after="0" w:line="15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cancer signal origin prediction accuracy of approximately 90%. Among participants in the study, 6.7% of enrolled participants were eventually diagnosed with cancer, having already been referred by their primary care physician for investigation.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460"/>
          </w:cols>
          <w:pgMar w:left="320" w:top="419" w:right="11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SYMPLIFY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18891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448881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REACH</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November 2023, we initiated the Real-World Evidence to Advance Multi-Cancer Early Detection Health Equity REACH) study following FDA approval of our IDE application and CMS approval for Medicare coverage of the study. While timelines are still under development, the study will enroll approximately 50,000 participants across several health systems, and is designed to generate large-scale real-world evidence of Galleri performance and outcomes in the diverse Medicare population, which we believe represents one of the highest populations of unmet need for early cancer detection. The study seeks to compare up to 50,000 Medicare beneficiaries who have received usual care plus an annual Galleri test with a matched comparator arm of beneficiaries who receive usual care only. The clinical impact measures of interest in the study include reduction in diagnosed stage IV cancers, safety, and healthcare resource utilization associated with diagnostic workup for suspected cancer within the interventional arm compared to usual care. Medicare will fund the costs of Galleri and related and routine items and services for study participants.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Established Commercial Leadership in a Pre-Reimbursement Setting</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launched Galleri in the United States in mid-2021. As of March 31, 2024, we have sold more than 180,000 commercial tests and established over 100 commercial partnerships, including leading healthcare systems, employers, payors, and life insurance providers. We have also established a network of over 10,000 prescribers in the pre-reimbursement setting, with prescribers in private practices across the United States. As of March 31, 2024, our commercial organization included over 400 personnel supporting our multi-channel strategy. We believe we currently have the largest share of the market for MCED testing, and we continue to build the key components of our commercial infrastructure and capabilities that are required to support rapid, population-scale testing in a post-reimbursement environment.</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Strategy in the United States is Focused on Innovative Value-oriented Partnerships</w:t>
      </w:r>
    </w:p>
    <w:p>
      <w:pPr>
        <w:spacing w:after="0" w:line="106"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Our strong commercial adoption is underpinned by our ability to demonstrate clinical utility and economic value even before obtaining broad reimbursement coverage. We are driving adoption in the following key channels:</w:t>
      </w:r>
    </w:p>
    <w:p>
      <w:pPr>
        <w:spacing w:after="0" w:line="60" w:lineRule="exact"/>
        <w:rPr>
          <w:sz w:val="20"/>
          <w:szCs w:val="20"/>
          <w:color w:val="auto"/>
        </w:rPr>
      </w:pPr>
    </w:p>
    <w:p>
      <w:pPr>
        <w:ind w:left="1620" w:right="900" w:hanging="375"/>
        <w:spacing w:after="0" w:line="281" w:lineRule="auto"/>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Health systems</w:t>
      </w:r>
      <w:r>
        <w:rPr>
          <w:rFonts w:ascii="Times New Roman" w:cs="Times New Roman" w:eastAsia="Times New Roman" w:hAnsi="Times New Roman"/>
          <w:sz w:val="16"/>
          <w:szCs w:val="16"/>
          <w:color w:val="auto"/>
        </w:rPr>
        <w:t>. We have partnered with over 40 health systems as of March 31, 2024 that offer Galleri, typically as part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screening program with patient and physician support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80"/>
          </w:cols>
          <w:pgMar w:left="320" w:top="419" w:right="10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60"/>
        <w:spacing w:after="0" w:line="254" w:lineRule="auto"/>
        <w:rPr>
          <w:sz w:val="20"/>
          <w:szCs w:val="20"/>
          <w:color w:val="auto"/>
        </w:rPr>
      </w:pPr>
      <w:r>
        <w:rPr>
          <w:rFonts w:ascii="Times New Roman" w:cs="Times New Roman" w:eastAsia="Times New Roman" w:hAnsi="Times New Roman"/>
          <w:sz w:val="16"/>
          <w:szCs w:val="16"/>
          <w:color w:val="auto"/>
        </w:rPr>
        <w:t>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w:t>
      </w:r>
    </w:p>
    <w:p>
      <w:pPr>
        <w:spacing w:after="0" w:line="79" w:lineRule="exact"/>
        <w:rPr>
          <w:sz w:val="20"/>
          <w:szCs w:val="20"/>
          <w:color w:val="auto"/>
        </w:rPr>
      </w:pPr>
    </w:p>
    <w:p>
      <w:pPr>
        <w:ind w:left="1620" w:hanging="375"/>
        <w:spacing w:after="0" w:line="275" w:lineRule="auto"/>
        <w:tabs>
          <w:tab w:leader="none" w:pos="162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Employers</w:t>
      </w:r>
      <w:r>
        <w:rPr>
          <w:rFonts w:ascii="Times New Roman" w:cs="Times New Roman" w:eastAsia="Times New Roman" w:hAnsi="Times New Roman"/>
          <w:sz w:val="15"/>
          <w:szCs w:val="15"/>
          <w:color w:val="auto"/>
        </w:rPr>
        <w:t>. As of March 31, 2024, we have engaged over 80 employers who offer Galleri as a benefit to eligible employees. We target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spacing w:after="0" w:line="63" w:lineRule="exact"/>
        <w:rPr>
          <w:rFonts w:ascii="Times New Roman" w:cs="Times New Roman" w:eastAsia="Times New Roman" w:hAnsi="Times New Roman"/>
          <w:sz w:val="15"/>
          <w:szCs w:val="15"/>
          <w:color w:val="auto"/>
        </w:rPr>
      </w:pPr>
    </w:p>
    <w:p>
      <w:pPr>
        <w:ind w:left="1620" w:right="20" w:hanging="375"/>
        <w:spacing w:after="0" w:line="259"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Life insurance providers</w:t>
      </w:r>
      <w:r>
        <w:rPr>
          <w:rFonts w:ascii="Times New Roman" w:cs="Times New Roman" w:eastAsia="Times New Roman" w:hAnsi="Times New Roman"/>
          <w:sz w:val="16"/>
          <w:szCs w:val="16"/>
          <w:color w:val="auto"/>
        </w:rPr>
        <w:t>. We have partnered with several leading life insurance providers to provide Galleri to their policyholders. Life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spacing w:after="0" w:line="74" w:lineRule="exact"/>
        <w:rPr>
          <w:rFonts w:ascii="Times New Roman" w:cs="Times New Roman" w:eastAsia="Times New Roman" w:hAnsi="Times New Roman"/>
          <w:sz w:val="16"/>
          <w:szCs w:val="16"/>
          <w:color w:val="auto"/>
        </w:rPr>
      </w:pPr>
    </w:p>
    <w:p>
      <w:pPr>
        <w:ind w:left="1620" w:right="120" w:hanging="375"/>
        <w:spacing w:after="0" w:line="254"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Physician-directed channels</w:t>
      </w:r>
      <w:r>
        <w:rPr>
          <w:rFonts w:ascii="Times New Roman" w:cs="Times New Roman" w:eastAsia="Times New Roman" w:hAnsi="Times New Roman"/>
          <w:sz w:val="16"/>
          <w:szCs w:val="16"/>
          <w:color w:val="auto"/>
        </w:rPr>
        <w:t>. We believe Galleri is compelling to physicians whose patients are focused on preventive health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w:t>
      </w:r>
    </w:p>
    <w:p>
      <w:pPr>
        <w:spacing w:after="0" w:line="81" w:lineRule="exact"/>
        <w:rPr>
          <w:rFonts w:ascii="Times New Roman" w:cs="Times New Roman" w:eastAsia="Times New Roman" w:hAnsi="Times New Roman"/>
          <w:sz w:val="16"/>
          <w:szCs w:val="16"/>
          <w:color w:val="auto"/>
        </w:rPr>
      </w:pPr>
    </w:p>
    <w:p>
      <w:pPr>
        <w:ind w:left="1620" w:right="240" w:hanging="375"/>
        <w:spacing w:after="0" w:line="259"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Payors</w:t>
      </w:r>
      <w:r>
        <w:rPr>
          <w:rFonts w:ascii="Times New Roman" w:cs="Times New Roman" w:eastAsia="Times New Roman" w:hAnsi="Times New Roman"/>
          <w:sz w:val="16"/>
          <w:szCs w:val="16"/>
          <w:color w:val="auto"/>
        </w:rPr>
        <w:t>. We have announced pilot or benefit programs with leading payors and continue to engage with other progressive payors.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spacing w:after="0" w:line="74" w:lineRule="exact"/>
        <w:rPr>
          <w:rFonts w:ascii="Times New Roman" w:cs="Times New Roman" w:eastAsia="Times New Roman" w:hAnsi="Times New Roman"/>
          <w:sz w:val="16"/>
          <w:szCs w:val="16"/>
          <w:color w:val="auto"/>
        </w:rPr>
      </w:pPr>
    </w:p>
    <w:p>
      <w:pPr>
        <w:jc w:val="both"/>
        <w:ind w:left="1620" w:right="40" w:hanging="375"/>
        <w:spacing w:after="0" w:line="264" w:lineRule="auto"/>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First Responders</w:t>
      </w:r>
      <w:r>
        <w:rPr>
          <w:rFonts w:ascii="Times New Roman" w:cs="Times New Roman" w:eastAsia="Times New Roman" w:hAnsi="Times New Roman"/>
          <w:sz w:val="16"/>
          <w:szCs w:val="16"/>
          <w:color w:val="auto"/>
        </w:rPr>
        <w:t>. We have worked with clinics, fire departments, municipalities, and unions to make Galleri available to firefighters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have exposure-related increased risk of cancer and are actively screening their populations and seeking new approaches. To date, thousands of firefighters have been tested with Galleri across more than 40 fire departments nationally.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Reimbursement Landscape for Screening Tests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80"/>
          </w:cols>
          <w:pgMar w:left="320" w:top="419" w:right="10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63" w:lineRule="auto"/>
        <w:rPr>
          <w:sz w:val="20"/>
          <w:szCs w:val="20"/>
          <w:color w:val="auto"/>
        </w:rPr>
      </w:pPr>
      <w:r>
        <w:rPr>
          <w:rFonts w:ascii="Times New Roman" w:cs="Times New Roman" w:eastAsia="Times New Roman" w:hAnsi="Times New Roman"/>
          <w:sz w:val="16"/>
          <w:szCs w:val="16"/>
          <w:color w:val="auto"/>
        </w:rPr>
        <w:t>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w:t>
      </w:r>
    </w:p>
    <w:p>
      <w:pPr>
        <w:spacing w:after="0" w:line="157"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w:t>
      </w:r>
    </w:p>
    <w:p>
      <w:pPr>
        <w:spacing w:after="0" w:line="161"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Medicare coverage can also be changed by statute, thus a second possible pathway for Medicare reimbursement would be to amend the Medicare statute to cover MCED. This process would generally require 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 the FDA have resulted in an anticipated timeline to submission, which we anticipate making in the first half of 2026. Nonetheless, the FDA requirements that will govern multi-cancer detection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and assuming a statutory change in the reimbursement landscape, we plan to pursue broad reimbursement, for example, through Medicare reimbursement, and subsequently pursue inclusion of Galleri in the USPSTF guideline recommendation.</w:t>
      </w:r>
    </w:p>
    <w:p>
      <w:pPr>
        <w:spacing w:after="0" w:line="2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United Kingdom—Commercial agreement with NHS</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The NHS will evaluate the final results from the NHS-Galleri Trial, which are expected to be available in 2026, before determining whether to implement the Galleri test in the NHS. In the event that we proceed with commercial implementation following such results, we expect that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Other International</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explore the launch of Galleri in select other geographies, including through distributors.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Significant Investments for Scale</w:t>
      </w:r>
    </w:p>
    <w:p>
      <w:pPr>
        <w:spacing w:after="0" w:line="106"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have made significant investments for scale in our CAP-accredited and CLIA-certified laboratory facilities in Menlo Park, California and Durham, North Carolina and demonstrated execution with more than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400"/>
          </w:cols>
          <w:pgMar w:left="320" w:top="419" w:right="11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40"/>
        <w:spacing w:after="0" w:line="278" w:lineRule="auto"/>
        <w:rPr>
          <w:sz w:val="20"/>
          <w:szCs w:val="20"/>
          <w:color w:val="auto"/>
        </w:rPr>
      </w:pPr>
      <w:r>
        <w:rPr>
          <w:rFonts w:ascii="Times New Roman" w:cs="Times New Roman" w:eastAsia="Times New Roman" w:hAnsi="Times New Roman"/>
          <w:sz w:val="16"/>
          <w:szCs w:val="16"/>
          <w:color w:val="auto"/>
        </w:rPr>
        <w:t>450,000 clinical and commercial individual samples processed through March 31, 2024. We have an established footprint in the United States and United Kingdom, with operations in Durham, North Carolina, Washington, D.C., and London, United Kingdom.</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Supply Chain and Agreements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spacing w:after="0" w:line="15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and floors, in perpetuity on net sales generated by our products or revenues otherwise generated or received by us, subject to certain exceptions, in the field of oncology. In August 2021, following Illumina’s acquisition of us, the Supply Agreement was amended to suspend the perpetual royalty payment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Illumina’s universal pricing terms applicable to all of its for-profit oncology customers in the United States since March 2021, as updated (the “Open Offer”) or the pricing terms we had prior to Illumina’s acquisition of us (the “Grandfathered Pricing”).</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Industry Participants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480"/>
          </w:cols>
          <w:pgMar w:left="320" w:top="419" w:right="10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4" w:lineRule="auto"/>
        <w:rPr>
          <w:sz w:val="20"/>
          <w:szCs w:val="20"/>
          <w:color w:val="auto"/>
        </w:rPr>
      </w:pPr>
      <w:r>
        <w:rPr>
          <w:rFonts w:ascii="Times New Roman" w:cs="Times New Roman" w:eastAsia="Times New Roman" w:hAnsi="Times New Roman"/>
          <w:sz w:val="15"/>
          <w:szCs w:val="15"/>
          <w:color w:val="auto"/>
        </w:rPr>
        <w:t>marketing and sales forces, or may operate in jurisdictions where lower standards of evidence are required to bring 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spacing w:after="0" w:line="15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61"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spacing w:after="0" w:line="166"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As of March 31, 2024, we own or co-own more than 130 issued or granted patents and more than 630 pending patent applications globally, including 35 issued U.S. patents, 99 patents granted across Australia, Belgium, Canada, Switzerland, China, Denmark, Germany, Europe, France, the United Kingdom, Hong Kong, Indonesia, Ireland, Italy, Japan, Luxembourg, Malaysia, Netherlands, Norway, Sweden, Spain, Singapore, and Taiwan, and more than 160 pending U.S. non-provisional and provisional patent applications.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40"/>
          </w:cols>
          <w:pgMar w:left="320" w:top="419" w:right="11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also have exclusive licenses to approximately 530 issued or granted patents and more than 210 pending patent applications globally, including 54 issued U.S. patents and 476 patents granted across Albania, Austria, Australia, Belgium, Bulgaria, Brazil, Canada, Switzerland, China, Cyprus, Czechia, Germany, Denmark, Eurasia, Europe, Estonia, Spain, Finland, France, the United Kingdom, Greece, Hong Kong, Croatia, Hungary, Indonesia, Ireland, Israel, India, Iceland, Italy, Japan, South Korea, Lithuania, Luxembourg, Latvia, Monaco, North Macedonia, Macao, Malta, Mexico, Malaysia, Netherlands, Norway, New Zealand, Poland, Portugal, Romania, Serbia, Sweden, Singapore, Slovenia, Slovakia, San Marino, Turkey, Taiwan, and South Africa, and more than 30 pending U.S. non-provisional and provisional patent applications. We believe these patents cover, and that these patent applications upon grant will cover, various aspects of Galleri, DAC, and our precision oncology portfolio.</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Of particular importance within our sizable patent portfolio are patents that relate to various aspects of our current commercial products such as</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Galleri. For example:</w:t>
      </w:r>
    </w:p>
    <w:p>
      <w:pPr>
        <w:spacing w:after="0" w:line="97" w:lineRule="exact"/>
        <w:rPr>
          <w:sz w:val="20"/>
          <w:szCs w:val="20"/>
          <w:color w:val="auto"/>
        </w:rPr>
      </w:pPr>
    </w:p>
    <w:p>
      <w:pPr>
        <w:ind w:left="1620" w:right="20" w:hanging="375"/>
        <w:spacing w:after="0" w:line="254" w:lineRule="auto"/>
        <w:tabs>
          <w:tab w:leader="none" w:pos="16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methylation analysis, which is a foundational technology underlying our current products, we own or exclusively license 79 granted patents directed to systems, software, methods, mixtures, or kits for methylation analysis in Australia, Belgium, Brazil, Canada, Switzerland, Germany, Denmark, Eurasia, Europe, Spain, France, the United Kingdom, Hong Kong, Indonesia, Ireland, Israel, Italy, Japan, Korea, Luxemburg, Mexico, Malaysia, Netherlands, Norway, New Zealand, Poland, Portugal, Sweden, Singapore, Turkey, Taiwan, the United States, and South Africa. These patents are expected to expire between 2033 and 2040, subject to our payment of applicable maintenance fees and annuities;</w:t>
      </w:r>
    </w:p>
    <w:p>
      <w:pPr>
        <w:spacing w:after="0" w:line="81" w:lineRule="exact"/>
        <w:rPr>
          <w:rFonts w:ascii="Times New Roman" w:cs="Times New Roman" w:eastAsia="Times New Roman" w:hAnsi="Times New Roman"/>
          <w:sz w:val="16"/>
          <w:szCs w:val="16"/>
          <w:color w:val="auto"/>
        </w:rPr>
      </w:pPr>
    </w:p>
    <w:p>
      <w:pPr>
        <w:jc w:val="both"/>
        <w:ind w:left="1620" w:right="60" w:hanging="375"/>
        <w:spacing w:after="0" w:line="258" w:lineRule="auto"/>
        <w:tabs>
          <w:tab w:leader="none" w:pos="16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our technology for determining cancer type through identification of cancer signal of origin, we own or exclusively license 17 granted patents directed to systems, software, methods, or kits for determining cancer signal of origin in Australia, China, Israel, Japan, Korea, Mexico, Malaysia, Singapore, Taiwan, and the United States. These patents are expected to expire between 2033 and 2041, subject to our payment of applicable maintenance fees and annuities; and</w:t>
      </w:r>
    </w:p>
    <w:p>
      <w:pPr>
        <w:spacing w:after="0" w:line="77"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our assay chemistry and techniques for preparing and optimizing patient samples for analysis, we own or exclusively license 32 granted patents directed to methods, assay panels, compositions, or software for assay chemistry and techniques in Belgium, Switzerland, China, Germany, Europe, France, the United Kingdom, Hong Kong, Netherlands, Sweden, and the United States. These patents are expected to expire between 2034 and 2042, subject to our payment of applicable maintenance fees and annuities.</w:t>
      </w:r>
    </w:p>
    <w:p>
      <w:pPr>
        <w:spacing w:after="0" w:line="14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Our patent portfolio also includes granted patents and pending patent applications directed to other technologies that may have varying levels of importance to our current and future products, including, for example:</w:t>
      </w:r>
    </w:p>
    <w:p>
      <w:pPr>
        <w:spacing w:after="0" w:line="62" w:lineRule="exact"/>
        <w:rPr>
          <w:sz w:val="20"/>
          <w:szCs w:val="20"/>
          <w:color w:val="auto"/>
        </w:rPr>
      </w:pPr>
    </w:p>
    <w:p>
      <w:pPr>
        <w:ind w:left="162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methods, kits, mixtures, and probes for sequencing, library preparation and enrichment (28 patent families with 77 granted patents and 58 pending applications; granted patents expected to expire between 2027 and 2042);</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methods and nucleic acid constructs for error correction for identifying somatic variants (3 patent families with 53 granted patents and 18 pending applications; granted patents expected to expire between 2030 and 2038);</w:t>
      </w:r>
    </w:p>
    <w:p>
      <w:pPr>
        <w:spacing w:after="0" w:line="61" w:lineRule="exact"/>
        <w:rPr>
          <w:rFonts w:ascii="Times New Roman" w:cs="Times New Roman" w:eastAsia="Times New Roman" w:hAnsi="Times New Roman"/>
          <w:sz w:val="16"/>
          <w:szCs w:val="16"/>
          <w:color w:val="auto"/>
        </w:rPr>
      </w:pPr>
    </w:p>
    <w:p>
      <w:pPr>
        <w:ind w:left="1620" w:right="42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and methods for variant based assessment of cancer (13 patent families with 31 granted patents and 59 pending applications; granted patents expected to expire between 2033 and 2038);</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sequencing based assessment of copy number aberrations in cancer (9 patent families with 83 granted patents and 57 pending applications; granted patents expected to expire between 2028 and 2042);</w:t>
      </w:r>
    </w:p>
    <w:p>
      <w:pPr>
        <w:spacing w:after="0" w:line="61"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fragment length assessment in cancer detection (11 patent families with 102 granted patents and 93 pending applications; granted patents expected to expire between 2031 and 2039);</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80"/>
          </w:cols>
          <w:pgMar w:left="320" w:top="419" w:right="10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0" w:hanging="375"/>
        <w:spacing w:after="0" w:line="278"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methods, and compositions for fragmentation based assessment of cancer (9 patent families with 39 granted patents and 82 pending applications; granted patents expected to expire between 2030 and 2039); and</w:t>
      </w:r>
    </w:p>
    <w:p>
      <w:pPr>
        <w:spacing w:after="0" w:line="61" w:lineRule="exact"/>
        <w:rPr>
          <w:rFonts w:ascii="Times New Roman" w:cs="Times New Roman" w:eastAsia="Times New Roman" w:hAnsi="Times New Roman"/>
          <w:sz w:val="16"/>
          <w:szCs w:val="16"/>
          <w:color w:val="auto"/>
        </w:rPr>
      </w:pPr>
    </w:p>
    <w:p>
      <w:pPr>
        <w:ind w:left="1620" w:right="800" w:hanging="375"/>
        <w:spacing w:after="0" w:line="278"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viral based assessment of cancer (6 patent families with 19 granted patents and 56 pending applications; granted patents expected to expire between 2038 and 2040).</w:t>
      </w:r>
    </w:p>
    <w:p>
      <w:pPr>
        <w:spacing w:after="0" w:line="145" w:lineRule="exact"/>
        <w:rPr>
          <w:sz w:val="20"/>
          <w:szCs w:val="20"/>
          <w:color w:val="auto"/>
        </w:rPr>
      </w:pPr>
    </w:p>
    <w:p>
      <w:pPr>
        <w:jc w:val="both"/>
        <w:ind w:left="760" w:right="380" w:firstLine="388"/>
        <w:spacing w:after="0" w:line="263" w:lineRule="auto"/>
        <w:rPr>
          <w:sz w:val="20"/>
          <w:szCs w:val="20"/>
          <w:color w:val="auto"/>
        </w:rPr>
      </w:pPr>
      <w:r>
        <w:rPr>
          <w:rFonts w:ascii="Times New Roman" w:cs="Times New Roman" w:eastAsia="Times New Roman" w:hAnsi="Times New Roman"/>
          <w:sz w:val="16"/>
          <w:szCs w:val="16"/>
          <w:color w:val="auto"/>
        </w:rPr>
        <w:t>The expiration dates described above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w:t>
      </w:r>
    </w:p>
    <w:p>
      <w:pPr>
        <w:spacing w:after="0" w:line="157" w:lineRule="exact"/>
        <w:rPr>
          <w:sz w:val="20"/>
          <w:szCs w:val="20"/>
          <w:color w:val="auto"/>
        </w:rPr>
      </w:pPr>
    </w:p>
    <w:p>
      <w:pPr>
        <w:ind w:left="760" w:right="20" w:firstLine="388"/>
        <w:spacing w:after="0" w:line="268" w:lineRule="auto"/>
        <w:rPr>
          <w:sz w:val="20"/>
          <w:szCs w:val="20"/>
          <w:color w:val="auto"/>
        </w:rPr>
      </w:pPr>
      <w:r>
        <w:rPr>
          <w:rFonts w:ascii="Times New Roman" w:cs="Times New Roman" w:eastAsia="Times New Roman" w:hAnsi="Times New Roman"/>
          <w:sz w:val="15"/>
          <w:szCs w:val="15"/>
          <w:color w:val="auto"/>
        </w:rPr>
        <w:t>Our in-licensed patents and patent applications, if issued as patents, expire or would be expected to expire, at the earliest, in 2027, absent any potentially available patent term adjustment and assuming our timely payment of applicable issue fees, maintenance fees and annuities.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spacing w:after="0" w:line="34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recently faced an opposition from anonymous challengers against one of our in-licensed European patents. The patent does not relate to aspects of Galleri, DAC or our precision oncology portfolio. The challengers asserted that this granted patent was invalid over prior art, among other arguments. The opposition concluded with the patent claims being maintained in amended form. The challengers have filed an appeal. While we believe that this patent is valid, there is a risk that the patent could be invalidated in its entirety, or certain claims of this patent could be amended and narrowed in scope during the appeal.</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License Agreements with the Chinese University of Hong Kong</w:t>
      </w:r>
    </w:p>
    <w:p>
      <w:pPr>
        <w:spacing w:after="0" w:line="104"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460"/>
          </w:cols>
          <w:pgMar w:left="320" w:top="419" w:right="11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To the extent our products use the licensed technology, such as our current Galleri, precision oncology and DAC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04"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 further discussion of the risks relating to our intellectual property, see “Risk Factors—Risks Relating to Intellectual Property.”</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4"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June 2020, we entered into an agreement to lease approximately 200,000 square feet of a building in Durham, North Carolina. Our lease expires in 2033 and we have three separate options to extend the lease, each for an additional five years.</w:t>
      </w:r>
    </w:p>
    <w:p>
      <w:pPr>
        <w:spacing w:after="0" w:line="1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facilities are sufficient to meet our current and anticipated near-term needs.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4"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As of March 31, 2024, we had approximately 1,360 full-time employees, the majority of which are based in the United States. We also engage with contractors, vendors, and consultants. We have invested substantial time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480"/>
          </w:cols>
          <w:pgMar w:left="320" w:top="419" w:right="10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and resources into building our team. Our success depends in large part on our collective effort 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w:t>
      </w:r>
    </w:p>
    <w:p>
      <w:pPr>
        <w:spacing w:after="0" w:line="163"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Since our founding, we have built an entrepreneurial culture, driven to improve outcomes for cancer patients. Our collective mission is to </w:t>
      </w:r>
      <w:r>
        <w:rPr>
          <w:rFonts w:ascii="Times New Roman" w:cs="Times New Roman" w:eastAsia="Times New Roman" w:hAnsi="Times New Roman"/>
          <w:sz w:val="16"/>
          <w:szCs w:val="16"/>
          <w:i w:val="1"/>
          <w:iCs w:val="1"/>
          <w:color w:val="auto"/>
        </w:rPr>
        <w:t>detect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early, when it can be cured</w:t>
      </w:r>
      <w:r>
        <w:rPr>
          <w:rFonts w:ascii="Times New Roman" w:cs="Times New Roman" w:eastAsia="Times New Roman" w:hAnsi="Times New Roman"/>
          <w:sz w:val="16"/>
          <w:szCs w:val="16"/>
          <w:color w:val="auto"/>
        </w:rPr>
        <w:t>. This mission statement is an expression of our philosophy and culture to improve cancer care and drive to improve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better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Fostering a Culture of Inclusivity and Belonging</w:t>
      </w:r>
    </w:p>
    <w:p>
      <w:pPr>
        <w:spacing w:after="0" w:line="106"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Our diverse employee pool includes expertise from individuals with a variety of backgrounds and specialties, enriching our collective knowledge and skill-base.</w:t>
      </w:r>
    </w:p>
    <w:p>
      <w:pPr>
        <w:spacing w:after="0" w:line="161" w:lineRule="exact"/>
        <w:rPr>
          <w:sz w:val="20"/>
          <w:szCs w:val="20"/>
          <w:color w:val="auto"/>
        </w:rPr>
      </w:pPr>
    </w:p>
    <w:p>
      <w:pPr>
        <w:ind w:left="760" w:right="160" w:firstLine="388"/>
        <w:spacing w:after="0" w:line="254" w:lineRule="auto"/>
        <w:rPr>
          <w:sz w:val="20"/>
          <w:szCs w:val="20"/>
          <w:color w:val="auto"/>
        </w:rPr>
      </w:pPr>
      <w:r>
        <w:rPr>
          <w:rFonts w:ascii="Times New Roman" w:cs="Times New Roman" w:eastAsia="Times New Roman" w:hAnsi="Times New Roman"/>
          <w:sz w:val="16"/>
          <w:szCs w:val="16"/>
          <w:color w:val="auto"/>
        </w:rPr>
        <w:t>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Our leadership is committed to actively promoting and fostering a community of belonging and inclusivity where all employees feel inspired and empowered to innovate, collaborate, and deliver on our mission.</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company culture helps us to achieve our mission and is a core driver of our success.</w:t>
      </w:r>
    </w:p>
    <w:p>
      <w:pPr>
        <w:spacing w:after="0" w:line="112" w:lineRule="exact"/>
        <w:rPr>
          <w:sz w:val="20"/>
          <w:szCs w:val="20"/>
          <w:color w:val="auto"/>
        </w:rPr>
      </w:pPr>
    </w:p>
    <w:p>
      <w:pPr>
        <w:ind w:left="1620" w:right="120" w:hanging="375"/>
        <w:spacing w:after="0" w:line="281"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Embrace Change</w:t>
      </w:r>
      <w:r>
        <w:rPr>
          <w:rFonts w:ascii="Times New Roman" w:cs="Times New Roman" w:eastAsia="Times New Roman" w:hAnsi="Times New Roman"/>
          <w:sz w:val="16"/>
          <w:szCs w:val="16"/>
          <w:color w:val="auto"/>
        </w:rPr>
        <w:t>—We operate in a dynamic environment. We need to mirror the external world and be agile, adaptive, and able to adjust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to move in the direction required.</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Solve Problems Together</w:t>
      </w:r>
      <w:r>
        <w:rPr>
          <w:rFonts w:ascii="Times New Roman" w:cs="Times New Roman" w:eastAsia="Times New Roman" w:hAnsi="Times New Roman"/>
          <w:sz w:val="16"/>
          <w:szCs w:val="16"/>
          <w:color w:val="auto"/>
        </w:rPr>
        <w:t>—Working together allows us to take on increasingly complex problems.</w:t>
      </w:r>
    </w:p>
    <w:p>
      <w:pPr>
        <w:spacing w:after="0" w:line="113" w:lineRule="exact"/>
        <w:rPr>
          <w:rFonts w:ascii="Times New Roman" w:cs="Times New Roman" w:eastAsia="Times New Roman" w:hAnsi="Times New Roman"/>
          <w:sz w:val="16"/>
          <w:szCs w:val="16"/>
          <w:color w:val="auto"/>
        </w:rPr>
      </w:pPr>
    </w:p>
    <w:p>
      <w:pPr>
        <w:ind w:left="1620" w:hanging="375"/>
        <w:spacing w:after="0" w:line="281"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Think BIG</w:t>
      </w:r>
      <w:r>
        <w:rPr>
          <w:rFonts w:ascii="Times New Roman" w:cs="Times New Roman" w:eastAsia="Times New Roman" w:hAnsi="Times New Roman"/>
          <w:sz w:val="16"/>
          <w:szCs w:val="16"/>
          <w:color w:val="auto"/>
        </w:rPr>
        <w:t>—We are leading BIG changes that require a long runway, and we’ll succeed by keeping our mission in sight as we work toward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goals.</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Be Courageous</w:t>
      </w:r>
      <w:r>
        <w:rPr>
          <w:rFonts w:ascii="Times New Roman" w:cs="Times New Roman" w:eastAsia="Times New Roman" w:hAnsi="Times New Roman"/>
          <w:sz w:val="16"/>
          <w:szCs w:val="16"/>
          <w:color w:val="auto"/>
        </w:rPr>
        <w:t>—We are going up against entrenched ways of thinking, which requires boldness, determination, and courage.</w:t>
      </w:r>
    </w:p>
    <w:p>
      <w:pPr>
        <w:spacing w:after="0" w:line="113" w:lineRule="exact"/>
        <w:rPr>
          <w:rFonts w:ascii="Times New Roman" w:cs="Times New Roman" w:eastAsia="Times New Roman" w:hAnsi="Times New Roman"/>
          <w:sz w:val="16"/>
          <w:szCs w:val="16"/>
          <w:color w:val="auto"/>
        </w:rPr>
      </w:pPr>
    </w:p>
    <w:p>
      <w:pPr>
        <w:ind w:left="1620" w:right="40" w:hanging="375"/>
        <w:spacing w:after="0" w:line="316" w:lineRule="auto"/>
        <w:tabs>
          <w:tab w:leader="none" w:pos="162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Bring an Open Mind</w:t>
      </w:r>
      <w:r>
        <w:rPr>
          <w:rFonts w:ascii="Times New Roman" w:cs="Times New Roman" w:eastAsia="Times New Roman" w:hAnsi="Times New Roman"/>
          <w:sz w:val="15"/>
          <w:szCs w:val="15"/>
          <w:color w:val="auto"/>
        </w:rPr>
        <w:t>—We seek to improve cancer care, which requires engaging everyone in a conversation around what’s needed, what’s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how to approach problems in different ways with creative thinking. We’re open-minded, curious, and always learning.</w:t>
      </w:r>
    </w:p>
    <w:p>
      <w:pPr>
        <w:spacing w:after="0" w:line="119"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60"/>
          </w:cols>
          <w:pgMar w:left="320" w:top="419" w:right="11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Compensating and Supporting Our Colleagues</w:t>
      </w:r>
    </w:p>
    <w:p>
      <w:pPr>
        <w:spacing w:after="0" w:line="106" w:lineRule="exact"/>
        <w:rPr>
          <w:sz w:val="20"/>
          <w:szCs w:val="20"/>
          <w:color w:val="auto"/>
        </w:rPr>
      </w:pPr>
    </w:p>
    <w:p>
      <w:pPr>
        <w:jc w:val="both"/>
        <w:ind w:left="760" w:firstLine="388"/>
        <w:spacing w:after="0" w:line="258" w:lineRule="auto"/>
        <w:rPr>
          <w:sz w:val="20"/>
          <w:szCs w:val="20"/>
          <w:color w:val="auto"/>
        </w:rPr>
      </w:pPr>
      <w:r>
        <w:rPr>
          <w:rFonts w:ascii="Times New Roman" w:cs="Times New Roman" w:eastAsia="Times New Roman" w:hAnsi="Times New Roman"/>
          <w:sz w:val="16"/>
          <w:szCs w:val="16"/>
          <w:color w:val="auto"/>
        </w:rPr>
        <w:t>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w:t>
      </w:r>
    </w:p>
    <w:p>
      <w:pPr>
        <w:spacing w:after="0" w:line="161"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We take a holistic approach to supporting employee well-being through providing eligible colleagues and their eligible dependents with competitive health and wellness benefits, retirement savings plans, and work-life 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16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final rule to phase out its enforcement discretion with respect to LDTs, which makes LDTs subject to the FDA’s medical device authority.</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U.S. Regulation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Clinical Laboratory Improvement Amendments of 1988 (CLIA)</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480"/>
          </w:cols>
          <w:pgMar w:left="320" w:top="419" w:right="10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 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spacing w:after="0" w:line="170" w:lineRule="exact"/>
        <w:rPr>
          <w:sz w:val="20"/>
          <w:szCs w:val="20"/>
          <w:color w:val="auto"/>
        </w:rPr>
      </w:pPr>
    </w:p>
    <w:p>
      <w:pPr>
        <w:ind w:left="760" w:right="240" w:firstLine="388"/>
        <w:spacing w:after="0" w:line="253" w:lineRule="auto"/>
        <w:rPr>
          <w:sz w:val="20"/>
          <w:szCs w:val="20"/>
          <w:color w:val="auto"/>
        </w:rPr>
      </w:pPr>
      <w:r>
        <w:rPr>
          <w:rFonts w:ascii="Times New Roman" w:cs="Times New Roman" w:eastAsia="Times New Roman" w:hAnsi="Times New Roman"/>
          <w:sz w:val="16"/>
          <w:szCs w:val="16"/>
          <w:color w:val="auto"/>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w:t>
      </w:r>
    </w:p>
    <w:p>
      <w:pPr>
        <w:spacing w:after="0" w:line="16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spacing w:after="0" w:line="157"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State Licensing Laws</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w:t>
      </w:r>
    </w:p>
    <w:p>
      <w:pPr>
        <w:spacing w:after="0" w:line="170"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Non-compliance with state laboratory licensure requirements may cause the state agency to suspend, restrict, or revoke a license to operate the clinical laboratory, disapprove a licensure application, assess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480"/>
          </w:cols>
          <w:pgMar w:left="320" w:top="419" w:right="10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00"/>
        <w:spacing w:after="0" w:line="263" w:lineRule="auto"/>
        <w:rPr>
          <w:sz w:val="20"/>
          <w:szCs w:val="20"/>
          <w:color w:val="auto"/>
        </w:rPr>
      </w:pPr>
      <w:r>
        <w:rPr>
          <w:rFonts w:ascii="Times New Roman" w:cs="Times New Roman" w:eastAsia="Times New Roman" w:hAnsi="Times New Roman"/>
          <w:sz w:val="16"/>
          <w:szCs w:val="16"/>
          <w:color w:val="auto"/>
        </w:rPr>
        <w:t>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 Food and Drug Administration</w:t>
      </w:r>
    </w:p>
    <w:p>
      <w:pPr>
        <w:spacing w:after="0" w:line="104" w:lineRule="exact"/>
        <w:rPr>
          <w:sz w:val="20"/>
          <w:szCs w:val="20"/>
          <w:color w:val="auto"/>
        </w:rPr>
      </w:pPr>
    </w:p>
    <w:p>
      <w:pPr>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Laboratory Developed Tests</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Under the FDA’s regulatory framework,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 manufacturers for commercializing laboratory tests that were purported to be LDTs but that the FDA alleged failed to meet the definition of an LDT or otherwise were not subject to the FDA’s enforcement discretion policy.</w:t>
      </w:r>
    </w:p>
    <w:p>
      <w:pPr>
        <w:spacing w:after="0" w:line="167"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 FDA proposed an amendment to its regulations in October 2023 that was finalized in May 2024. This final rule clarifies the FDA’s historical view that LDTs are medical devices subject to the requirements applicable to other IVDs, and the FDA plans to phase in the enforcement of medical device requirements to LDTs over a period of four years.</w:t>
      </w:r>
    </w:p>
    <w:p>
      <w:pPr>
        <w:spacing w:after="0" w:line="161"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connection with the final rule, the FDA established certain new, targeted enforcement discretion policies, including, among others, for LDTs marketed as of the date of publication of the final rule (May 6, 2024), as well as for LDTs that have received approval from New York State’s Clinical Laboratory Evaluation Program (“NY CLEP”). Specifically, the FDA intends to exercise enforcement discretion and not enforce certain medical device requirements (including the requirements for marketing authorization and compliance with certain elements of the Quality System Regulation (“QSR”)) with respect to LDTs that were marketed as of the date of the final rule’s publication, although such products must still comply with certain other FDA requirements, including registration and listing, portions of the QSR, medical device reporting, labeling, and corrections and removals reporting. However, where these tests are modified in certain ways from the version of the test marketed as of the final rule’s publication date, this enforcement discretion policy will no longer apply and the FDA intends to enforce all applicable FDA requirements (including premarket review and marketing authorization requirements) consistent with the phase-in policy. In addition, for LDTs that receive approval from NY CLEP, FDA intends not</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480"/>
          </w:cols>
          <w:pgMar w:left="320" w:top="419" w:right="10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to enforce marketing authorization requirements when these requirements are phased in more generally at either three and a half or four years following the date of publication of the final rule. However, these tests will still be subject to the remaining medical device requirements, including registration and listing, medical device reporting, and quality system requirements, at the time that such requirements are phased in more generally.</w:t>
      </w:r>
    </w:p>
    <w:p>
      <w:pPr>
        <w:spacing w:after="0" w:line="157"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of LDTs as IVCTs, potentially with a transition period for compliance and a grandfathering provision.</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PMA Pathway</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68"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w:t>
      </w:r>
    </w:p>
    <w:p>
      <w:pPr>
        <w:spacing w:after="0" w:line="168"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The FDA will approve the new device for commercial distribution if it determines that the data and information in the PMA constitute valid scientific evidence and that there is reasonable assurance that the device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460"/>
          </w:cols>
          <w:pgMar w:left="320" w:top="419" w:right="11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6"/>
          <w:szCs w:val="16"/>
          <w:color w:val="auto"/>
        </w:rPr>
        <w:t>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6"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4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510(k) Notification Pathway. </w:t>
      </w:r>
      <w:r>
        <w:rPr>
          <w:rFonts w:ascii="Times New Roman" w:cs="Times New Roman" w:eastAsia="Times New Roman" w:hAnsi="Times New Roman"/>
          <w:sz w:val="16"/>
          <w:szCs w:val="16"/>
          <w:color w:val="auto"/>
        </w:rPr>
        <w:t>To obtain 510(k) clearance, a manufacturer must submit a premarket notification demonstrating to the FDA’s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6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process, which is a route to market for novel medical devices that are low to moderate risk and are not substantially equivalent to a predicate device. Once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petition is reviewed and approved, it results in the device having a Class II status, and future devices from the company or a third party may use the company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-classified device as a 510(k) predicate.</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After a device receives 510(k) clearance 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460"/>
          </w:cols>
          <w:pgMar w:left="320" w:top="419" w:right="11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w:t>
      </w:r>
    </w:p>
    <w:p>
      <w:pPr>
        <w:spacing w:after="0" w:line="163"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 Novo Classification Pathway. </w:t>
      </w:r>
      <w:r>
        <w:rPr>
          <w:rFonts w:ascii="Times New Roman" w:cs="Times New Roman" w:eastAsia="Times New Roman" w:hAnsi="Times New Roman"/>
          <w:sz w:val="16"/>
          <w:szCs w:val="16"/>
          <w:color w:val="auto"/>
        </w:rPr>
        <w:t>If no legally marketed predicate can be identified for a new device to enable use of the 510(k) pathway,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 is automatically classified under the FDC Act into class III, which generally requires PMA approval. However, the FDA can reclassify or use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novo </w:t>
      </w:r>
      <w:r>
        <w:rPr>
          <w:rFonts w:ascii="Times New Roman" w:cs="Times New Roman" w:eastAsia="Times New Roman" w:hAnsi="Times New Roman"/>
          <w:sz w:val="16"/>
          <w:szCs w:val="16"/>
          <w:color w:val="auto"/>
        </w:rPr>
        <w:t>classification” for a device that meets the FDC Act standards for a class I or class II device, permitting the device to be marketed without PMA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route is generally less burdensome than the PMA approval process.</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i w:val="1"/>
          <w:iCs w:val="1"/>
          <w:color w:val="auto"/>
        </w:rPr>
        <w:t>Investigational Device Exemption Process</w:t>
      </w:r>
      <w:r>
        <w:rPr>
          <w:rFonts w:ascii="Times New Roman" w:cs="Times New Roman" w:eastAsia="Times New Roman" w:hAnsi="Times New Roman"/>
          <w:sz w:val="16"/>
          <w:szCs w:val="16"/>
          <w:color w:val="auto"/>
        </w:rPr>
        <w:t>. Clinical trials are almost always required to support a PMA and are sometimes required to support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0"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60"/>
          </w:cols>
          <w:pgMar w:left="320" w:top="419" w:right="11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460"/>
        <w:spacing w:after="0" w:line="263" w:lineRule="auto"/>
        <w:rPr>
          <w:sz w:val="20"/>
          <w:szCs w:val="20"/>
          <w:color w:val="auto"/>
        </w:rPr>
      </w:pPr>
      <w:r>
        <w:rPr>
          <w:rFonts w:ascii="Times New Roman" w:cs="Times New Roman" w:eastAsia="Times New Roman" w:hAnsi="Times New Roman"/>
          <w:sz w:val="16"/>
          <w:szCs w:val="16"/>
          <w:color w:val="auto"/>
        </w:rPr>
        <w:t>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5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Expedited Development and Review Programs. </w:t>
      </w:r>
      <w:r>
        <w:rPr>
          <w:rFonts w:ascii="Times New Roman" w:cs="Times New Roman" w:eastAsia="Times New Roman" w:hAnsi="Times New Roman"/>
          <w:sz w:val="16"/>
          <w:szCs w:val="16"/>
          <w:color w:val="auto"/>
        </w:rPr>
        <w:t>The FDA has established programs to support and expedite the development of devices that meet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w:t>
      </w:r>
    </w:p>
    <w:p>
      <w:pPr>
        <w:spacing w:after="0" w:line="165" w:lineRule="exact"/>
        <w:rPr>
          <w:sz w:val="20"/>
          <w:szCs w:val="20"/>
          <w:color w:val="auto"/>
        </w:rPr>
      </w:pPr>
    </w:p>
    <w:p>
      <w:pPr>
        <w:ind w:left="760" w:right="54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Postmarket Regulation</w:t>
      </w:r>
      <w:r>
        <w:rPr>
          <w:rFonts w:ascii="Times New Roman" w:cs="Times New Roman" w:eastAsia="Times New Roman" w:hAnsi="Times New Roman"/>
          <w:sz w:val="16"/>
          <w:szCs w:val="16"/>
          <w:color w:val="auto"/>
        </w:rPr>
        <w:t>. After a device is cleared or approved by the FDA for marketing, numerous and pervasive regulatory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apply. These include:</w:t>
      </w:r>
    </w:p>
    <w:p>
      <w:pPr>
        <w:spacing w:after="0" w:line="59" w:lineRule="exact"/>
        <w:rPr>
          <w:sz w:val="20"/>
          <w:szCs w:val="20"/>
          <w:color w:val="auto"/>
        </w:rPr>
      </w:pPr>
    </w:p>
    <w:p>
      <w:pPr>
        <w:ind w:left="1620" w:hanging="375"/>
        <w:spacing w:after="0"/>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registration and device listing with the FDA;</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“off-label” uses of cleared or approved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related to promotional activities;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63"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FDA’s recall authority, whereby the agency can order device manufacturers to recall from the market a product that is in violation of governing laws and regulations;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45" w:lineRule="exact"/>
        <w:rPr>
          <w:sz w:val="20"/>
          <w:szCs w:val="20"/>
          <w:color w:val="auto"/>
        </w:rPr>
      </w:pPr>
    </w:p>
    <w:p>
      <w:pPr>
        <w:ind w:left="760" w:right="40" w:firstLine="388"/>
        <w:spacing w:after="0" w:line="289" w:lineRule="auto"/>
        <w:rPr>
          <w:sz w:val="20"/>
          <w:szCs w:val="20"/>
          <w:color w:val="auto"/>
        </w:rPr>
      </w:pPr>
      <w:r>
        <w:rPr>
          <w:rFonts w:ascii="Times New Roman" w:cs="Times New Roman" w:eastAsia="Times New Roman" w:hAnsi="Times New Roman"/>
          <w:sz w:val="15"/>
          <w:szCs w:val="15"/>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175</w:t>
      </w:r>
    </w:p>
    <w:p>
      <w:pPr>
        <w:sectPr>
          <w:pgSz w:w="11900" w:h="16838" w:orient="portrait"/>
          <w:cols w:equalWidth="0" w:num="1">
            <w:col w:w="10460"/>
          </w:cols>
          <w:pgMar w:left="320" w:top="419" w:right="11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77" w:lineRule="auto"/>
        <w:rPr>
          <w:sz w:val="20"/>
          <w:szCs w:val="20"/>
          <w:color w:val="auto"/>
        </w:rPr>
      </w:pPr>
      <w:r>
        <w:rPr>
          <w:rFonts w:ascii="Times New Roman" w:cs="Times New Roman" w:eastAsia="Times New Roman" w:hAnsi="Times New Roman"/>
          <w:sz w:val="15"/>
          <w:szCs w:val="15"/>
          <w:color w:val="auto"/>
        </w:rPr>
        <w:t>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45" w:lineRule="exact"/>
        <w:rPr>
          <w:sz w:val="20"/>
          <w:szCs w:val="20"/>
          <w:color w:val="auto"/>
        </w:rPr>
      </w:pPr>
    </w:p>
    <w:p>
      <w:pPr>
        <w:ind w:left="760" w:right="20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FDA Enforcement Powers. </w:t>
      </w:r>
      <w:r>
        <w:rPr>
          <w:rFonts w:ascii="Times New Roman" w:cs="Times New Roman" w:eastAsia="Times New Roman" w:hAnsi="Times New Roman"/>
          <w:sz w:val="16"/>
          <w:szCs w:val="16"/>
          <w:color w:val="auto"/>
        </w:rPr>
        <w:t>The FDA has broad regulatory compliance and enforcement powers. If the FDA determines that a manufacturer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failed to comply with applicable regulatory requirements, it can take a variety of compliance or enforcement actions, including the following:</w:t>
      </w:r>
    </w:p>
    <w:p>
      <w:pPr>
        <w:spacing w:after="0" w:line="59" w:lineRule="exact"/>
        <w:rPr>
          <w:sz w:val="20"/>
          <w:szCs w:val="20"/>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warning letters, untitled letters, fines, injunctions, consent decrees and civil penalties;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or requiring recalls, withdrawals, or administrative detention or seizure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operating restrictions or partial suspension or total shutdown of production;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or delaying requests for 510(k) marketing clearance or PMA approvals of new products or modified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withdrawing 510(k) clearances or PMA approvals that have already been granted;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grant export approvals for our products;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prosecution.</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Federal and State Physician Self-Referral Prohibitions</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Sanctions for a violation of the Stark Law include the following:</w:t>
      </w:r>
    </w:p>
    <w:p>
      <w:pPr>
        <w:spacing w:after="0" w:line="114" w:lineRule="exact"/>
        <w:rPr>
          <w:sz w:val="20"/>
          <w:szCs w:val="20"/>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denial of payment for the services provided in violation of the prohibition;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refunds of amounts collected by an entity in violation of the Stark Law;</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penalties;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federal healthcare programs, including Medicare and Medicaid.</w:t>
      </w:r>
    </w:p>
    <w:p>
      <w:pPr>
        <w:spacing w:after="0" w:line="197"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In addition, violations of the Stark Law may also serve as the basis for liability under the Federal False Claims Act, which prohibits knowingly presenting, or causing to be presented, a false or fraudulent claim for payment to the federal government.</w:t>
      </w:r>
    </w:p>
    <w:p>
      <w:pPr>
        <w:spacing w:after="0" w:line="14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0460"/>
          </w:cols>
          <w:pgMar w:left="320" w:top="419" w:right="11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3" w:lineRule="auto"/>
        <w:rPr>
          <w:sz w:val="20"/>
          <w:szCs w:val="20"/>
          <w:color w:val="auto"/>
        </w:rPr>
      </w:pPr>
      <w:r>
        <w:rPr>
          <w:rFonts w:ascii="Times New Roman" w:cs="Times New Roman" w:eastAsia="Times New Roman" w:hAnsi="Times New Roman"/>
          <w:sz w:val="15"/>
          <w:szCs w:val="15"/>
          <w:color w:val="auto"/>
        </w:rPr>
        <w:t>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Healthcare Fraud and Abuse</w:t>
      </w:r>
    </w:p>
    <w:p>
      <w:pPr>
        <w:spacing w:after="0" w:line="104" w:lineRule="exact"/>
        <w:rPr>
          <w:sz w:val="20"/>
          <w:szCs w:val="20"/>
          <w:color w:val="auto"/>
        </w:rPr>
      </w:pPr>
    </w:p>
    <w:p>
      <w:pPr>
        <w:ind w:left="760" w:right="280" w:firstLine="388"/>
        <w:spacing w:after="0" w:line="313" w:lineRule="auto"/>
        <w:rPr>
          <w:sz w:val="20"/>
          <w:szCs w:val="20"/>
          <w:color w:val="auto"/>
        </w:rPr>
      </w:pPr>
      <w:r>
        <w:rPr>
          <w:rFonts w:ascii="Times New Roman" w:cs="Times New Roman" w:eastAsia="Times New Roman" w:hAnsi="Times New Roman"/>
          <w:sz w:val="15"/>
          <w:szCs w:val="15"/>
          <w:color w:val="auto"/>
        </w:rPr>
        <w:t>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w:t>
      </w:r>
    </w:p>
    <w:p>
      <w:pPr>
        <w:spacing w:after="0" w:line="17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spacing w:after="0" w:line="168"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addition, other healthcare fraud and abuse laws could have an effect on our business. For example, in 2018, Congress enacted the Eliminating Kickbacks in Recovery Act of 2018 (“EKRA”), which establishes an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480"/>
          </w:cols>
          <w:pgMar w:left="320" w:top="419" w:right="10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78" w:lineRule="auto"/>
        <w:rPr>
          <w:sz w:val="20"/>
          <w:szCs w:val="20"/>
          <w:color w:val="auto"/>
        </w:rPr>
      </w:pPr>
      <w:r>
        <w:rPr>
          <w:rFonts w:ascii="Times New Roman" w:cs="Times New Roman" w:eastAsia="Times New Roman" w:hAnsi="Times New Roman"/>
          <w:sz w:val="16"/>
          <w:szCs w:val="16"/>
          <w:color w:val="auto"/>
        </w:rPr>
        <w:t>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spacing w:after="0" w:line="14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spacing w:after="0" w:line="161"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spacing w:after="0" w:line="158"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Similar foreign laws and regulations may apply to us if we offer our products in foreign jurisdictions in the future.</w:t>
      </w:r>
    </w:p>
    <w:p>
      <w:pPr>
        <w:spacing w:after="0" w:line="197"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Transparency Laws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460"/>
          </w:cols>
          <w:pgMar w:left="320" w:top="419" w:right="11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Additional International Regulation and Product Approval</w:t>
      </w:r>
    </w:p>
    <w:p>
      <w:pPr>
        <w:spacing w:after="0" w:line="104" w:lineRule="exact"/>
        <w:rPr>
          <w:sz w:val="20"/>
          <w:szCs w:val="20"/>
          <w:color w:val="auto"/>
        </w:rPr>
      </w:pPr>
    </w:p>
    <w:p>
      <w:pPr>
        <w:ind w:left="760" w:right="260" w:firstLine="388"/>
        <w:spacing w:after="0" w:line="255" w:lineRule="auto"/>
        <w:rPr>
          <w:sz w:val="20"/>
          <w:szCs w:val="20"/>
          <w:color w:val="auto"/>
        </w:rPr>
      </w:pPr>
      <w:r>
        <w:rPr>
          <w:rFonts w:ascii="Times New Roman" w:cs="Times New Roman" w:eastAsia="Times New Roman" w:hAnsi="Times New Roman"/>
          <w:sz w:val="16"/>
          <w:szCs w:val="16"/>
          <w:color w:val="auto"/>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Medical devices (including IVDs) are subject to extensive regulation, such as premarket review, marketing authorization or certification, by similar agencies or notified bodies in other countries. Regulatory requirements and approval or certification processes are not harmonized and vary from one country to another. International regulators and notified bodies are independent and not bound by the findings of the FDA.</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European Union</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 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Directive</w:t>
      </w:r>
    </w:p>
    <w:p>
      <w:pPr>
        <w:spacing w:after="0" w:line="102"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440"/>
          </w:cols>
          <w:pgMar w:left="320" w:top="419" w:right="11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Regulation</w:t>
      </w:r>
    </w:p>
    <w:p>
      <w:pPr>
        <w:spacing w:after="0" w:line="102" w:lineRule="exact"/>
        <w:rPr>
          <w:sz w:val="20"/>
          <w:szCs w:val="20"/>
          <w:color w:val="auto"/>
        </w:rPr>
      </w:pPr>
    </w:p>
    <w:p>
      <w:pPr>
        <w:jc w:val="both"/>
        <w:ind w:left="760" w:right="20" w:firstLine="388"/>
        <w:spacing w:after="0" w:line="281" w:lineRule="auto"/>
        <w:rPr>
          <w:sz w:val="20"/>
          <w:szCs w:val="20"/>
          <w:color w:val="auto"/>
        </w:rPr>
      </w:pPr>
      <w:r>
        <w:rPr>
          <w:rFonts w:ascii="Times New Roman" w:cs="Times New Roman" w:eastAsia="Times New Roman" w:hAnsi="Times New Roman"/>
          <w:sz w:val="15"/>
          <w:szCs w:val="15"/>
          <w:color w:val="auto"/>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spacing w:after="0" w:line="144" w:lineRule="exact"/>
        <w:rPr>
          <w:sz w:val="20"/>
          <w:szCs w:val="20"/>
          <w:color w:val="auto"/>
        </w:rPr>
      </w:pPr>
    </w:p>
    <w:p>
      <w:pPr>
        <w:ind w:left="760" w:right="280" w:firstLine="388"/>
        <w:spacing w:after="0" w:line="258" w:lineRule="auto"/>
        <w:rPr>
          <w:sz w:val="20"/>
          <w:szCs w:val="20"/>
          <w:color w:val="auto"/>
        </w:rPr>
      </w:pPr>
      <w:r>
        <w:rPr>
          <w:rFonts w:ascii="Times New Roman" w:cs="Times New Roman" w:eastAsia="Times New Roman" w:hAnsi="Times New Roman"/>
          <w:sz w:val="16"/>
          <w:szCs w:val="16"/>
          <w:color w:val="auto"/>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manufacturers must comply with a number of new or reinforced requirements set forth in the EU IVDR, in particular the obligations described below.</w:t>
      </w:r>
    </w:p>
    <w:p>
      <w:pPr>
        <w:spacing w:after="0" w:line="161" w:lineRule="exact"/>
        <w:rPr>
          <w:sz w:val="20"/>
          <w:szCs w:val="20"/>
          <w:color w:val="auto"/>
        </w:rPr>
      </w:pPr>
    </w:p>
    <w:p>
      <w:pPr>
        <w:ind w:left="760" w:right="340" w:firstLine="388"/>
        <w:spacing w:after="0" w:line="255" w:lineRule="auto"/>
        <w:rPr>
          <w:sz w:val="20"/>
          <w:szCs w:val="20"/>
          <w:color w:val="auto"/>
        </w:rPr>
      </w:pPr>
      <w:r>
        <w:rPr>
          <w:rFonts w:ascii="Times New Roman" w:cs="Times New Roman" w:eastAsia="Times New Roman" w:hAnsi="Times New Roman"/>
          <w:sz w:val="16"/>
          <w:szCs w:val="16"/>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65"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Regulations Related to Clinical Laboratories in the European Union</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spacing w:after="0" w:line="15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United Kingdom</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Under the powers granted by the Medicines and Medical Devices Act 2021, the United Kingdom is currently drafting amendments to the UK MDR which is likely to result in further changes to the Great Britain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180</w:t>
      </w:r>
    </w:p>
    <w:p>
      <w:pPr>
        <w:sectPr>
          <w:pgSz w:w="11900" w:h="16838" w:orient="portrait"/>
          <w:cols w:equalWidth="0" w:num="1">
            <w:col w:w="10480"/>
          </w:cols>
          <w:pgMar w:left="320" w:top="419" w:right="10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w:t>
      </w:r>
    </w:p>
    <w:p>
      <w:pPr>
        <w:spacing w:after="0" w:line="168"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6"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healthcare programs and commercial third-party payors.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spacing w:after="0" w:line="1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spacing w:after="0" w:line="165" w:lineRule="exact"/>
        <w:rPr>
          <w:sz w:val="20"/>
          <w:szCs w:val="20"/>
          <w:color w:val="auto"/>
        </w:rPr>
      </w:pPr>
    </w:p>
    <w:p>
      <w:pPr>
        <w:ind w:left="760" w:right="60" w:firstLine="388"/>
        <w:spacing w:after="0" w:line="271" w:lineRule="auto"/>
        <w:rPr>
          <w:sz w:val="20"/>
          <w:szCs w:val="20"/>
          <w:color w:val="auto"/>
        </w:rPr>
      </w:pPr>
      <w:r>
        <w:rPr>
          <w:rFonts w:ascii="Times New Roman" w:cs="Times New Roman" w:eastAsia="Times New Roman" w:hAnsi="Times New Roman"/>
          <w:sz w:val="15"/>
          <w:szCs w:val="15"/>
          <w:color w:val="auto"/>
        </w:rPr>
        <w:t>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spacing w:after="0" w:line="155" w:lineRule="exact"/>
        <w:rPr>
          <w:sz w:val="20"/>
          <w:szCs w:val="20"/>
          <w:color w:val="auto"/>
        </w:rPr>
      </w:pPr>
    </w:p>
    <w:p>
      <w:pPr>
        <w:jc w:val="both"/>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480"/>
          </w:cols>
          <w:pgMar w:left="320" w:top="419" w:right="10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1" w:lineRule="auto"/>
        <w:rPr>
          <w:sz w:val="20"/>
          <w:szCs w:val="20"/>
          <w:color w:val="auto"/>
        </w:rPr>
      </w:pPr>
      <w:r>
        <w:rPr>
          <w:rFonts w:ascii="Times New Roman" w:cs="Times New Roman" w:eastAsia="Times New Roman" w:hAnsi="Times New Roman"/>
          <w:sz w:val="16"/>
          <w:szCs w:val="16"/>
          <w:color w:val="auto"/>
        </w:rPr>
        <w:t>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spacing w:after="0" w:line="168"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revised reimbursement methodology described above generally results in relatively lower reimbursement amounts under Medicare for clinical laboratory services than has been historically reimbursed.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80"/>
          </w:cols>
          <w:pgMar w:left="320" w:top="419" w:right="10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Any reductions to reimbursement rates resulting from the new methodology are limited to 0% in 2023 and 15% per test per year in each of 2024 through 2026.</w:t>
      </w:r>
    </w:p>
    <w:p>
      <w:pPr>
        <w:spacing w:after="0" w:line="145"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Coverage and Reimbursement Considerations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spacing w:after="0" w:line="170"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spacing w:after="0" w:line="165"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The implementation of the ACA in the United States, for example, has changed healthcare financing and delivery by both governmental and private insurers substantially, and affected medical device manufacturers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60"/>
          </w:cols>
          <w:pgMar w:left="320" w:top="419" w:right="11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Regulation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06" w:lineRule="exact"/>
        <w:rPr>
          <w:sz w:val="20"/>
          <w:szCs w:val="20"/>
          <w:color w:val="auto"/>
        </w:rPr>
      </w:pPr>
    </w:p>
    <w:p>
      <w:pPr>
        <w:ind w:left="760" w:right="200" w:firstLine="388"/>
        <w:spacing w:after="0" w:line="252"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31 of this Information Statement.</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440"/>
          </w:cols>
          <w:pgMar w:left="320" w:top="419" w:right="11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4" w:lineRule="exact"/>
        <w:rPr>
          <w:sz w:val="20"/>
          <w:szCs w:val="20"/>
          <w:color w:val="auto"/>
        </w:rPr>
      </w:pPr>
    </w:p>
    <w:p>
      <w:pPr>
        <w:jc w:val="both"/>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360"/>
          </w:cols>
          <w:pgMar w:left="320" w:top="419" w:right="12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78"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119 and 125, respectively, of this Information Statement.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31 and 101, respectively, of this Information Statement.</w:t>
      </w:r>
    </w:p>
    <w:p>
      <w:pPr>
        <w:spacing w:after="0" w:line="165" w:lineRule="exact"/>
        <w:rPr>
          <w:sz w:val="20"/>
          <w:szCs w:val="20"/>
          <w:color w:val="auto"/>
        </w:rPr>
      </w:pPr>
    </w:p>
    <w:p>
      <w:pPr>
        <w:ind w:left="760" w:right="60" w:firstLine="388"/>
        <w:spacing w:after="0" w:line="259" w:lineRule="auto"/>
        <w:rPr>
          <w:sz w:val="20"/>
          <w:szCs w:val="20"/>
          <w:color w:val="auto"/>
        </w:rPr>
      </w:pPr>
      <w:r>
        <w:rPr>
          <w:rFonts w:ascii="Times New Roman" w:cs="Times New Roman" w:eastAsia="Times New Roman" w:hAnsi="Times New Roman"/>
          <w:sz w:val="16"/>
          <w:szCs w:val="16"/>
          <w:i w:val="1"/>
          <w:iCs w:val="1"/>
          <w:color w:val="auto"/>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58"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w:t>
      </w:r>
    </w:p>
    <w:p>
      <w:pPr>
        <w:spacing w:after="0" w:line="165" w:lineRule="exact"/>
        <w:rPr>
          <w:sz w:val="20"/>
          <w:szCs w:val="20"/>
          <w:color w:val="auto"/>
        </w:rPr>
      </w:pPr>
    </w:p>
    <w:p>
      <w:pPr>
        <w:ind w:left="760" w:right="4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diagnosis of cancer by healthcare providers in required follow-up diagnostic testing. Galleri is not a diagnostic</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480"/>
          </w:cols>
          <w:pgMar w:left="320" w:top="419" w:right="10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20"/>
        <w:spacing w:after="0" w:line="258" w:lineRule="auto"/>
        <w:rPr>
          <w:sz w:val="20"/>
          <w:szCs w:val="20"/>
          <w:color w:val="auto"/>
        </w:rPr>
      </w:pPr>
      <w:r>
        <w:rPr>
          <w:rFonts w:ascii="Times New Roman" w:cs="Times New Roman" w:eastAsia="Times New Roman" w:hAnsi="Times New Roman"/>
          <w:sz w:val="16"/>
          <w:szCs w:val="16"/>
          <w:color w:val="auto"/>
        </w:rPr>
        <w:t>test and has not been approved or cleared by the U.S. Food and Drug Administration.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1"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Since our inception, we have incurred net losses each year. We incurred net losses of $218.9 million and $193.7 million for the three months ended March 31, 2024 and April 2, 2023, respectively. Our net losses were $1.5 billion for fiscal year 2023 (which includes $718.5 million of goodwill and intangible impairment), $5.4 billion for fiscal year 2022 (which includes $4.7 billion in goodwill impairment), $911.5 million for the 2021 successor period and $336.2 million for 2021 predecessor period (see “Basis of Presentation” below for a description of applicable fiscal periods). Adjusted EBITDA was $(152.0) million and $(137.8) million for the three months ended March 31, 2024 and April 2, 2023, respectively. Adjusted EBITDA was $(523.9) million for fiscal year 2023, $(500.1) million for fiscal year 2022, $(216.5)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impairment, amortization of intangible assets, as well as our research and development programs, general and administrative (“G&amp;A”) expenses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w:t>
      </w:r>
    </w:p>
    <w:p>
      <w:pPr>
        <w:spacing w:after="0" w:line="2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from Illumina</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 2024, Illumina announced plans for the separation of GRAIL from Illumina via the Spin-Off.</w:t>
      </w:r>
    </w:p>
    <w:p>
      <w:pPr>
        <w:spacing w:after="0" w:line="197"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6"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w:t>
      </w:r>
    </w:p>
    <w:p>
      <w:pPr>
        <w:spacing w:after="0" w:line="14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60"/>
          </w:cols>
          <w:pgMar w:left="320" w:top="419" w:right="11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will have incurred significant costs related to the Spin-Off, including fees for consultants, financial and legal advisors, accountants, and auditors, that will not be recouped. Total one-time transaction costs associated with the Spin-Off are preliminarily estimated to be $20 million for GRAIL and estimated to range from $60 million to $75 million for Illumina if the Spin-Off is completed. If the Spin-Off is not completed for any reason, the one-time transaction costs will generally be limited to the transaction costs incurred for services rendered as of the date the Spin-Off is abandoned, which will be less than the amounts noted above. Our management will also have devoted significant time to manage the Spin-Off process, which will decrease the time they will have to manage our business. See the section entitled “The Spin-Off—Conditions to the Spin-Off” beginning on page 113 of this Information Statement for more detail.</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68"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(iii) “fiscal year 2022” refer to the period from January 2, 2022 through January 1, 2023, and (iv) “fiscal year 2023” refer to the period from January 2, 2023 to December 31, 2023.</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w:t>
      </w:r>
    </w:p>
    <w:p>
      <w:pPr>
        <w:spacing w:after="0" w:line="16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Subsequent to the separation from Illumina, we expect to incur additional costs as a separate public company. These additional costs are primarily related to certain supporting functions that may differ from and be higher than the costs historically incurred or allocated to us.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additional costs we expect to incur as a separate public company are summarized as follows:</w:t>
      </w:r>
    </w:p>
    <w:p>
      <w:pPr>
        <w:spacing w:after="0" w:line="114" w:lineRule="exact"/>
        <w:rPr>
          <w:sz w:val="20"/>
          <w:szCs w:val="20"/>
          <w:color w:val="auto"/>
        </w:rPr>
      </w:pPr>
    </w:p>
    <w:p>
      <w:pPr>
        <w:ind w:left="1620" w:hanging="375"/>
        <w:spacing w:after="0" w:line="278" w:lineRule="auto"/>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and audit related costs, professional services, and new systems and software to support the accounting, financial reporting, and audits as a standalone public company;</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including compensation-related expenses for additional headcount to enhance our capabilities in areas such as investor relations, accounting, financial reporting, treasury, risk management, and equity administration, among others; and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40"/>
          </w:cols>
          <w:pgMar w:left="320" w:top="419" w:right="11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40" w:hanging="375"/>
        <w:spacing w:after="0" w:line="313"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governance costs, including but not limited to board of directors compensation and expenses, insurance, legal and other professional services fees, annual report and proxy statement costs, SEC filing fees, transfer agent fees, and stock exchange listing fees.</w:t>
      </w:r>
    </w:p>
    <w:p>
      <w:pPr>
        <w:spacing w:after="0" w:line="121"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These additional costs are expected to increase our G&amp;A expenses. Certain factors could impact the nature and amount of these separate public company costs, including the finalization of our staffing and infrastructure needs.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Key Factors Affecting Performance</w:t>
      </w:r>
    </w:p>
    <w:p>
      <w:pPr>
        <w:spacing w:after="0" w:line="106" w:lineRule="exact"/>
        <w:rPr>
          <w:sz w:val="20"/>
          <w:szCs w:val="20"/>
          <w:color w:val="auto"/>
        </w:rPr>
      </w:pPr>
    </w:p>
    <w:p>
      <w:pPr>
        <w:ind w:left="760" w:right="560" w:firstLine="388"/>
        <w:spacing w:after="0" w:line="278" w:lineRule="auto"/>
        <w:rPr>
          <w:sz w:val="20"/>
          <w:szCs w:val="20"/>
          <w:color w:val="auto"/>
        </w:rPr>
      </w:pPr>
      <w:r>
        <w:rPr>
          <w:rFonts w:ascii="Times New Roman" w:cs="Times New Roman" w:eastAsia="Times New Roman" w:hAnsi="Times New Roman"/>
          <w:sz w:val="16"/>
          <w:szCs w:val="16"/>
          <w:color w:val="auto"/>
        </w:rPr>
        <w:t>We believe there are several important factors that have impacted and that we expect will impact our operating performance and results of operations, including:</w:t>
      </w:r>
    </w:p>
    <w:p>
      <w:pPr>
        <w:spacing w:after="0" w:line="58" w:lineRule="exact"/>
        <w:rPr>
          <w:sz w:val="20"/>
          <w:szCs w:val="20"/>
          <w:color w:val="auto"/>
        </w:rPr>
      </w:pPr>
    </w:p>
    <w:p>
      <w:pPr>
        <w:ind w:left="1620" w:right="20" w:hanging="375"/>
        <w:spacing w:after="0" w:line="254" w:lineRule="auto"/>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Continued development of the market for MCED testing</w:t>
      </w:r>
      <w:r>
        <w:rPr>
          <w:rFonts w:ascii="Times New Roman" w:cs="Times New Roman" w:eastAsia="Times New Roman" w:hAnsi="Times New Roman"/>
          <w:sz w:val="16"/>
          <w:szCs w:val="16"/>
          <w:color w:val="auto"/>
        </w:rPr>
        <w:t>. Multi-cancer early detection is a relatively novel concept and the market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76" w:lineRule="exact"/>
        <w:rPr>
          <w:rFonts w:ascii="Times New Roman" w:cs="Times New Roman" w:eastAsia="Times New Roman" w:hAnsi="Times New Roman"/>
          <w:sz w:val="16"/>
          <w:szCs w:val="16"/>
          <w:color w:val="auto"/>
        </w:rPr>
      </w:pPr>
    </w:p>
    <w:p>
      <w:pPr>
        <w:ind w:left="1620" w:right="40" w:hanging="375"/>
        <w:spacing w:after="0" w:line="250" w:lineRule="auto"/>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Demand for our products and customer mix</w:t>
      </w:r>
      <w:r>
        <w:rPr>
          <w:rFonts w:ascii="Times New Roman" w:cs="Times New Roman" w:eastAsia="Times New Roman" w:hAnsi="Times New Roman"/>
          <w:sz w:val="16"/>
          <w:szCs w:val="16"/>
          <w:color w:val="auto"/>
        </w:rPr>
        <w:t>. A key factor to our future success is and will be our ability to increase demand for, and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March 31, 2024, we have entered into over 100 commercial partnerships, including with leading healthcare systems, employers, payors, and life insurance providers, and have established a network of over 10,000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85" w:lineRule="exact"/>
        <w:rPr>
          <w:rFonts w:ascii="Times New Roman" w:cs="Times New Roman" w:eastAsia="Times New Roman" w:hAnsi="Times New Roman"/>
          <w:sz w:val="16"/>
          <w:szCs w:val="16"/>
          <w:color w:val="auto"/>
        </w:rPr>
      </w:pPr>
    </w:p>
    <w:p>
      <w:pPr>
        <w:ind w:left="1620" w:hanging="375"/>
        <w:spacing w:after="0" w:line="275"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FDA and regulatory approval and reimbursement</w:t>
      </w:r>
      <w:r>
        <w:rPr>
          <w:rFonts w:ascii="Times New Roman" w:cs="Times New Roman" w:eastAsia="Times New Roman" w:hAnsi="Times New Roman"/>
          <w:sz w:val="15"/>
          <w:szCs w:val="15"/>
          <w:color w:val="auto"/>
        </w:rPr>
        <w:t>. Our performance will be impacted by the extent to which we can secure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reimbursement and coverage for our products. Prior to broader coverage and reimbursement in the United States, we will continue our work with clinics and 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but do not currently have broader coverage and reimbursement by government healthcare programs, such as Medicare. While Galleri has not been approved or cleared by the FDA, FDA approval is currently not required to market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480"/>
          </w:cols>
          <w:pgMar w:left="320" w:top="419" w:right="10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20"/>
        <w:spacing w:after="0" w:line="250" w:lineRule="auto"/>
        <w:rPr>
          <w:sz w:val="20"/>
          <w:szCs w:val="20"/>
          <w:color w:val="auto"/>
        </w:rPr>
      </w:pPr>
      <w:r>
        <w:rPr>
          <w:rFonts w:ascii="Times New Roman" w:cs="Times New Roman" w:eastAsia="Times New Roman" w:hAnsi="Times New Roman"/>
          <w:sz w:val="16"/>
          <w:szCs w:val="16"/>
          <w:color w:val="auto"/>
        </w:rPr>
        <w:t>our tests in the United States. We plan to pursue FDA approval to support broad access for Galleri in the United States. We plan to complete a PMA submission with the FDA in the first half of 2026.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 inclusion of Galleri in the USPSTF’s guideline recommendation, although such inclusion is not certain even with FDA approval. We believe such inclusion would further increase adoption and market acceptance of our tests. Over time, to the extent Galleri becomes more accessible in the United States, we may opt to reduce pricing in order to access a broader population base and accelerate adoption.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data generated from our NHS-Galleri Trial could facilitate adoption in other single-payor systems around the world and support evidence of clinical utility worldwide.</w:t>
      </w:r>
    </w:p>
    <w:p>
      <w:pPr>
        <w:spacing w:after="0" w:line="86" w:lineRule="exact"/>
        <w:rPr>
          <w:sz w:val="20"/>
          <w:szCs w:val="20"/>
          <w:color w:val="auto"/>
        </w:rPr>
      </w:pPr>
    </w:p>
    <w:p>
      <w:pPr>
        <w:ind w:left="1620" w:right="140" w:hanging="375"/>
        <w:spacing w:after="0" w:line="251" w:lineRule="auto"/>
        <w:tabs>
          <w:tab w:leader="none" w:pos="1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Investment in clinical studies and innovation to support our strategy and growth</w:t>
      </w:r>
      <w:r>
        <w:rPr>
          <w:rFonts w:ascii="Times New Roman" w:cs="Times New Roman" w:eastAsia="Times New Roman" w:hAnsi="Times New Roman"/>
          <w:sz w:val="16"/>
          <w:szCs w:val="16"/>
          <w:color w:val="auto"/>
        </w:rPr>
        <w:t>. A significant aspect of our business is our investment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REFLECTION and Galleri-Medicare.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w:t>
      </w:r>
    </w:p>
    <w:p>
      <w:pPr>
        <w:spacing w:after="0" w:line="82" w:lineRule="exact"/>
        <w:rPr>
          <w:rFonts w:ascii="Times New Roman" w:cs="Times New Roman" w:eastAsia="Times New Roman" w:hAnsi="Times New Roman"/>
          <w:sz w:val="16"/>
          <w:szCs w:val="16"/>
          <w:color w:val="auto"/>
        </w:rPr>
      </w:pPr>
    </w:p>
    <w:p>
      <w:pPr>
        <w:ind w:left="1620" w:hanging="375"/>
        <w:spacing w:after="0" w:line="254" w:lineRule="auto"/>
        <w:tabs>
          <w:tab w:leader="none" w:pos="1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Leverage our operational infrastructure</w:t>
      </w:r>
      <w:r>
        <w:rPr>
          <w:rFonts w:ascii="Times New Roman" w:cs="Times New Roman" w:eastAsia="Times New Roman" w:hAnsi="Times New Roman"/>
          <w:sz w:val="16"/>
          <w:szCs w:val="16"/>
          <w:color w:val="auto"/>
        </w:rPr>
        <w:t>. We have made significant investments to build a scalable infrastructure capable of meeting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480"/>
          </w:cols>
          <w:pgMar w:left="320" w:top="419" w:right="10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620" w:right="80" w:hanging="375"/>
        <w:spacing w:after="0" w:line="260" w:lineRule="auto"/>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International expansion</w:t>
      </w:r>
      <w:r>
        <w:rPr>
          <w:rFonts w:ascii="Times New Roman" w:cs="Times New Roman" w:eastAsia="Times New Roman" w:hAnsi="Times New Roman"/>
          <w:sz w:val="16"/>
          <w:szCs w:val="16"/>
          <w:color w:val="auto"/>
        </w:rPr>
        <w:t>. A component of our long-term growth strategy is to expand our commercial reach internationally.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w:t>
      </w:r>
    </w:p>
    <w:p>
      <w:pPr>
        <w:spacing w:after="0" w:line="159"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While each of these areas presents significant opportunities for us, they also pose significant risks and challenges that we must address. See “Risk Factors” for more information.</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Components of Results of Operations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currently derive screening revenue through the sale of Galleri within the United States and primarily through primary care physicians,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also derive revenue through our development services, which consist of services we provide to biopharmaceutical and clinical customers including support of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to support clinical study and companion diagnostic device development and regulatory submissions for the developed product(s) using an input method based on costs incurred to measure progress toward the completion and satisfaction of performance obligations.</w:t>
      </w:r>
    </w:p>
    <w:p>
      <w:pPr>
        <w:spacing w:after="0" w:line="259" w:lineRule="exact"/>
        <w:rPr>
          <w:sz w:val="20"/>
          <w:szCs w:val="20"/>
          <w:color w:val="auto"/>
        </w:rPr>
      </w:pPr>
    </w:p>
    <w:p>
      <w:pPr>
        <w:ind w:left="1160" w:right="60"/>
        <w:spacing w:after="0" w:line="281" w:lineRule="auto"/>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Cost of Development Services Revenue, Cost of Screening Revenue— Related Parties, and Cost of Development Services Revenue—Related Parties</w:t>
      </w:r>
    </w:p>
    <w:p>
      <w:pPr>
        <w:spacing w:after="0" w:line="4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screening revenue—related parties and cost of development services revenue—related parties represent the costs of supplies purchased from related parties used in the generation of revenue from all customers.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60"/>
          </w:cols>
          <w:pgMar w:left="320" w:top="419" w:right="11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Research and development—related parties expenses include only those costs incurred with related parties as further discussed in Note 8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as we continue to invest in building brand awareness of our current products and services, as well as additional product marketing and sales functions.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 and General and Administrative—Related Parties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increase as we become a standalone public company and continue to grow our business. We will incur additional expenses as a result of operating as a public company, including expenses related to compliance with the rules and regulations of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60"/>
          </w:cols>
          <w:pgMar w:left="320" w:top="419" w:right="11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SEC, director and officer insurance premiums, investor relations activities, and other expenses related to administrative and professional services. We also expect to increase our administrative headcount as a standalone public company.</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In the third quarter of 2023, we concluded the sustained decrease in Illumina’s stock price and overall market capitalization during the quarter was a triggering event indicating the fair value of GRAIL might be less than its carrying amount that led us to test goodwill for impairment. We recognized an additional goodwill impairment of $608.5 million in 2023 primarily due to changes to expected timing of revenue and a higher discount rate. We evaluate goodwill impairment annually or more frequently if an event occurs or circumstances change in the interim that would more likely than not reduce the fair value of the asset below its carrying amount. See “Note 2—Summary of Significant Accounting Policies—Goodwill and Intangible Assets” to our Consolidated Financial Statements.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Other income (expense), net primarily consists of foreign currency gains and losses as a result of our intercompany agreements.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Benefit from Income Taxes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Upon closing of the Acquisition, as a wholly owned entity of Illumina, we were no longer subject to U.S. income tax for the successor periods on a standalone basis and U.S. income tax is combined into Illumina’s consolidated income tax return as a division of Illumina. However, for 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440"/>
          </w:cols>
          <w:pgMar w:left="320" w:top="419" w:right="11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Comparisons of the Three Months Ended March 31, 2024 and April 2, 2023</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three months ended March 31, 2024 and April 2, 2023.</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3"/>
                <w:szCs w:val="13"/>
                <w:color w:val="auto"/>
              </w:rPr>
            </w:pPr>
          </w:p>
        </w:tc>
        <w:tc>
          <w:tcPr>
            <w:tcW w:w="212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980" w:type="dxa"/>
            <w:vAlign w:val="bottom"/>
            <w:vMerge w:val="continue"/>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380" w:type="dxa"/>
            <w:vAlign w:val="bottom"/>
          </w:tcPr>
          <w:p>
            <w:pPr>
              <w:spacing w:after="0"/>
              <w:rPr>
                <w:sz w:val="10"/>
                <w:szCs w:val="10"/>
                <w:color w:val="auto"/>
              </w:rPr>
            </w:pPr>
          </w:p>
        </w:tc>
        <w:tc>
          <w:tcPr>
            <w:tcW w:w="580" w:type="dxa"/>
            <w:vAlign w:val="bottom"/>
            <w:tcBorders>
              <w:top w:val="single" w:sz="8" w:color="auto"/>
            </w:tcBorders>
          </w:tcPr>
          <w:p>
            <w:pPr>
              <w:jc w:val="right"/>
              <w:ind w:right="182"/>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23,410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15,320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8,090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252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4,071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(889)</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19,643</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7,078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10,990</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8,846</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2,144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1,579</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1,153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1,336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 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33,472</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33,472</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96,390</w:t>
            </w: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80,521</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15,869</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5,352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46,819</w:t>
            </w: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45,835</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57,018</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46,658</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10,360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4"/>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254,143</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223,674</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30,469</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(227,422)</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(204,031)</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(23,391)</w:t>
            </w:r>
          </w:p>
        </w:tc>
        <w:tc>
          <w:tcPr>
            <w:tcW w:w="3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2,227</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674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8"/>
        </w:trPr>
        <w:tc>
          <w:tcPr>
            <w:tcW w:w="59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3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(224,479)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8"/>
              </w:rPr>
              <w:t>(201,709)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(22,770)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8"/>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36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(218,914)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8"/>
              </w:rPr>
              <w:t>(193,666)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(25,248)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 of the Three Months Ended March 31, 2024 and April 2, 2023:</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increase in screening revenue of $8.0 million was primarily attributable to an increase in Galleri sales volume. The Galleri sales volume increased in 2024 as a result of the continued ramp in our commercial activity, expansion of our network of ordering providers, additional commercial partnerships and new promotional campaigns.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1120" w:firstLine="388"/>
        <w:spacing w:after="0" w:line="278" w:lineRule="auto"/>
        <w:rPr>
          <w:sz w:val="20"/>
          <w:szCs w:val="20"/>
          <w:color w:val="auto"/>
        </w:rPr>
      </w:pPr>
      <w:r>
        <w:rPr>
          <w:rFonts w:ascii="Times New Roman" w:cs="Times New Roman" w:eastAsia="Times New Roman" w:hAnsi="Times New Roman"/>
          <w:sz w:val="16"/>
          <w:szCs w:val="16"/>
          <w:color w:val="auto"/>
        </w:rPr>
        <w:t>The decrease in development services revenue of $0.9 million was primarily due to a decrease in revenue earned from pilots with biopharmaceutical partners as a result of milestones earned in 2023 that did not reoccur.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480"/>
          </w:cols>
          <w:pgMar w:left="320" w:top="419" w:right="10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$3.3 million was primarily attributable to an increase in test volume. Cost of screening revenue (exclusive of amortization of intangible assets) and cost</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of screening revenue—related parties as a percent of revenue decreased in the first quarter of 2024 primarily due to improved efficiency of Galleri</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testing process and increased Galleri sales volume.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The cost of development services revenue and cost of development services revenue—related parties increased due to an increase in cost of supplies utilized in development services projects completed during the period.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Cost of revenue—amortization of intangible assets remained consistent period over period.</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three months ended March 31, 2024 and April 2, 2023 were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0" w:type="dxa"/>
            <w:vAlign w:val="bottom"/>
          </w:tcPr>
          <w:p>
            <w:pPr>
              <w:spacing w:after="0"/>
              <w:rPr>
                <w:sz w:val="13"/>
                <w:szCs w:val="13"/>
                <w:color w:val="auto"/>
              </w:rPr>
            </w:pPr>
          </w:p>
        </w:tc>
        <w:tc>
          <w:tcPr>
            <w:tcW w:w="19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240" w:type="dxa"/>
            <w:vAlign w:val="bottom"/>
            <w:tcBorders>
              <w:bottom w:val="single" w:sz="8" w:color="CCEEFF"/>
            </w:tcBorders>
            <w:vMerge w:val="continue"/>
          </w:tcPr>
          <w:p>
            <w:pPr>
              <w:spacing w:after="0"/>
              <w:rPr>
                <w:sz w:val="10"/>
                <w:szCs w:val="10"/>
                <w:color w:val="auto"/>
              </w:rPr>
            </w:pPr>
          </w:p>
        </w:tc>
        <w:tc>
          <w:tcPr>
            <w:tcW w:w="840" w:type="dxa"/>
            <w:vAlign w:val="bottom"/>
            <w:tcBorders>
              <w:top w:val="single" w:sz="8" w:color="auto"/>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3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4"/>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50,291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43,987</w:t>
            </w: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$ 6,304</w:t>
            </w:r>
          </w:p>
        </w:tc>
        <w:tc>
          <w:tcPr>
            <w:tcW w:w="3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16,083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14,382</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1,701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16,268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10,352</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5,916</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2,235</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expenses</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3,230</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13,566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11,687</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1,879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74"/>
        </w:trPr>
        <w:tc>
          <w:tcPr>
            <w:tcW w:w="624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Total research and development and research and development—related parties</w:t>
            </w: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101,625</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85,873</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15,752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increase in the compensation expenses of $6.3 million was primarily attributable to increased headcount and employee long-term incentive awards. The increase in clinical studies and research collaboration expenses of $1.7 million was primarily driven by an increase in clinical study enrollment activity and an increase in research collaboration expenses. The increase in laboratory supplies and expenses of $5.9 million was primarily driven by increased research and development, clinical study sample processing, and validation testing. The decrease of $0.1 million in cloud computing expenses was primarily due to cost optimization efforts. The increase of $0.1 million in depreciation expenses was attributable to an increase in depreciation on laboratory equipment placed into service. The increase of $1.9 million in allocated and other expenses was primarily driven by higher software, IT, and facilities expenses being allocated to the research and development function, in addition to an increase in the use of contractors and temporary labor.</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increase in sales and marketing expenses of $1.0 million was primarily attributable to an increase of $2.4 million in compensation expenses, primarily due to increased headcount. This increase was partially offset by a decrease of $1.5 million in third-party marketing and professional services expenses as well as decreases in allocated facilities expenses.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480"/>
          </w:cols>
          <w:pgMar w:left="320" w:top="419" w:right="10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04"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The increase in general and administrative expenses of $10.4 million was primarily attributable to an increase of $7.5 million in compensation expenses due to increased headcount and employee long-term incentive awards. Legal and professional services increased by $3.2 million primarily related to legal and professional services costs associated with the antitrust litigation and divestiture related costs. Corporate IT expenses increased by $0.5 million to support the increase in headcount. These increases were partially offset by decreases in facilities costs, net of allocation.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increase in interest income of $0.7 million was primarily driven by an increase in interest earned on our money market accounts primarily due an increase in the balance of money market funds held.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decrease in other income was primarily a result the fluctuation of foreign currency exchange rates.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Comparisons of Fiscal Year 2023 to Fiscal Year 2022</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2023 and fiscal year 2022.</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520" w:type="dxa"/>
            <w:vAlign w:val="bottom"/>
          </w:tcPr>
          <w:p>
            <w:pPr>
              <w:spacing w:after="0"/>
              <w:rPr>
                <w:sz w:val="8"/>
                <w:szCs w:val="8"/>
                <w:color w:val="auto"/>
              </w:rPr>
            </w:pPr>
          </w:p>
        </w:tc>
        <w:tc>
          <w:tcPr>
            <w:tcW w:w="1040" w:type="dxa"/>
            <w:vAlign w:val="bottom"/>
            <w:tcBorders>
              <w:top w:val="single" w:sz="8" w:color="auto"/>
            </w:tcBorders>
            <w:gridSpan w:val="3"/>
          </w:tcPr>
          <w:p>
            <w:pPr>
              <w:jc w:val="right"/>
              <w:ind w:right="221"/>
              <w:spacing w:after="0" w:line="101"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2"/>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520" w:type="dxa"/>
            <w:vAlign w:val="bottom"/>
            <w:tcBorders>
              <w:bottom w:val="single" w:sz="8" w:color="CCEEFF"/>
            </w:tcBorders>
            <w:vMerge w:val="continue"/>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74,347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39,123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35,224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18,106</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2,373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93,105</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37,555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39,284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11,286</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4,540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882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318,088</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310,431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7,657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20,657</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19,145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1,512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162,292</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122,328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39,964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200,062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173,494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26,568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(408)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718,466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(3,981,965)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98"/>
        </w:trPr>
        <w:tc>
          <w:tcPr>
            <w:tcW w:w="5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(3,889,953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(1,515,382)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6"/>
              </w:rPr>
              <w:t>(5,442,890)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3,927,508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6,214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6"/>
                <w:szCs w:val="16"/>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7,746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6,244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(1,507,636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(5,441,388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3,933,752</w:t>
            </w:r>
          </w:p>
        </w:tc>
        <w:tc>
          <w:tcPr>
            <w:tcW w:w="2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(339)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(1,465,685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(5,399,098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$ 3,933,413</w:t>
            </w:r>
          </w:p>
        </w:tc>
        <w:tc>
          <w:tcPr>
            <w:tcW w:w="2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740"/>
              <w:spacing w:after="0"/>
              <w:rPr>
                <w:sz w:val="20"/>
                <w:szCs w:val="20"/>
                <w:color w:val="auto"/>
              </w:rPr>
            </w:pPr>
            <w:r>
              <w:rPr>
                <w:rFonts w:ascii="Times New Roman" w:cs="Times New Roman" w:eastAsia="Times New Roman" w:hAnsi="Times New Roman"/>
                <w:sz w:val="16"/>
                <w:szCs w:val="16"/>
                <w:color w:val="auto"/>
              </w:rPr>
              <w:t>196</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 of Fiscal Year 2023 to Fiscal Year 2022:</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jc w:val="both"/>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increase in screening revenue of $35.2 million was primarily attributable to an increase in Galleri sales volume. The Galleri sales volume increased in 2023 as a result of the continued ramp in our commercial activity, including as a result of our expansion of our dedicated sales team in 2022, expansion of our network of ordering providers, additional commercial partnerships, and additional marketing efforts.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1060" w:firstLine="388"/>
        <w:spacing w:after="0" w:line="278" w:lineRule="auto"/>
        <w:rPr>
          <w:sz w:val="20"/>
          <w:szCs w:val="20"/>
          <w:color w:val="auto"/>
        </w:rPr>
      </w:pPr>
      <w:r>
        <w:rPr>
          <w:rFonts w:ascii="Times New Roman" w:cs="Times New Roman" w:eastAsia="Times New Roman" w:hAnsi="Times New Roman"/>
          <w:sz w:val="16"/>
          <w:szCs w:val="16"/>
          <w:color w:val="auto"/>
        </w:rPr>
        <w:t>The increase in development services revenue of $2.4 million was primarily due to an increase in samples processed in pilots with biopharmaceutical partners in fiscal year 2023.</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$15.8 million was primarily attributable to the increase in test volume. Cost of screening revenue (exclusive of amortization of intangible assets)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screening revenue—related parties as a percent of revenue decreased in fiscal year 2023 primarily due to improved efficiency of Galleri testing</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process, primarily due to increased Galleri sales volume.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Cost of revenue—amortization of intangible assets remained consistent period over period.</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fiscal years 2023 and 2022 were as follows: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320" w:type="dxa"/>
            <w:vAlign w:val="bottom"/>
            <w:tcBorders>
              <w:bottom w:val="single" w:sz="8" w:color="CCEEFF"/>
            </w:tcBorders>
            <w:vMerge w:val="continue"/>
          </w:tcPr>
          <w:p>
            <w:pPr>
              <w:spacing w:after="0"/>
              <w:rPr>
                <w:sz w:val="10"/>
                <w:szCs w:val="10"/>
                <w:color w:val="auto"/>
              </w:rPr>
            </w:pPr>
          </w:p>
        </w:tc>
        <w:tc>
          <w:tcPr>
            <w:tcW w:w="104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2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9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174,469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154,739</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$ 19,730</w:t>
            </w:r>
          </w:p>
        </w:tc>
        <w:tc>
          <w:tcPr>
            <w:tcW w:w="5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56,934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69,938</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(13,004)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39,599</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32,487</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7,112</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8,897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10,465</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(1,568)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12,058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8,163</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3,895</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46,788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53,784</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(6,996)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74"/>
        </w:trPr>
        <w:tc>
          <w:tcPr>
            <w:tcW w:w="53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Total research and development and research and development—related</w:t>
            </w: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parties expenses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338,745</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329,576</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9,169</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740"/>
              <w:spacing w:after="0"/>
              <w:rPr>
                <w:sz w:val="20"/>
                <w:szCs w:val="20"/>
                <w:color w:val="auto"/>
              </w:rPr>
            </w:pPr>
            <w:r>
              <w:rPr>
                <w:rFonts w:ascii="Times New Roman" w:cs="Times New Roman" w:eastAsia="Times New Roman" w:hAnsi="Times New Roman"/>
                <w:sz w:val="16"/>
                <w:szCs w:val="16"/>
                <w:color w:val="auto"/>
              </w:rPr>
              <w:t>197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increase in the compensation expenses of $19.7 million was primarily attributable to increased headcount and employee long-term incentive awards. The decrease in clinical studies and research collaboration expenses of $13.0 million was primarily attributable to a reduction in clinical study expenses related to the clinical studies which previously completed enrollment and decreased study activity maintenance costs. The increase in the laboratory supplies and expenses of $7.1 million was primarily due to increased research and development and clinical study sample processing and cost optimization efforts. The decrease of $1.6 million in cloud computing expenses was primarily due to a decrease in clinical trial data processing. The increase of $3.9 million in depreciation and impairment expenses was attributable to a full year of depreciation on laboratory equipment placed into service in 2022. Allocated and other expenses decreased as a result of lower software, IT, and facilities expenses being allocated to the research and development function, in addition to decreases in the use of contractors and temporary labor.</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increase in sales and marketing expenses of $40.0 million was primarily attributable to an increase of $34.5 million in compensation expenses, primarily due to increased headcount in our dedicated sales team hired to support Galleri. Third-party marketing and professional services expenses increased by $2.7 million primarily due to a 2023 marketing event. Additionally, our corporate overhead allocations increased as a result of our increased headcount.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04"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The increase in general and administrative expenses of $26.2 million was primarily attributable to an increase of $24.1 million in compensation expenses due to increased headcount and employee long-term incentive awards. Legal and professional services increased by $1.6 million primarily related to legal and professional services costs associated with the Acquisition and corresponding antitrust litigation. Corporate IT expenses increased by $2.0 million to support the increase in headcount. Facilities and depreciation increased by $1.1 million primarily due to an impairment charge taken on the right of use asset for a office building due to a change in management’s plan of use. These increases were partially offset by decreases in allocated and other expenses as well as a decrease in the use of contractors and temporary labor.</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Impairment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a result of an impairment assessment performed, a goodwill impairment charge of $608.5 million was recorded in the fiscal year 2023 which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represents the amount by which the carrying value of GRAIL exceeded the fair value of GRAIL upon performing a quantitative test, primarily due to</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changes to expected timing of revenue and a higher discount rate. In conjunction with the 2023 impairment assessment, an impairment charge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$110.0 million was recorded to the IPR&amp;D intangible asset. As a result of an impairment assessment performed, an impairment charge of $4.7 billion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was recorded in 2022 which represents the amount by which the carrying value of GRAIL exceeded the fair value of GRAIL upon performing a</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quantitative test.</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increase in interest income of $6.2 million was primarily attributable to an increase in interest earned on our money market accounts primarily due to higher interest rates.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Expense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decrease in other expense was primarily a result of foreign currency gains in the fiscal year 2023.</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480"/>
          </w:cols>
          <w:pgMar w:left="320" w:top="419" w:right="10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2022 to the 2021 Successor Period and the 2021 Predecessor Period</w:t>
      </w:r>
    </w:p>
    <w:p>
      <w:pPr>
        <w:spacing w:after="0" w:line="106"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2022, the 2021 successor period and the 2021 predecessor period. Results between periods presented are not comparable and thus, percentage change has been omitted for presentation purposes.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rPr>
                <w:sz w:val="1"/>
                <w:szCs w:val="1"/>
                <w:color w:val="auto"/>
              </w:rPr>
            </w:pPr>
          </w:p>
        </w:tc>
      </w:tr>
      <w:tr>
        <w:trPr>
          <w:trHeight w:val="101"/>
        </w:trPr>
        <w:tc>
          <w:tcPr>
            <w:tcW w:w="5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68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90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44,630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310,431</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309,781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19,145</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122,328</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100,512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173,494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478,071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impairment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4,700,431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(5,442,890)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(928,154)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98"/>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(5,441,388)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(929,019)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(5,399,098)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(911,542)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2022 to the 2021 Successor Period, and the 2021 Predecessor Period: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increase in screening revenue in fiscal year 2022 as compared to all prior periods presented is a direct result of the commercial launch of Galleri in mid-2021. Screening revenue increased from $2.0 million in the 2021 predecessor period, to $7.4 million in the 2021 successor period. In fiscal year 2022, screening revenue increased to $39.8 million, which was driven by an increased volume of Galleri tests sold and having a full year of commercialized sales compared to seven months of sales in calendar year 2021.</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Development services revenue increased from $0.2 million in the 2021 predecessor period, to $5.0 million in the 2021 successor period, primarily due to pilot and research services performed for biopharmaceutical</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480"/>
          </w:cols>
          <w:pgMar w:left="320" w:top="419" w:right="10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40"/>
        <w:spacing w:after="0" w:line="263" w:lineRule="auto"/>
        <w:rPr>
          <w:sz w:val="20"/>
          <w:szCs w:val="20"/>
          <w:color w:val="auto"/>
        </w:rPr>
      </w:pPr>
      <w:r>
        <w:rPr>
          <w:rFonts w:ascii="Times New Roman" w:cs="Times New Roman" w:eastAsia="Times New Roman" w:hAnsi="Times New Roman"/>
          <w:sz w:val="16"/>
          <w:szCs w:val="16"/>
          <w:color w:val="auto"/>
        </w:rPr>
        <w:t>customers. In fiscal year 2022, development services revenue increased to $15.7 million. The increase in development services revenue in fiscal year 2022 was primarily due to services performed for a large biopharmaceutical partner, as well as new pilots initiated with other biopharmaceutical partners.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corresponded to the increase in screening revenue. Cost of screening revenue and cost of screening revenue—related parties were $5.2 million in the 2021 predecessor period, $5.3 million in the 2021 successor period and $32.1 million in fiscal year 2022. Cost of screening revenue (exclusive of amortization of intangible assets) and cost of screening revenue—related parties as a percent of revenue decreased in fiscal year 2022 primarily due to improved efficiency of Galleri testing process, primarily due to increased volume following the commercial launch of Galleri in mid-2021.</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 Cost of development services revenue and cost of development services revenue—related parties were $0.3 million in the 2021 predecessor period, $0.8 million in the 2021 successor period and $6.0 million in fiscal year 2022.</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increase of the amortization of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predecessor and successor periods were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20" w:type="dxa"/>
            <w:vAlign w:val="bottom"/>
          </w:tcPr>
          <w:p>
            <w:pPr>
              <w:spacing w:after="0"/>
              <w:rPr>
                <w:sz w:val="11"/>
                <w:szCs w:val="11"/>
                <w:color w:val="auto"/>
              </w:rPr>
            </w:pPr>
          </w:p>
        </w:tc>
        <w:tc>
          <w:tcPr>
            <w:tcW w:w="7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5740" w:type="dxa"/>
            <w:vAlign w:val="bottom"/>
            <w:gridSpan w:val="2"/>
            <w:vMerge w:val="continue"/>
          </w:tcPr>
          <w:p>
            <w:pPr>
              <w:spacing w:after="0"/>
              <w:rPr>
                <w:sz w:val="13"/>
                <w:szCs w:val="13"/>
                <w:color w:val="auto"/>
              </w:rPr>
            </w:pPr>
          </w:p>
        </w:tc>
        <w:tc>
          <w:tcPr>
            <w:tcW w:w="980" w:type="dxa"/>
            <w:vAlign w:val="bottom"/>
            <w:gridSpan w:val="2"/>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$ 154,739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$ 256,823</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63,499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69,938</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23,784</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32,487</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4,523</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10,465</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4,196</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8,163</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53,784</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19,682</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research and development and research and development—related parties</w:t>
            </w:r>
          </w:p>
        </w:tc>
        <w:tc>
          <w:tcPr>
            <w:tcW w:w="3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$ 329,576</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$ 311,256</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440" w:firstLine="388"/>
        <w:spacing w:after="0" w:line="263" w:lineRule="auto"/>
        <w:rPr>
          <w:sz w:val="20"/>
          <w:szCs w:val="20"/>
          <w:color w:val="auto"/>
        </w:rPr>
      </w:pPr>
      <w:r>
        <w:rPr>
          <w:rFonts w:ascii="Times New Roman" w:cs="Times New Roman" w:eastAsia="Times New Roman" w:hAnsi="Times New Roman"/>
          <w:sz w:val="16"/>
          <w:szCs w:val="16"/>
          <w:color w:val="auto"/>
        </w:rPr>
        <w:t>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460"/>
          </w:cols>
          <w:pgMar w:left="320" w:top="419" w:right="11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6"/>
          <w:szCs w:val="16"/>
          <w:color w:val="auto"/>
        </w:rPr>
        <w:t>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w:t>
      </w:r>
    </w:p>
    <w:p>
      <w:pPr>
        <w:spacing w:after="0" w:line="161"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w:t>
      </w:r>
    </w:p>
    <w:p>
      <w:pPr>
        <w:spacing w:after="0" w:line="165" w:lineRule="exact"/>
        <w:rPr>
          <w:sz w:val="20"/>
          <w:szCs w:val="20"/>
          <w:color w:val="auto"/>
        </w:rPr>
      </w:pPr>
    </w:p>
    <w:p>
      <w:pPr>
        <w:jc w:val="both"/>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Cloud computing expenses remained relatively unchanged period over period.</w:t>
      </w:r>
    </w:p>
    <w:p>
      <w:pPr>
        <w:spacing w:after="0" w:line="18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Depreciation and impairment expenses increased in 2022 compared to all other periods presented as $20 million of equipment was placed into service at our laboratory locations.</w:t>
      </w:r>
    </w:p>
    <w:p>
      <w:pPr>
        <w:spacing w:after="0" w:line="133"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Allocated and other expenses increased as a result of higher software, IT, and facilities expenses being allocated to the research and development function, in addition to increases in the use of contractors and temporary labor.</w:t>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87"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440"/>
          </w:cols>
          <w:pgMar w:left="320" w:top="419" w:right="11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2021 predecessor period includes non-recurring transaction related professional services fees and insurance premiums of $51.0 million and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$4.5 million, respectively. The increase in G&amp;A expense in the 2021 successor period compared to the 2021 predecessor period was primarily due to the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accelerated vesting of stock-based compensation expenses in connection with the Acquisition, which resulted in $615.0 million of expense recognized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immediately upon closing of the Acquisition in August 2021, $365.5 million of which was allocated to G&amp;A. Non-recurring retention bonuses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$12.4 million and severance related costs of $7.2 million were also incurred in the 2021 successor period. The corresponding decrease from the 2021</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successor period to fiscal year 2022 was primarily a result of these non-recurring transactions not being incurred in fiscal year 2022 and a reduction in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legal expenses. This decrease was partially offset by an increase in facilities expenses in fiscal year 2022.</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As a result of an impairment assessment performed, an impairment charge of $4.7 billion was recorded in 2022 which represents the amount by which the carrying value of GRAIL exceeded the fair value of GRAIL upon performing a quantitative test.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increase in other income (expense), net from the 2021 successor period to fiscal year 2022 primarily related to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determined in accordance with GAAP, this Information Statement also includes the following non-GAAP financial measures for the 2021 predecessor period, 2021 successor period, fiscal year 2022, and fiscal year 2023 and the three months ended March 31, 2024 and April 2, 2023, which information should be read in conjunction with our audited Consolidated Financial Statements and the related notes and accompanying notes included elsewhere in this Information Statement: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Profit/(Loss)</w:t>
      </w:r>
    </w:p>
    <w:p>
      <w:pPr>
        <w:spacing w:after="0" w:line="106"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We calculate Adjusted Gross Profit/(Loss) as gross profit/(loss) (as defined below) adjusted to exclude amortization of intangible assets and stock-based compensation allocated to cost of revenue. Adjusted Gross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460"/>
          </w:cols>
          <w:pgMar w:left="320" w:top="419" w:right="11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Profit/(Loss) should be viewed as a measure of operating performance that is a supplement to, and not a substitute for, operating income or loss from operations, net earnings or loss and other GAAP measures of income (loss) or profitability. The following tables present a reconciliation of gross profit, the most directly comparable financial measure calculated in accordance with GAAP, to Adjusted Gross Profit/(Loss).</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1540" w:type="dxa"/>
            <w:vAlign w:val="bottom"/>
            <w:gridSpan w:val="4"/>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(21,909)</w:t>
            </w:r>
          </w:p>
        </w:tc>
        <w:tc>
          <w:tcPr>
            <w:tcW w:w="68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(25,614)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33,472</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33,472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Profit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140" w:right="380" w:hanging="371"/>
        <w:spacing w:after="0" w:line="278"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vMerge w:val="restart"/>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00" w:type="dxa"/>
            <w:vAlign w:val="bottom"/>
            <w:tcBorders>
              <w:top w:val="single" w:sz="8" w:color="auto"/>
            </w:tcBorders>
            <w:gridSpan w:val="3"/>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8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0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80" w:type="dxa"/>
            <w:vAlign w:val="bottom"/>
            <w:tcBorders>
              <w:right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(95,611)</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(116,447)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7"/>
              </w:rPr>
              <w:t>(38,280)</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Profit/(Loss)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right="380" w:hanging="371"/>
        <w:spacing w:after="0" w:line="278" w:lineRule="auto"/>
        <w:tabs>
          <w:tab w:leader="none" w:pos="114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23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Adjusted EBITDA</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65"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We calculate Adjusted EBITDA as net income (loss) adjusted to exclude interest (income) expense, income tax expense (benefit), depreciation, impairment of goodwill, and amortization of intangible assets, which represent intangible assets resulting from pushdown accounting. We believe that the items subject to these further adjustments are not indicative of our ongoing operations due to their nature, especially considering the impact of certain items as a result of the Acquisition.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480"/>
          </w:cols>
          <w:pgMar w:left="320" w:top="419" w:right="10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tables present a reconciliation of net income (loss), the most directly comparable financial measure calculated in accordance with U.S. GAAP, to Adjusted EBITDA on a consolidated basis.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3"/>
                <w:szCs w:val="13"/>
                <w:color w:val="auto"/>
              </w:rPr>
            </w:pPr>
          </w:p>
        </w:tc>
        <w:tc>
          <w:tcPr>
            <w:tcW w:w="1980" w:type="dxa"/>
            <w:vAlign w:val="bottom"/>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23"/>
        </w:trPr>
        <w:tc>
          <w:tcPr>
            <w:tcW w:w="5220" w:type="dxa"/>
            <w:vAlign w:val="bottom"/>
            <w:vMerge w:val="continue"/>
          </w:tcPr>
          <w:p>
            <w:pPr>
              <w:spacing w:after="0"/>
              <w:rPr>
                <w:sz w:val="10"/>
                <w:szCs w:val="10"/>
                <w:color w:val="auto"/>
              </w:rPr>
            </w:pPr>
          </w:p>
        </w:tc>
        <w:tc>
          <w:tcPr>
            <w:tcW w:w="136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(218,914)</w:t>
            </w: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 (193,666)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(2,901)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1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(5,565)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(8,043)</w:t>
            </w: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34,584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34,584</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5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5,257</w:t>
            </w: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620"/>
              <w:spacing w:after="0" w:line="174" w:lineRule="exact"/>
              <w:rPr>
                <w:sz w:val="20"/>
                <w:szCs w:val="20"/>
                <w:color w:val="auto"/>
              </w:rPr>
            </w:pPr>
            <w:r>
              <w:rPr>
                <w:rFonts w:ascii="Times New Roman" w:cs="Times New Roman" w:eastAsia="Times New Roman" w:hAnsi="Times New Roman"/>
                <w:sz w:val="16"/>
                <w:szCs w:val="16"/>
                <w:color w:val="auto"/>
              </w:rPr>
              <w:t>Illumina/GRAIL merger &amp; divestiture legal and professional</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services costs (2)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5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4,788</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 (3)</w:t>
            </w:r>
          </w:p>
        </w:tc>
        <w:tc>
          <w:tcPr>
            <w:tcW w:w="180" w:type="dxa"/>
            <w:vAlign w:val="bottom"/>
          </w:tcPr>
          <w:p>
            <w:pPr>
              <w:spacing w:after="0"/>
              <w:rPr>
                <w:sz w:val="16"/>
                <w:szCs w:val="16"/>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29,106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21,516</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(151,969)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 (137,791)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140" w:hanging="371"/>
        <w:spacing w:after="0"/>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right="20" w:hanging="371"/>
        <w:spacing w:after="0" w:line="248" w:lineRule="auto"/>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198"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vMerge w:val="restart"/>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2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tcBorders>
              <w:right w:val="single" w:sz="8" w:color="auto"/>
            </w:tcBorders>
            <w:gridSpan w:val="2"/>
          </w:tcPr>
          <w:p>
            <w:pPr>
              <w:jc w:val="center"/>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80" w:type="dxa"/>
            <w:vAlign w:val="bottom"/>
            <w:gridSpan w:val="4"/>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00" w:type="dxa"/>
            <w:vAlign w:val="bottom"/>
            <w:tcBorders>
              <w:right w:val="single" w:sz="8" w:color="auto"/>
            </w:tcBorders>
            <w:gridSpan w:val="2"/>
          </w:tcPr>
          <w:p>
            <w:pPr>
              <w:jc w:val="center"/>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1"/>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49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(1,465,685)</w:t>
            </w:r>
          </w:p>
        </w:tc>
        <w:tc>
          <w:tcPr>
            <w:tcW w:w="1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(5,399,098)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 (911,542)</w:t>
            </w:r>
          </w:p>
        </w:tc>
        <w:tc>
          <w:tcPr>
            <w:tcW w:w="12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(1,740)</w:t>
            </w:r>
          </w:p>
        </w:tc>
        <w:tc>
          <w:tcPr>
            <w:tcW w:w="8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8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(42,290)</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138,333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46,111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16,430</w:t>
            </w:r>
          </w:p>
        </w:tc>
        <w:tc>
          <w:tcPr>
            <w:tcW w:w="80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Goodwill and intangible impairment(2)</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718,466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4900" w:type="dxa"/>
            <w:vAlign w:val="bottom"/>
          </w:tcPr>
          <w:p>
            <w:pPr>
              <w:ind w:left="640"/>
              <w:spacing w:after="0" w:line="174" w:lineRule="exact"/>
              <w:rPr>
                <w:sz w:val="20"/>
                <w:szCs w:val="20"/>
                <w:color w:val="auto"/>
              </w:rPr>
            </w:pPr>
            <w:r>
              <w:rPr>
                <w:rFonts w:ascii="Times New Roman" w:cs="Times New Roman" w:eastAsia="Times New Roman" w:hAnsi="Times New Roman"/>
                <w:sz w:val="16"/>
                <w:szCs w:val="16"/>
                <w:color w:val="auto"/>
              </w:rPr>
              <w:t>Illumina/GRAIL merger legal and professional services costs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17,320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12,127</w:t>
            </w:r>
          </w:p>
        </w:tc>
        <w:tc>
          <w:tcPr>
            <w:tcW w:w="80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10,750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81,470</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Stock-based compensation (4)</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97,235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75,729</w:t>
            </w:r>
          </w:p>
        </w:tc>
        <w:tc>
          <w:tcPr>
            <w:tcW w:w="80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650,260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(523,872</w:t>
            </w:r>
          </w:p>
        </w:tc>
        <w:tc>
          <w:tcPr>
            <w:tcW w:w="1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(500,078</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(216,495</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hanging="371"/>
        <w:spacing w:after="0"/>
        <w:tabs>
          <w:tab w:leader="none" w:pos="11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of goodwill and intangible assets recognized as a result of the Acquisition.</w:t>
      </w:r>
    </w:p>
    <w:p>
      <w:pPr>
        <w:spacing w:after="0" w:line="6" w:lineRule="exact"/>
        <w:rPr>
          <w:rFonts w:ascii="Times New Roman" w:cs="Times New Roman" w:eastAsia="Times New Roman" w:hAnsi="Times New Roman"/>
          <w:sz w:val="16"/>
          <w:szCs w:val="16"/>
          <w:color w:val="auto"/>
        </w:rPr>
      </w:pPr>
    </w:p>
    <w:p>
      <w:pPr>
        <w:ind w:left="1140" w:right="20" w:hanging="371"/>
        <w:spacing w:after="0" w:line="248" w:lineRule="auto"/>
        <w:tabs>
          <w:tab w:leader="none" w:pos="11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380"/>
          </w:cols>
          <w:pgMar w:left="320" w:top="419" w:right="11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6"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From inception through the Closing Date, we had funded our operations primarily through the sale and issuance of our redeemable convertible preferred stock and receipt of continuation payments from Illumina. Post- Acquisition, we received funding on a quarterly basis directly from Illumina. As of March 31, 2024, our cash and cash equivalents totaled $199.7 million and our cash and cash equivalents together with our pro forma cash and cash equivalents would have been $974.1 million.</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began generating revenue in mid-2021, but we have continued to incur significant losses and negative cash flows from operations. Subsequent to the Acquisition, we have incurred net losses of $8.0 billion which include charges for impairment of goodwill and amortization of intangible assets. We expect to incur additional losses as we conduct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commercialization, market acceptance of our products prior to broad reimbursement, the timing of broad reimbursement, and launch of pipeline products. We are subject to typical risks associated with an early-stage commercial company and are developing the market for multi-cancer early detection. We may encounter complications with executing our business plans that may cause unforeseen expenses and adversely affect our business.</w:t>
      </w:r>
    </w:p>
    <w:p>
      <w:pPr>
        <w:spacing w:after="0" w:line="170"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services, technologies, and intellectual property rights, which may require additional financing.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3"/>
                <w:szCs w:val="13"/>
                <w:color w:val="auto"/>
              </w:rPr>
            </w:pP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23"/>
        </w:trPr>
        <w:tc>
          <w:tcPr>
            <w:tcW w:w="5080" w:type="dxa"/>
            <w:vAlign w:val="bottom"/>
            <w:vMerge w:val="continue"/>
          </w:tcPr>
          <w:p>
            <w:pPr>
              <w:spacing w:after="0"/>
              <w:rPr>
                <w:sz w:val="10"/>
                <w:szCs w:val="10"/>
                <w:color w:val="auto"/>
              </w:rPr>
            </w:pPr>
          </w:p>
        </w:tc>
        <w:tc>
          <w:tcPr>
            <w:tcW w:w="150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cash used by operating activities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(207,286)</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2"/>
              </w:rPr>
              <w:t>(170,482)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80" w:type="dxa"/>
            <w:vAlign w:val="bottom"/>
          </w:tcPr>
          <w:p>
            <w:pPr>
              <w:spacing w:after="0"/>
              <w:rPr>
                <w:sz w:val="16"/>
                <w:szCs w:val="16"/>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312,000</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108,870</w:t>
            </w:r>
          </w:p>
        </w:tc>
        <w:tc>
          <w:tcPr>
            <w:tcW w:w="0" w:type="dxa"/>
            <w:vAlign w:val="bottom"/>
          </w:tcPr>
          <w:p>
            <w:pPr>
              <w:spacing w:after="0"/>
              <w:rPr>
                <w:sz w:val="1"/>
                <w:szCs w:val="1"/>
                <w:color w:val="auto"/>
              </w:rPr>
            </w:pPr>
          </w:p>
        </w:tc>
      </w:tr>
      <w:tr>
        <w:trPr>
          <w:trHeight w:val="174"/>
        </w:trPr>
        <w:tc>
          <w:tcPr>
            <w:tcW w:w="5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(64,548)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Used by Operating Activities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used by operating activities consisted of a net loss of $218.9 million, $42.9 million cash payments for equity awards, and cash used by changes in our operating</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60"/>
          </w:cols>
          <w:pgMar w:left="320" w:top="419" w:right="11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assets and liabilities of $9.8 million, offset by non-cash charges of $64.3 million. The non-cash adjustments primarily consisted of depreciation and amortization of $40.0 million, and stock-based compensation expense of $29.1 million, which was partially offset by a non-cash benefit of $4.8 million relating to deferred taxes. Changes in operating assets and liabilities was predominantly driven by a decrease in accounts payable of $7.7 million, an increase in prepaids and other current assets of $3.6 million, and a decrease in accrued and other liabilities of $1.1 million, partially offset by a decrease in accounts receivable of $1.9 million, a decrease in net operating lease assets and liabilities of $0.6 million, and a decrease in supplies and supplies— related parties of $0.1 million.</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During the three months ended April 2, 2023, net cash used by operating activities consisted of a net loss of $193.7 million, $16.1 million cash payments for equity awards, and cash used by changes in our operating assets and liabilities of $14.8 million, partially offset by adjusted by non-cash charges of $54.1 million. The non-cash adjustments primarily consisted of depreciation and amortization of $39.8 million, and stock-based compensation expense of $21.5 million, which was partially offset by a non-cash benefit of $7.0 million relating to deferred taxes. Changes in operating assets and liabilities was predominantly driven a decrease in accrued and other liabilities of $11.1 million, a decrease in accounts payable of</w:t>
      </w:r>
    </w:p>
    <w:p>
      <w:pPr>
        <w:spacing w:after="0" w:line="3" w:lineRule="exact"/>
        <w:rPr>
          <w:sz w:val="20"/>
          <w:szCs w:val="20"/>
          <w:color w:val="auto"/>
        </w:rPr>
      </w:pPr>
    </w:p>
    <w:p>
      <w:pPr>
        <w:ind w:left="760" w:right="140"/>
        <w:spacing w:after="0" w:line="289" w:lineRule="auto"/>
        <w:rPr>
          <w:sz w:val="20"/>
          <w:szCs w:val="20"/>
          <w:color w:val="auto"/>
        </w:rPr>
      </w:pPr>
      <w:r>
        <w:rPr>
          <w:rFonts w:ascii="Times New Roman" w:cs="Times New Roman" w:eastAsia="Times New Roman" w:hAnsi="Times New Roman"/>
          <w:sz w:val="15"/>
          <w:szCs w:val="15"/>
          <w:color w:val="auto"/>
        </w:rPr>
        <w:t>$7.9 million, an increase in supplies and supplies—related parties of $2.5 million, and an increase in prepaids and other current assets of $0.9 million, partially offset by a decrease in accounts receivable of $5.0 million and a decrease in net operating lease assets and liabilities of $2.5 million.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Provided by Investing Activities</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used by investing activities primarily consisted of $2.5 million for capital expenditures primarily related to purchases of machinery and equipment for use in our laboratories.</w:t>
      </w:r>
    </w:p>
    <w:p>
      <w:pPr>
        <w:spacing w:after="0" w:line="50"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April 2, 2023, net cash used by investing activities primarily consisted of $3.1 million for capital expenditures primarily related to purchases of machinery and equipment for use in our laboratories.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104"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provided by financing activities primarily consisted of $312.0 million in funding received from Illumina.</w:t>
      </w:r>
    </w:p>
    <w:p>
      <w:pPr>
        <w:spacing w:after="0" w:line="14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April 2, 2023, net cash provided by financing activities primarily consisted of $109.0 million in funding received from Illumina, offset by $0.1 million of taxes paid related to net share settlement of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top w:val="single" w:sz="8" w:color="auto"/>
            </w:tcBorders>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9"/>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Pr>
          <w:p>
            <w:pPr>
              <w:spacing w:after="0"/>
              <w:rPr>
                <w:sz w:val="13"/>
                <w:szCs w:val="13"/>
                <w:color w:val="auto"/>
              </w:rPr>
            </w:pPr>
          </w:p>
        </w:tc>
        <w:tc>
          <w:tcPr>
            <w:tcW w:w="80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1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(595,800)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5"/>
              </w:rPr>
              <w:t>(561,313)</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(485,870)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(202,260)</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(22,859)</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(7,976)</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352,788</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604,817</w:t>
            </w:r>
          </w:p>
        </w:tc>
        <w:tc>
          <w:tcPr>
            <w:tcW w:w="10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143,931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250,811</w:t>
            </w:r>
          </w:p>
        </w:tc>
        <w:tc>
          <w:tcPr>
            <w:tcW w:w="0" w:type="dxa"/>
            <w:vAlign w:val="bottom"/>
          </w:tcPr>
          <w:p>
            <w:pPr>
              <w:spacing w:after="0"/>
              <w:rPr>
                <w:sz w:val="1"/>
                <w:szCs w:val="1"/>
                <w:color w:val="auto"/>
              </w:rPr>
            </w:pPr>
          </w:p>
        </w:tc>
      </w:tr>
      <w:tr>
        <w:trPr>
          <w:trHeight w:val="174"/>
        </w:trPr>
        <w:tc>
          <w:tcPr>
            <w:tcW w:w="41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76"/>
        </w:trPr>
        <w:tc>
          <w:tcPr>
            <w:tcW w:w="41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w:t>
            </w: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(144,616)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20,134</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(350,050)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401,275</w:t>
            </w: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19" w:right="11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Used by Operating Activities</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 $0.5 million. Cash provided by operating assets and liabilities was primarily a result of an increase in accounts payable of $62.5 million, an increase in accrued and other liabilities of $13.3 million, and an increase in operating lease liabilities which was primarily due to tenant inducements received from our landlord of $18.2 million, respectively.</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w:t>
      </w:r>
    </w:p>
    <w:p>
      <w:pPr>
        <w:spacing w:after="0" w:line="165"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w:t>
      </w:r>
    </w:p>
    <w:p>
      <w:pPr>
        <w:spacing w:after="0" w:line="151"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During fiscal year 2023, net cash used by operating activities consisted of a net loss of $1.5 billion, adjusted by non-cash charges of $939.1 million, $76.9 million cash payments for equity awards, and cash provided by changes in our operating assets and liabilities of $7.7 million. The non-cash adjustments primarily consisted of goodwill and intangible impairment of $718.5 million, depreciation and amortization of $158.7 million, and stock-based compensation expense of $97.2 million, which was partially offset by a non-cash benefit of $38.2 million relating to deferred taxes. Changes in operating assets and liabilities was predominantly driven by a decrease in operating lease assets and liabilities of $6.7 million, an increase in accounts payable of $2.9 million, and an increase in accrued and other liabilities of $2.4 million, partially offset by an increase in supplies and supplies —related parties of $1.9 million, an increase in accounts receivable of $1.4 million, and an increase in prepaids and other current assets of $0.9 million.</w:t>
      </w: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Investing Activities</w:t>
      </w:r>
    </w:p>
    <w:p>
      <w:pPr>
        <w:spacing w:after="0" w:line="106" w:lineRule="exact"/>
        <w:rPr>
          <w:sz w:val="20"/>
          <w:szCs w:val="20"/>
          <w:color w:val="auto"/>
        </w:rPr>
      </w:pPr>
    </w:p>
    <w:p>
      <w:pPr>
        <w:jc w:val="both"/>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w:t>
      </w:r>
    </w:p>
    <w:p>
      <w:pPr>
        <w:spacing w:after="0" w:line="157"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During the 2021 successor period, net cash used by investing activities consisted of $8.0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2022, net cash used by investing activities primarily consisted of $22.9 million for capital expenditures primarily related to purchases of machinery and equipment for use in our laboratories.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19" w:right="10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used by investing activities primarily consisted of $12.9 million for capital expenditures primarily related to purchases of machinery and equipment for use in our laboratories.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Financing Activities</w:t>
      </w:r>
    </w:p>
    <w:p>
      <w:pPr>
        <w:spacing w:after="0" w:line="106" w:lineRule="exact"/>
        <w:rPr>
          <w:sz w:val="20"/>
          <w:szCs w:val="20"/>
          <w:color w:val="auto"/>
        </w:rPr>
      </w:pPr>
    </w:p>
    <w:p>
      <w:pPr>
        <w:jc w:val="both"/>
        <w:ind w:left="760" w:right="62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w:t>
      </w:r>
    </w:p>
    <w:p>
      <w:pPr>
        <w:spacing w:after="0" w:line="157"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w:t>
      </w:r>
    </w:p>
    <w:p>
      <w:pPr>
        <w:spacing w:after="0" w:line="15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During the 2022 successor period, net cash provided by financing activities primarily consisted of $609.0 million in funding received from Illumina, offset by $4.2 million of taxes paid related to net share settlement of equity awards.</w:t>
      </w:r>
    </w:p>
    <w:p>
      <w:pPr>
        <w:spacing w:after="0" w:line="1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provided by financing activities primarily consisted of $464.0 million in funding received from Illumina, offset by $0.2 million of taxes paid related to net share settlement of equity awards.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material cash requirements include the following contractual and other obligations as of March 31, 2024:</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Historically, we have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GRAIL. We also have variable lease payments that are primarily comprised of common area maintenance and utility charges. As of March 31, 2024, we had undiscounted operating lease payment obligations of $100.1 million, with $17.1 million payable within the next twelve months.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 normal course of</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400"/>
          </w:cols>
          <w:pgMar w:left="320" w:top="419" w:right="11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80"/>
        <w:spacing w:after="0" w:line="278" w:lineRule="auto"/>
        <w:rPr>
          <w:sz w:val="20"/>
          <w:szCs w:val="20"/>
          <w:color w:val="auto"/>
        </w:rPr>
      </w:pPr>
      <w:r>
        <w:rPr>
          <w:rFonts w:ascii="Times New Roman" w:cs="Times New Roman" w:eastAsia="Times New Roman" w:hAnsi="Times New Roman"/>
          <w:sz w:val="16"/>
          <w:szCs w:val="16"/>
          <w:color w:val="auto"/>
        </w:rPr>
        <w:t>business. As of March 31, 2024, we had non-cancelable purchase obligations of $66.9 million, with $14.6 million payable within the next twelve months.</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Minimum Royalties</w:t>
      </w:r>
    </w:p>
    <w:p>
      <w:pPr>
        <w:spacing w:after="0" w:line="106"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March 31, 2024, we had minimum royalties of $7.8 million, with $1.1 million payable within the next twelve months.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recognize screening revenue from the sale of cancer screening testing services for patients. The test price is based on the negotiated contractual rate with our direct customers, otherwise our standard list price 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spacing w:after="0" w:line="161"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460"/>
          </w:cols>
          <w:pgMar w:left="320" w:top="419" w:right="11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6"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Biopharmaceutical partners engage with us to run pilot and research studies by sending patient samples and comparing our test result to their expected result for evaluation of performance and application. We recognize revenue as performance obligations are completed.</w:t>
      </w:r>
    </w:p>
    <w:p>
      <w:pPr>
        <w:spacing w:after="0" w:line="1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Accrued Clinical Studies and Research and Development Expenses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Cash-Based Equity Awards</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as a liability-classified award because the substantive terms of the award require cash settlement on each vesting date. Under ASC 718,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elected to expense the compensation cost over the life of the award via a straight-line method, recognized in stock-based compensation expense. This method results in the amount of compensation cost recognized as of any date to be at least equal to the earned portion of the expected fair value of the awards on the vest date. Given we do not have an actively traded standalone stock, GRAIL’s stand-alone value calculation is estimated by the Company based on its analysis and on input from independent valuation advisors. To estimate the value of GRAIL, various assumptions may be used, such as our long-range financial projections, as well as the discount rate and terminal growth rate. The assumptions used are inherently subject to uncertainty and we note that small changes in these assumptions could have a significant impact on the concluded value.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420"/>
          </w:cols>
          <w:pgMar w:left="320" w:top="419" w:right="11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Impairment</w:t>
      </w:r>
    </w:p>
    <w:p>
      <w:pPr>
        <w:spacing w:after="0" w:line="106"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costs in excess of the fair value of net assets of GRAIL acquired by Illumina. Indefinite-lived intangible assets consist of GRAIL’s in-process research and development (“IPR&amp;D”) and were measured by Illumina at fair value as of the Closing Date.</w:t>
      </w:r>
    </w:p>
    <w:p>
      <w:pPr>
        <w:spacing w:after="0" w:line="145" w:lineRule="exact"/>
        <w:rPr>
          <w:sz w:val="20"/>
          <w:szCs w:val="20"/>
          <w:color w:val="auto"/>
        </w:rPr>
      </w:pPr>
    </w:p>
    <w:p>
      <w:pPr>
        <w:jc w:val="both"/>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the evaluation of goodwill for impairment, we first assess qualitative factors to determine whether it is more likely than not that the fair value of a reporting entity is less than its carrying value. If we determine that it 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w:t>
      </w:r>
    </w:p>
    <w:p>
      <w:pPr>
        <w:spacing w:after="0" w:line="16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Discount rates were determined using a weighted average cost of capital for risk factors specific to us and other market and industry data. In our most recent analysis, we selected a discount rate of 24.0% for the goodwill assessment and 19.0% for the intangible assets assessment.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 our reporting unit’s carrying value exceeded its estimated fair value. As a result, we recorded $4.7 billion of goodwill impairment, primarily due to the negative impact of capital market conditions and a higher discount rate selected for the fair value calculation of our business.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the third quarter of 2023, we concluded that the sustained decrease in Illumina’s stock price and overall market capitalization during the quarter was a triggering event indicating the fair value of GRAIL might be less than its carrying amount that led us to test goodwill for impairment. Based on our analysis, we concluded that the carrying value exceeded its estimated fair value. The Company recognized a goodwill impairment of $608.5 million as a result of the impairment assessment, primarily due to changes to expected timing of revenue and a higher discount rate selected for the fair value calculation of GRAIL. In conjunction with the 2023 goodwill impairment assessment, the IPR&amp;D intangible asset was evaluated for potential impairment. 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211</w:t>
      </w:r>
    </w:p>
    <w:p>
      <w:pPr>
        <w:sectPr>
          <w:pgSz w:w="11900" w:h="16838" w:orient="portrait"/>
          <w:cols w:equalWidth="0" w:num="1">
            <w:col w:w="10460"/>
          </w:cols>
          <w:pgMar w:left="320" w:top="419" w:right="11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w:t>
      </w:r>
    </w:p>
    <w:p>
      <w:pPr>
        <w:spacing w:after="0" w:line="16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4" w:lineRule="exact"/>
        <w:rPr>
          <w:sz w:val="20"/>
          <w:szCs w:val="20"/>
          <w:color w:val="auto"/>
        </w:rPr>
      </w:pPr>
    </w:p>
    <w:p>
      <w:pPr>
        <w:ind w:left="760" w:right="740" w:firstLine="388"/>
        <w:spacing w:after="0" w:line="278" w:lineRule="auto"/>
        <w:rPr>
          <w:sz w:val="20"/>
          <w:szCs w:val="20"/>
          <w:color w:val="auto"/>
        </w:rPr>
      </w:pPr>
      <w:r>
        <w:rPr>
          <w:rFonts w:ascii="Times New Roman" w:cs="Times New Roman" w:eastAsia="Times New Roman" w:hAnsi="Times New Roman"/>
          <w:sz w:val="16"/>
          <w:szCs w:val="16"/>
          <w:color w:val="auto"/>
        </w:rPr>
        <w:t>See Note 2—Summary of Significant Accounting Policies to our audited Consolidated Financial Statements included elsewhere in this Information Statement for details of recent accounting pronouncements.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We had cash and cash equivalents of $199.7 million as of March 31, 2024, which consisted primarily of bank deposits and money market funds. The primary objective of our investment activities is to preserve capital to fund our operations. We do not enter into investments for trading or speculative purposes.</w:t>
      </w:r>
    </w:p>
    <w:p>
      <w:pPr>
        <w:spacing w:after="0" w:line="15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Sensitivity</w:t>
      </w:r>
    </w:p>
    <w:p>
      <w:pPr>
        <w:spacing w:after="0" w:line="106"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60"/>
          </w:cols>
          <w:pgMar w:left="320" w:top="419" w:right="11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 of GRAIL Following the Spin-Off</w:t>
      </w:r>
    </w:p>
    <w:p>
      <w:pPr>
        <w:spacing w:after="0" w:line="10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May 6, 2024, regarding the individuals who are expected to serve as executive officers of GRAIL following the completion of the Spin-Off, including a five-year employment history.</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00" w:type="dxa"/>
            <w:vAlign w:val="bottom"/>
          </w:tcPr>
          <w:p>
            <w:pPr>
              <w:spacing w:after="0"/>
              <w:rPr>
                <w:sz w:val="15"/>
                <w:szCs w:val="15"/>
                <w:color w:val="auto"/>
              </w:rPr>
            </w:pPr>
          </w:p>
        </w:tc>
        <w:tc>
          <w:tcPr>
            <w:tcW w:w="504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Chief Executive Officer and Director Nominee</w:t>
            </w:r>
          </w:p>
        </w:tc>
      </w:t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w:t>
            </w: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02"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Robert Ragusa </w:t>
      </w:r>
      <w:r>
        <w:rPr>
          <w:rFonts w:ascii="Times New Roman" w:cs="Times New Roman" w:eastAsia="Times New Roman" w:hAnsi="Times New Roman"/>
          <w:sz w:val="16"/>
          <w:szCs w:val="16"/>
          <w:color w:val="auto"/>
        </w:rPr>
        <w:t>has served as our Chief Executive Officer since October 2021 and is expected to serve as a member of our Board of Directors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commencing immediately upon completion of the Distribution. Mr. Ragusa was previously Chief Operations Officer for Illumina from December 2013 until October 2021, where he was responsible for the company’s operations serving clinical and research customers. Prior to joining Illumina, Mr. Ragusa was Executive Vice President of Engineering and Global Operations at Accuray Incorporated, a radiation oncology company, where he and his team were responsible for the development, manufacturing and distribution of innovative precision treatment solutions. Mr. Ragusa also previously served as Senior Vice President of Global Operations for Applied Biosystems from 1997 until 2005. Mr. Ragusa currently serves on the Board of Directors for Twist Bioscience Corporation, a publicly-held synthetic biology company, since December 2016. Mr. Ragusa holds a B.S. in electrical engineering and an M.B.A. from the University of Connecticut as well as an M.S. in biomedical and electrical engineering from Carnegie Mellon University.</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Aaron Freidin </w:t>
      </w:r>
      <w:r>
        <w:rPr>
          <w:rFonts w:ascii="Times New Roman" w:cs="Times New Roman" w:eastAsia="Times New Roman" w:hAnsi="Times New Roman"/>
          <w:sz w:val="16"/>
          <w:szCs w:val="16"/>
          <w:color w:val="auto"/>
        </w:rPr>
        <w:t>has served as our Chief Financial Officer since November 2021 and previously served in various roles at GRAIL since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Senior Vice President of Finance from January 2021 until November 2021, Vice President of Finance from June 2018 until January 2021, and Corporate Controller from August 2016 until June 2018. Mr. Freidin previously served as VP, Corporate Controller at Counsyl, where he led the Accounting, Reporting, Facilities and Procurement functions. Before this, Mr. Freidin led the SEC Reporting and Revenue functions at Cepheid, and managed multinational and cross-functional client service teams at PricewaterhouseCoopers LLP. Mr. Freidin has over 20 years of finance and accounting experience. Mr. Freidin is a Certified Public Accountant (Inactive) and holds a B.A. in business management from the University of California, Santa Cruz.</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Josh Ofman</w:t>
      </w:r>
      <w:r>
        <w:rPr>
          <w:rFonts w:ascii="Times New Roman" w:cs="Times New Roman" w:eastAsia="Times New Roman" w:hAnsi="Times New Roman"/>
          <w:sz w:val="16"/>
          <w:szCs w:val="16"/>
          <w:color w:val="auto"/>
        </w:rPr>
        <w:t>, M.D., MSHS, has served as our President since June 2021 and previously served as our Chief Medical Officer from November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until June 2022, as our Chief Medical Officer and Head of External Affairs from June 2020 until August 2021, and as Chief of Corporate Strategy and External Affairs from June 2019 until January 2020. Mr. Ofman has served on the Board of Directors of Cell BT, Inc., a privately-held immuno-therapy company focused on the discovery and development of innovative cancer therapeutics, since July 2019. Previously, Mr. Ofman spent more than 15 years at Amgen, where he most recently held the role of Senior Vice President, Global Value, Access and Policy. Prior to that, Mr. Ofman was a faculty member in the Department of Medicine and Health Services Research at University of California, Los Angeles (“UCLA”) School of Medicine, Cedars-Sinai Medical Center, as well as Senior Vice President of Zynx Health Inc. Mr. Ofman holds a B.A. in history and philosophy of science from the University of California, Berkeley, an M.D. from the University of California, Irvine, School of Medicine, and an MSHS from the UCLA School of Public Health.</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213</w:t>
      </w:r>
    </w:p>
    <w:p>
      <w:pPr>
        <w:sectPr>
          <w:pgSz w:w="11900" w:h="16838" w:orient="portrait"/>
          <w:cols w:equalWidth="0" w:num="1">
            <w:col w:w="10480"/>
          </w:cols>
          <w:pgMar w:left="320" w:top="419" w:right="10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of Directors of GRAIL Following the Spin-Off</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May 6, 2024, regarding the individuals who are expected to serve on our Board following the completion of the Spin-Off and until their respective successors are duly elected and qualified, including a five-year employment history and any directorships held by our directors in public companies.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20" w:type="dxa"/>
            <w:vAlign w:val="bottom"/>
          </w:tcPr>
          <w:p>
            <w:pPr>
              <w:spacing w:after="0"/>
              <w:rPr>
                <w:sz w:val="15"/>
                <w:szCs w:val="15"/>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5060" w:type="dxa"/>
            <w:vAlign w:val="bottom"/>
          </w:tcPr>
          <w:p>
            <w:pPr>
              <w:ind w:left="196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4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William (Bill) Chase</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Director Nominee</w:t>
            </w: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 Mizell</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Director Nominee</w:t>
            </w:r>
          </w:p>
        </w:tc>
      </w:tr>
      <w:tr>
        <w:trPr>
          <w:trHeight w:val="19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Gregory (Greg) Summe</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67</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 Nominee</w:t>
            </w:r>
          </w:p>
        </w:tc>
      </w:t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Ragusa</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Director Nominee</w:t>
            </w:r>
          </w:p>
        </w:tc>
      </w:tr>
    </w:tbl>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2"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William (Bill) Chase </w:t>
      </w:r>
      <w:r>
        <w:rPr>
          <w:rFonts w:ascii="Times New Roman" w:cs="Times New Roman" w:eastAsia="Times New Roman" w:hAnsi="Times New Roman"/>
          <w:sz w:val="16"/>
          <w:szCs w:val="16"/>
          <w:color w:val="auto"/>
        </w:rPr>
        <w:t>is expected to serve as a member of our Board commencing immediately upon completion of the Distribution. Mr. 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most recently served as Executive Vice President, Finance and Administration and Executive Vice President and Chief Financial Officer at AbbVie Inc. from May 2012 until October 2018, where he oversaw all financial, investor, and IT activities and played a critical strategic role in the company’s licensing and acquisition actions. Mr. Chase previously spent nearly 25 years in financial management positions of increasing responsibility at Abbott Laboratories, culminating with his role as Corporate Vice President, Licensing &amp; Acquisitions. He currently serves on the boards of Intellia Therapeutics, Inc., a publicly-traded biotechnology company, since April 2023, and Parexel International, a privately-held biopharmaceutical services company, since November 2021. Mr. Chase holds a B.S. from the University of Illinois and an M.B.A. from the University of Chicago Booth School of Business. We believe that Mr. Chase is qualified to serve as a member of our board of directors because of his extensive experience in the biotechnology and pharmaceutical industry and his extensive financial and accounting experience.</w:t>
      </w:r>
    </w:p>
    <w:p>
      <w:pPr>
        <w:spacing w:after="0" w:line="165" w:lineRule="exact"/>
        <w:rPr>
          <w:sz w:val="20"/>
          <w:szCs w:val="20"/>
          <w:color w:val="auto"/>
        </w:rPr>
      </w:pPr>
    </w:p>
    <w:p>
      <w:pPr>
        <w:ind w:left="760" w:firstLine="38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Steve Mizell </w:t>
      </w:r>
      <w:r>
        <w:rPr>
          <w:rFonts w:ascii="Times New Roman" w:cs="Times New Roman" w:eastAsia="Times New Roman" w:hAnsi="Times New Roman"/>
          <w:sz w:val="16"/>
          <w:szCs w:val="16"/>
          <w:color w:val="auto"/>
        </w:rPr>
        <w:t>joined is expected to serve as a member of our Board commencing immediately upon completion of the Distribution. Mr. Mizell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former Executive Vice President and Chief Human Resources Officer at Merck &amp; Co., Inc. (“Merck”), where he served from October 2018 until April 2024, and was responsible for talent acquisition and development, employee wellness, and diversity and inclusion. Mr. Mizell is currently employed by Merck as Senior Advisor to the CEO and will serve in that capacity until his retirement on July 1, 2024. Mr. Mizell previously served as Executive Vice President &amp; Chief Human Resources Officer at Monsanto Company from 2004 until 2018, where he created an industry-leading workplace for more than 20,000 employees globally. Before that, Mr. Mizell served as Senior Vice President and Chief Corporate Resources Officer for AdvancePCS Inc. and previous to that held several key human resources management roles at companies across the energy, defense, manufacturing, communications and technology sectors. He currently serves on the boards of Allegion Plc., a publicly-traded security products company, since February 2020, and Group 1 Automotive, Inc., a publicly-traded automotive retailer since March 2021, and has earned a Directorship Certification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from the National Association of Corporate Directors. Mr. Mizell holds a B.S. from Georgia Institute of Technology and an M.S. from Carnegie Mellon University. We believe that Mr. Mizell is qualified to serve as a member of our board of directors because of his extensive experience in the human capital management and leadership.</w:t>
      </w:r>
    </w:p>
    <w:p>
      <w:pPr>
        <w:spacing w:after="0" w:line="17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Gregory (Greg) Summe </w:t>
      </w:r>
      <w:r>
        <w:rPr>
          <w:rFonts w:ascii="Times New Roman" w:cs="Times New Roman" w:eastAsia="Times New Roman" w:hAnsi="Times New Roman"/>
          <w:sz w:val="16"/>
          <w:szCs w:val="16"/>
          <w:color w:val="auto"/>
        </w:rPr>
        <w:t>is expected to serve as a member of our Board commencing immediately upon completion of the Distribution.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Summe is the Founder and Managing Partner of investment fund Glen Capital Partners LLC since June 2014. Mr. Summe previously served as Managing Director and Vice Chairman of Global Buyout at The Carlyle Group from October 2009 until June 2014. Prior to The Carlyle Group, Mr. Summe served for over a decade as Chairman, CEO, and President of PerkinElmer, Inc., a leading diagnostics and life sciences company. He also served as a Senior Advisor at Goldman Sachs Capital Partners and was the President of AlliedSignal, Inc.’s Automotive, Jet Engine, and General Avionics businesses. Previously, he was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214</w:t>
      </w:r>
    </w:p>
    <w:p>
      <w:pPr>
        <w:sectPr>
          <w:pgSz w:w="11900" w:h="16838" w:orient="portrait"/>
          <w:cols w:equalWidth="0" w:num="1">
            <w:col w:w="10480"/>
          </w:cols>
          <w:pgMar w:left="320" w:top="419" w:right="10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6"/>
          <w:szCs w:val="16"/>
          <w:color w:val="auto"/>
        </w:rPr>
        <w:t>the General Manager of General Electric Commercial Motors and a Partner at McKinsey and Company. He currently serves on the boards of NXP Semiconductors N.V., a publicly-traded semiconductor company, since December 2015, State Street Corporation, a publicly-traded financial services company, since 2001, and Avantor, Inc., a publicly-traded Life Sciences company, since May 2020, and is a Senior Advisor at Star Mountain Capital, LLC. Mr. Summe previously served on the board of Virgin Orbit Holdings, Inc., a publicly-traded space launch services company, from December 2021 until August 2023, and on the boards of NextGen Acquisition Corp I &amp; II from July 2020 until December 2021. Mr. Summe holds a B.S. from the University of Kentucky, an M.S. from the University of Cincinnati, and an M.B.A. from the Wharton School of the University of Pennsylvania. We believe that Mr. Summe is qualified to serve as a member of our board of directors because of his extensive corporate leadership, industry, and finance experience.</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biography of Robert Ragusa is set forth under the section entitled “—Executive Officers.”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Our initial Board will be selected through a process involving Illumina and us. The initial directors who will serve after the Spin-Off are expected to begin their terms at the time of the Distribution, except as noted below.</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Structure and Composition</w:t>
      </w:r>
    </w:p>
    <w:p>
      <w:pPr>
        <w:spacing w:after="0" w:line="104"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Upon completion of the Spin-Off, our Board will consist of four members. Our board has determined that each of Messrs. Chase, Mizell, and Summe is independent under the applicable Nasdaq Global Select Market rules.</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Our directors will be divided into three classes serving staggered three-year terms. Class I, Class II, and Class III directors will serve until our annual meetings of stockholders in 2024, 2025, and 2026, respectively. The Class I directors will consist of Mr. Chase. The Class II directors will consist of Mr. Mizell. The Class III directors will consist of Messrs. Ragusa and Summe.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Leadership Structure of the Board</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Our amended and restated bylaws and corporate governance guidelines provide our Board with flexibility to combine or separate the positions of Chair of our Board and Chief Executive Officer and to implement a lead director in accordance with its determination that utilizing one or the other structure would be in our best interest. Mr. Summe will serve as the Chair of our Board. In that role, Mr. Summe will preside over our Board meetings and the executive sessions of our Board and as a liaison between management and our Board.</w:t>
      </w:r>
    </w:p>
    <w:p>
      <w:pPr>
        <w:spacing w:after="0" w:line="161"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 Mr. Summe will chair the executive sessions of the independent directors.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215</w:t>
      </w:r>
    </w:p>
    <w:p>
      <w:pPr>
        <w:sectPr>
          <w:pgSz w:w="11900" w:h="16838" w:orient="portrait"/>
          <w:cols w:equalWidth="0" w:num="1">
            <w:col w:w="10480"/>
          </w:cols>
          <w:pgMar w:left="320" w:top="419" w:right="10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4"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Effective immediately prior to the commencement of “when issued” trading, the Board will have a standing Audit Committee, and upon the completion of the Spin-Off, our Board is expected to have two additional standing committees: the Compensation Committee and the Nominating and Governance committee. Each committee is governed by a charter that will be available on our website following completion of this Spin-Off.</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Following the completion of the Spin-Off, the members of our Audit Committee will consist of Messrs. Chase, Mizell, and Summe, and</w:t>
      </w:r>
    </w:p>
    <w:p>
      <w:pPr>
        <w:spacing w:after="0" w:line="23"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Mr. Chase 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 literate. In addition, our Board has determined that Mr. Chase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w:t>
      </w:r>
    </w:p>
    <w:p>
      <w:pPr>
        <w:spacing w:after="0" w:line="84" w:lineRule="exact"/>
        <w:rPr>
          <w:sz w:val="20"/>
          <w:szCs w:val="20"/>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compensating, and overseeing the work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independence and performance of the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right="660" w:hanging="375"/>
        <w:spacing w:after="0" w:line="278"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 firm’s annual audit of our financial statements;</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financial statements that we will file with the SEC;</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permissible non-audit services to be performed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practices related to risk assessment and management;</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accounting and financial reporting policies and practices and accounting controls, as well as compliance with legal and regulatory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overseeing, approving, or disapproving any related-person transactions;</w:t>
      </w:r>
    </w:p>
    <w:p>
      <w:pPr>
        <w:spacing w:after="0" w:line="11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7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 or other ethics or compliance issues.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06"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Compensation Committee will consist of Messrs. Chase, Mizell, and Summe, and Mr. Mizell will be the chairperson of our Compensation Committee. Each of Messrs. Chase, Mizell, and Summe is a non-employee director, as defined by Rule 16B-3 of the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216</w:t>
      </w:r>
    </w:p>
    <w:p>
      <w:pPr>
        <w:sectPr>
          <w:pgSz w:w="11900" w:h="16838" w:orient="portrait"/>
          <w:cols w:equalWidth="0" w:num="1">
            <w:col w:w="10480"/>
          </w:cols>
          <w:pgMar w:left="320" w:top="419" w:right="10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540"/>
        <w:spacing w:after="0" w:line="278" w:lineRule="auto"/>
        <w:rPr>
          <w:sz w:val="20"/>
          <w:szCs w:val="20"/>
          <w:color w:val="auto"/>
        </w:rPr>
      </w:pPr>
      <w:r>
        <w:rPr>
          <w:rFonts w:ascii="Times New Roman" w:cs="Times New Roman" w:eastAsia="Times New Roman" w:hAnsi="Times New Roman"/>
          <w:sz w:val="16"/>
          <w:szCs w:val="16"/>
          <w:color w:val="auto"/>
        </w:rPr>
        <w:t>Exchange Act and meet the requirements for independence under the current Nasdaq Global Select Market listing standards. Our Compensation Committee is directly responsible for, among other things:</w:t>
      </w:r>
    </w:p>
    <w:p>
      <w:pPr>
        <w:spacing w:after="0" w:line="62" w:lineRule="exact"/>
        <w:rPr>
          <w:sz w:val="20"/>
          <w:szCs w:val="20"/>
          <w:color w:val="auto"/>
        </w:rPr>
      </w:pPr>
    </w:p>
    <w:p>
      <w:pPr>
        <w:ind w:left="1620" w:right="220" w:hanging="375"/>
        <w:spacing w:after="0" w:line="278" w:lineRule="auto"/>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executive officers, including reviewing and approving corporate goals and objectives with respect to compensation;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to act as an administrator of our equity incentive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with respect to, incentive compensation and equity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that our Board approve the compensation for our non-employee board members;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p>
      <w:pPr>
        <w:spacing w:after="0" w:line="10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Nominating and Governance Committee will consist of Messrs. Chase, Mizell, and Summe, and Mr. Summe will be the chairperson of our Nominating and Governance Committee. Messrs. Chase, Mizell, and Summe meet the requirements for independence under the current Nasdaq Global Select Market listing standards. Our Nominating and Governance Committee is responsible for, among other thing:</w:t>
      </w:r>
    </w:p>
    <w:p>
      <w:pPr>
        <w:spacing w:after="0" w:line="78" w:lineRule="exact"/>
        <w:rPr>
          <w:sz w:val="20"/>
          <w:szCs w:val="20"/>
          <w:color w:val="auto"/>
        </w:rPr>
      </w:pPr>
    </w:p>
    <w:p>
      <w:pPr>
        <w:ind w:left="1620" w:right="740" w:hanging="375"/>
        <w:spacing w:after="0" w:line="278" w:lineRule="auto"/>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candidates for membership on our Board, including the consideration of nominees submitted by stockholders, and on each of the Board’s committees;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our corporate governance guidelines and policies;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proposed waivers of the code of business conduct and ethics for directors and executive officers;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process of evaluating the performance of our Board;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on corporate governance matters.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 conduct and ethics will be posted on the investor relations section of our website. We intend to disclose future amendments to our code of business conduct and ethics, or any waivers of such code, on our website or in public filings if required.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Clawback Incentive Policy</w:t>
      </w:r>
    </w:p>
    <w:p>
      <w:pPr>
        <w:spacing w:after="0" w:line="104" w:lineRule="exact"/>
        <w:rPr>
          <w:sz w:val="20"/>
          <w:szCs w:val="20"/>
          <w:color w:val="auto"/>
        </w:rPr>
      </w:pPr>
    </w:p>
    <w:p>
      <w:pPr>
        <w:jc w:val="both"/>
        <w:ind w:left="760" w:right="400" w:firstLine="388"/>
        <w:spacing w:after="0" w:line="263" w:lineRule="auto"/>
        <w:rPr>
          <w:sz w:val="20"/>
          <w:szCs w:val="20"/>
          <w:color w:val="auto"/>
        </w:rPr>
      </w:pPr>
      <w:r>
        <w:rPr>
          <w:rFonts w:ascii="Times New Roman" w:cs="Times New Roman" w:eastAsia="Times New Roman" w:hAnsi="Times New Roman"/>
          <w:sz w:val="16"/>
          <w:szCs w:val="16"/>
          <w:color w:val="auto"/>
        </w:rPr>
        <w:t>On or prior to the Distribution Date, we intend to adopt a clawback policy to recover certain incentive compensation from certain executive officers of GRAIL in accordance with the final clawback rules and regulations adopted by the SEC under the Dodd-Frank Wall Street Reform and Consumer Protection Act and Nasdaq.</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Director Compensation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a board of directors in 2023 and, accordingly, no director compensation was paid in respect of 2023.</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Post-IPO Non-Employee Director Compensation Program</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Spin-Off, we intend to approve and implement a compensation program (the “Director Compensation Program”) for our non-employee directors (each, an “Eligible Director”) that consists of</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217</w:t>
      </w:r>
    </w:p>
    <w:p>
      <w:pPr>
        <w:sectPr>
          <w:pgSz w:w="11900" w:h="16838" w:orient="portrait"/>
          <w:cols w:equalWidth="0" w:num="1">
            <w:col w:w="10440"/>
          </w:cols>
          <w:pgMar w:left="320" w:top="419" w:right="11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580"/>
        <w:spacing w:after="0" w:line="278" w:lineRule="auto"/>
        <w:rPr>
          <w:sz w:val="20"/>
          <w:szCs w:val="20"/>
          <w:color w:val="auto"/>
        </w:rPr>
      </w:pPr>
      <w:r>
        <w:rPr>
          <w:rFonts w:ascii="Times New Roman" w:cs="Times New Roman" w:eastAsia="Times New Roman" w:hAnsi="Times New Roman"/>
          <w:sz w:val="16"/>
          <w:szCs w:val="16"/>
          <w:color w:val="auto"/>
        </w:rPr>
        <w:t>annual cash retainer fees and a long-term equity awards. Directors who are also full-time officers or employees of our company will receive no additional compensation for serving as directors. The material terms of the Director Compensation Program are summarized below.</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Director Compensation Program consists of the following components for Eligible Directors: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Cash Compensation</w:t>
      </w:r>
    </w:p>
    <w:p>
      <w:pPr>
        <w:spacing w:after="0" w:line="116" w:lineRule="exact"/>
        <w:rPr>
          <w:sz w:val="20"/>
          <w:szCs w:val="20"/>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Retainer: $50,000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Committee Chair Retainers:</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$20,000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$15,000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Governance Committee: $10,000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Non-Chair Committee Member Retainers:</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$10,000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$7,500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Governance Committee: $5,000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Non-Executive Board Chair Additional Retainer: $50,000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Independent Director Additional Retainer: $35,000</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Annual cash retainers will be paid in quarterly installments in arrears and will be pro-rated for any partial calendar quarter of service.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 Compensation</w:t>
      </w:r>
    </w:p>
    <w:p>
      <w:pPr>
        <w:spacing w:after="0" w:line="114" w:lineRule="exact"/>
        <w:rPr>
          <w:sz w:val="20"/>
          <w:szCs w:val="20"/>
          <w:color w:val="auto"/>
        </w:rPr>
      </w:pPr>
    </w:p>
    <w:p>
      <w:pPr>
        <w:ind w:left="1620" w:hanging="375"/>
        <w:spacing w:after="0" w:line="256" w:lineRule="auto"/>
        <w:tabs>
          <w:tab w:leader="none" w:pos="16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Initial Award</w:t>
      </w:r>
      <w:r>
        <w:rPr>
          <w:rFonts w:ascii="Times New Roman" w:cs="Times New Roman" w:eastAsia="Times New Roman" w:hAnsi="Times New Roman"/>
          <w:sz w:val="16"/>
          <w:szCs w:val="16"/>
          <w:color w:val="auto"/>
        </w:rPr>
        <w:t>: Each Eligible Director who is initially elected or appointed to serve on the Board after the effective date of this offering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granted an award of GRAIL RSUs at the time of the election or appointment with a value of approximately $450,000. Each such initial grant of GRAIL RSUs will vest as to one-third of the GRAIL RSUs subject to the award on each of the first three anniversaries of the Eligible Director’s election or appointment date (as applicable), subject to the Eligible Director’s continued Board service through the applicable vesting date.</w:t>
      </w:r>
    </w:p>
    <w:p>
      <w:pPr>
        <w:spacing w:after="0" w:line="77" w:lineRule="exact"/>
        <w:rPr>
          <w:rFonts w:ascii="Times New Roman" w:cs="Times New Roman" w:eastAsia="Times New Roman" w:hAnsi="Times New Roman"/>
          <w:sz w:val="16"/>
          <w:szCs w:val="16"/>
          <w:color w:val="auto"/>
        </w:rPr>
      </w:pPr>
    </w:p>
    <w:p>
      <w:pPr>
        <w:ind w:left="1620" w:right="20" w:hanging="375"/>
        <w:spacing w:after="0" w:line="254" w:lineRule="auto"/>
        <w:tabs>
          <w:tab w:leader="none" w:pos="16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Annual Award</w:t>
      </w:r>
      <w:r>
        <w:rPr>
          <w:rFonts w:ascii="Times New Roman" w:cs="Times New Roman" w:eastAsia="Times New Roman" w:hAnsi="Times New Roman"/>
          <w:sz w:val="16"/>
          <w:szCs w:val="16"/>
          <w:color w:val="auto"/>
        </w:rPr>
        <w:t>: Each Eligible Director who is serving on the Board as of the date of an annual meeting of GRAIL’s stockholders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granted, on such annual meeting date, an award of GRAIL RSUs with a value of approximately $250,000 (pro-rated for each Eligible Director who has served on the Board for less than six months, based on the number of days of such Eligible Director’s Board service through and including the annual meeting date), which will vest in full on the earlier to occur of (i) the one-year anniversary of the applicable grant date and (ii) the date of the next annual meeting of the GRAIL’s stockholders, subject to the Eligible Director’s continued Board service through the applicable vesting date.</w:t>
      </w:r>
    </w:p>
    <w:p>
      <w:pPr>
        <w:spacing w:after="0" w:line="167"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addition, each equity award granted to an Eligible Director under the Director Compensation Program will vest in full immediately prior to the occurrence of a “change in control” (as defined in the 2024 Plan (as defined and described below)), to the extent the Eligible Director will not become, as of immediately following such change in control, a board member of the Company or its ultimate parent company.</w:t>
      </w:r>
    </w:p>
    <w:p>
      <w:pPr>
        <w:spacing w:after="0" w:line="157"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Compensation under the Director Compensation Program is subject to the annual limits on non employee director compensation set forth in the 2024 Plan (as defined and described below), as described below.</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218</w:t>
      </w:r>
    </w:p>
    <w:p>
      <w:pPr>
        <w:sectPr>
          <w:pgSz w:w="11900" w:h="16838" w:orient="portrait"/>
          <w:cols w:equalWidth="0" w:num="1">
            <w:col w:w="10420"/>
          </w:cols>
          <w:pgMar w:left="320" w:top="419" w:right="11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9"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named executive officers (NEOs) who are named in the “2023 Summary Compensation Table” below. In 2023, our NEOs and their positions were as follows:</w:t>
      </w:r>
    </w:p>
    <w:p>
      <w:pPr>
        <w:spacing w:after="0" w:line="62" w:lineRule="exact"/>
        <w:rPr>
          <w:sz w:val="20"/>
          <w:szCs w:val="20"/>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Ragusa, Chief Executive Officer;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Aaron Freidin, Chief Financial Officer;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Josh Ofman, President.</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awarded to or earned by our NEOs during our fiscal years ended December 31, 2023 and December 31, 2022.</w:t>
      </w:r>
    </w:p>
    <w:p>
      <w:pPr>
        <w:spacing w:after="0" w:line="3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gridSpan w:val="2"/>
            <w:vMerge w:val="continue"/>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940" w:type="dxa"/>
            <w:vAlign w:val="bottom"/>
            <w:gridSpan w:val="2"/>
            <w:vMerge w:val="continue"/>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3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6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 ($)</w:t>
            </w:r>
            <w:r>
              <w:rPr>
                <w:rFonts w:ascii="Times New Roman" w:cs="Times New Roman" w:eastAsia="Times New Roman" w:hAnsi="Times New Roman"/>
                <w:sz w:val="9"/>
                <w:szCs w:val="9"/>
                <w:b w:val="1"/>
                <w:bCs w:val="1"/>
                <w:color w:val="auto"/>
                <w:w w:val="96"/>
              </w:rPr>
              <w:t>(1)</w:t>
            </w:r>
          </w:p>
        </w:tc>
        <w:tc>
          <w:tcPr>
            <w:tcW w:w="13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Compensation ($)</w:t>
            </w:r>
            <w:r>
              <w:rPr>
                <w:rFonts w:ascii="Times New Roman" w:cs="Times New Roman" w:eastAsia="Times New Roman" w:hAnsi="Times New Roman"/>
                <w:sz w:val="9"/>
                <w:szCs w:val="9"/>
                <w:b w:val="1"/>
                <w:bCs w:val="1"/>
                <w:color w:val="auto"/>
                <w:w w:val="97"/>
              </w:rPr>
              <w:t>(2)</w:t>
            </w: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8"/>
              </w:rPr>
              <w:t xml:space="preserve">Compensation </w:t>
            </w: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9"/>
                <w:szCs w:val="9"/>
                <w:b w:val="1"/>
                <w:bCs w:val="1"/>
                <w:color w:val="auto"/>
                <w:w w:val="98"/>
              </w:rPr>
              <w:t>(3)</w:t>
            </w:r>
          </w:p>
        </w:tc>
        <w:tc>
          <w:tcPr>
            <w:tcW w:w="700" w:type="dxa"/>
            <w:vAlign w:val="bottom"/>
          </w:tcPr>
          <w:p>
            <w:pPr>
              <w:jc w:val="right"/>
              <w:ind w:right="205"/>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1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2"/>
              </w:rPr>
              <w:t>779,615</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8,400,000</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678,946</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19,660</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9,878,221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746,154</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1,000,000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875,000</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4,721,154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556,154</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242,170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3,601,324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533,461</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291,575</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654,154</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283,495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99,118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4,336,767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625,385</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1,475,000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343,350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169,453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2,613,188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100" w:hanging="371"/>
        <w:spacing w:after="0" w:line="252"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grant date fair values of Cash-Based Equity Awards granted in 2022 or 2023, as applicable, as computed in accordance with Financial Accounting Standards Board (FASB) Accounting Standard Codification (ASC) Topic 718, rather than the amounts paid to or realized by the named individual. For a discussion of the assumptions used to determine the grant date fair value of these awards made to our NEOs in 2023, see Note 7—Stock Incentive Awards in the notes to our audited consolidated financial statements included elsewhere in this prospectus.</w:t>
      </w:r>
    </w:p>
    <w:p>
      <w:pPr>
        <w:spacing w:after="0" w:line="3" w:lineRule="exact"/>
        <w:rPr>
          <w:rFonts w:ascii="Times New Roman" w:cs="Times New Roman" w:eastAsia="Times New Roman" w:hAnsi="Times New Roman"/>
          <w:sz w:val="16"/>
          <w:szCs w:val="16"/>
          <w:color w:val="auto"/>
        </w:rPr>
      </w:pPr>
    </w:p>
    <w:p>
      <w:pPr>
        <w:ind w:left="1140" w:right="60" w:hanging="371"/>
        <w:spacing w:after="0" w:line="248"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2023, amounts represent annual bonuses earned by each named executive officer in 2023 and paid in cash in 2024 under our VCP (discussed below under “2023 Annual Bonuses (Non-Equity Incentive Plan Awards)”), based on the attainment of pre-determined individual and company performance metrics. The amount of compensation paid under the VCP in respect of 2023 is as follows (i) for Mr. Ragusa, a VCP bonus of $678,946, (ii) for Mr. Freidin, a VCP bonus of $242,170, and (iii) for Mr. Ofman, a VCP bonus of $283,495.</w:t>
      </w:r>
    </w:p>
    <w:p>
      <w:pPr>
        <w:spacing w:after="0" w:line="1" w:lineRule="exact"/>
        <w:rPr>
          <w:rFonts w:ascii="Times New Roman" w:cs="Times New Roman" w:eastAsia="Times New Roman" w:hAnsi="Times New Roman"/>
          <w:sz w:val="16"/>
          <w:szCs w:val="16"/>
          <w:color w:val="auto"/>
        </w:rPr>
      </w:pPr>
    </w:p>
    <w:p>
      <w:pPr>
        <w:ind w:left="1140" w:right="20" w:hanging="371"/>
        <w:spacing w:after="0" w:line="250" w:lineRule="auto"/>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include the following for 2023: (i) for Mr. Ragusa: $3,000 in 401(k) plan matching contributions, $8,400 in GRAIL-provided dues for a membership in connection with a 2023 marketing event, $8,260 in payments made to offset taxes imposed on Mr. Ragusa with respect to his GRAIL-provided dues; (ii) for Mr. Freidin: $3,000 in 401(k) plan matching contributions; (iii) for Mr. Ofman: $3,000 in 401(k) plan matching contributions, $72, 079 in payments made to Mr. Ofman to offset his rent expense in 2023 (as contemplated by his initial offer of employment, GRAIL provides Mr. Ofman with a housing</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219</w:t>
      </w:r>
    </w:p>
    <w:p>
      <w:pPr>
        <w:sectPr>
          <w:pgSz w:w="11900" w:h="16838" w:orient="portrait"/>
          <w:cols w:equalWidth="0" w:num="1">
            <w:col w:w="10480"/>
          </w:cols>
          <w:pgMar w:left="320" w:top="419" w:right="10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40" w:right="80"/>
        <w:spacing w:after="0" w:line="278" w:lineRule="auto"/>
        <w:rPr>
          <w:sz w:val="20"/>
          <w:szCs w:val="20"/>
          <w:color w:val="auto"/>
        </w:rPr>
      </w:pPr>
      <w:r>
        <w:rPr>
          <w:rFonts w:ascii="Times New Roman" w:cs="Times New Roman" w:eastAsia="Times New Roman" w:hAnsi="Times New Roman"/>
          <w:sz w:val="16"/>
          <w:szCs w:val="16"/>
          <w:color w:val="auto"/>
        </w:rPr>
        <w:t>allowance to enable him to spend significant time at GRAIL’s headquarters in Menlo Park) and $24,039 in payments made to Mr. Ofman to offset taxes imposed on him with respect to his GRAIL-paid housing benefit.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Salaries</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Annual Bonuses (Non-Equity Incentive Plan Awards)</w:t>
      </w:r>
    </w:p>
    <w:p>
      <w:pPr>
        <w:spacing w:after="0" w:line="104" w:lineRule="exact"/>
        <w:rPr>
          <w:sz w:val="20"/>
          <w:szCs w:val="20"/>
          <w:color w:val="auto"/>
        </w:rPr>
      </w:pPr>
    </w:p>
    <w:p>
      <w:pPr>
        <w:ind w:left="760" w:right="120" w:firstLine="388"/>
        <w:spacing w:after="0" w:line="274" w:lineRule="auto"/>
        <w:rPr>
          <w:sz w:val="20"/>
          <w:szCs w:val="20"/>
          <w:color w:val="auto"/>
        </w:rPr>
      </w:pPr>
      <w:r>
        <w:rPr>
          <w:rFonts w:ascii="Times New Roman" w:cs="Times New Roman" w:eastAsia="Times New Roman" w:hAnsi="Times New Roman"/>
          <w:sz w:val="15"/>
          <w:szCs w:val="15"/>
          <w:color w:val="auto"/>
        </w:rPr>
        <w:t>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Equity-Linked Compensation</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108 of this Information Statement.</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0480"/>
          </w:cols>
          <w:pgMar w:left="320" w:top="419" w:right="10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In 2023, we made matching contributions under our 401(k) plan, including for the NEOs, up to a specified percentage of employee contributions and a maximum of $3,000. These matching contributions vest in full after one year of service.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 xml:space="preserve">Health/Welfare Plans. </w:t>
      </w:r>
      <w:r>
        <w:rPr>
          <w:rFonts w:ascii="Times New Roman" w:cs="Times New Roman" w:eastAsia="Times New Roman" w:hAnsi="Times New Roman"/>
          <w:sz w:val="16"/>
          <w:szCs w:val="16"/>
          <w:color w:val="auto"/>
        </w:rPr>
        <w:t>All of our full-time employees, including our NEOs, are eligible to participate in our health and welfare plans, including:</w:t>
      </w:r>
    </w:p>
    <w:p>
      <w:pPr>
        <w:spacing w:after="0" w:line="116" w:lineRule="exact"/>
        <w:rPr>
          <w:sz w:val="20"/>
          <w:szCs w:val="20"/>
          <w:color w:val="auto"/>
        </w:rPr>
      </w:pPr>
    </w:p>
    <w:p>
      <w:pPr>
        <w:ind w:left="1620" w:hanging="375"/>
        <w:spacing w:after="0"/>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and dependent care flexible spending accounts;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wellbeing benefits (including mental health, back-up care and family forming benefits);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w:t>
      </w:r>
    </w:p>
    <w:p>
      <w:pPr>
        <w:spacing w:after="0" w:line="19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addition, GRAIL made payments to Mr. Ofman and Mr. Ragusa to offset their rent expense and GRAIL-provided membership expense, respectively, in 2023.</w:t>
      </w:r>
    </w:p>
    <w:p>
      <w:pPr>
        <w:spacing w:after="0" w:line="14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We believe the benefits described above are in-line with market practice and necessary and appropriate to provide a competitive compensation package to our NEOs. There are no executive perquisites.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No IRC Section 280G “Golden Parachute” Tax Gross-Ups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Except for tax gross up payments (i) in the amount of $24,039 in 2023 paid to Mr. Ofman to offset taxes imposed on him with respect to his GRAIL-paid housing benefit and (ii) in the amount of $8,260 in 2023 paid to Mr. Ragusa to offset taxes imposed on him with respect to his GRAIL-paid dues, we do not make gross-up payments to cover our NEOs’ personal income taxes that may pertain to any of the compensation or perquisites paid or provided by our company. Without limiting the foregoing, we have not paid, and have no obligation to pay, any tax gross-ups with respect to any excise taxes imposed under or by operation of the Internal Revenue Code Section 280G “golden parachute” rules.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221</w:t>
      </w:r>
    </w:p>
    <w:p>
      <w:pPr>
        <w:sectPr>
          <w:pgSz w:w="11900" w:h="16838" w:orient="portrait"/>
          <w:cols w:equalWidth="0" w:num="1">
            <w:col w:w="10460"/>
          </w:cols>
          <w:pgMar w:left="320" w:top="419" w:right="11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number of shares of common stock underlying outstanding equity incentive awards for each NEO as of December 31, 2023.</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Option Awards </w:t>
            </w:r>
            <w:r>
              <w:rPr>
                <w:rFonts w:ascii="Times New Roman" w:cs="Times New Roman" w:eastAsia="Times New Roman" w:hAnsi="Times New Roman"/>
                <w:sz w:val="9"/>
                <w:szCs w:val="9"/>
                <w:b w:val="1"/>
                <w:bCs w:val="1"/>
                <w:color w:val="auto"/>
              </w:rPr>
              <w:t>(1)</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shares or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or units of</w:t>
            </w: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7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 Commencement</w:t>
            </w:r>
          </w:p>
        </w:tc>
        <w:tc>
          <w:tcPr>
            <w:tcW w:w="8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Option Price</w:t>
            </w:r>
          </w:p>
        </w:tc>
        <w:tc>
          <w:tcPr>
            <w:tcW w:w="900" w:type="dxa"/>
            <w:vAlign w:val="bottom"/>
            <w:gridSpan w:val="2"/>
            <w:vMerge w:val="continue"/>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4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vested</w:t>
            </w:r>
          </w:p>
        </w:tc>
        <w:tc>
          <w:tcPr>
            <w:tcW w:w="7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760" w:type="dxa"/>
            <w:vAlign w:val="bottom"/>
            <w:gridSpan w:val="2"/>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80" w:type="dxa"/>
            <w:vAlign w:val="bottom"/>
            <w:gridSpan w:val="2"/>
          </w:tcPr>
          <w:p>
            <w:pPr>
              <w:jc w:val="right"/>
              <w:ind w:right="142"/>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(3)</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60" w:type="dxa"/>
            <w:vAlign w:val="bottom"/>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(4)</w:t>
            </w:r>
          </w:p>
        </w:tc>
        <w:tc>
          <w:tcPr>
            <w:tcW w:w="200" w:type="dxa"/>
            <w:vAlign w:val="bottom"/>
          </w:tcPr>
          <w:p>
            <w:pPr>
              <w:spacing w:after="0"/>
              <w:rPr>
                <w:sz w:val="14"/>
                <w:szCs w:val="14"/>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8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March 6, 2023</w:t>
            </w:r>
            <w:r>
              <w:rPr>
                <w:rFonts w:ascii="Times New Roman" w:cs="Times New Roman" w:eastAsia="Times New Roman" w:hAnsi="Times New Roman"/>
                <w:sz w:val="20"/>
                <w:szCs w:val="20"/>
                <w:b w:val="1"/>
                <w:bCs w:val="1"/>
                <w:color w:val="auto"/>
                <w:vertAlign w:val="superscript"/>
              </w:rPr>
              <w:t>(6)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w w:val="86"/>
              </w:rPr>
              <w:t>NA</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6"/>
              </w:rPr>
              <w:t>8,400,000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1,651,979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14,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8,698,512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2,800,000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1,101,320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November 16,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2,036,993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1,046,024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February 17, 2018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18.25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2/17/2028</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3,300,000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1,160,319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4,954,849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40" w:type="dxa"/>
            <w:vAlign w:val="bottom"/>
            <w:gridSpan w:val="3"/>
          </w:tcPr>
          <w:p>
            <w:pPr>
              <w:ind w:left="800"/>
              <w:spacing w:after="0" w:line="29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2"/>
                <w:szCs w:val="12"/>
                <w:color w:val="auto"/>
              </w:rPr>
              <w:t xml:space="preserve"> (8)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90.77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3/6/2030</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ind w:left="1140" w:right="60" w:hanging="371"/>
        <w:spacing w:after="0" w:line="247"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options to purchase Illumina’s common stock. These options were originally granted as options to purchase our Class A common stock and were converted to options to purchase Illumina’s common stock in connection with GRAIL’s acquisition by Illumina.</w:t>
      </w:r>
    </w:p>
    <w:p>
      <w:pPr>
        <w:spacing w:after="0" w:line="2"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Cash-Based Equity Awards awarded by GRAIL.</w:t>
      </w:r>
    </w:p>
    <w:p>
      <w:pPr>
        <w:spacing w:after="0" w:line="6" w:lineRule="exact"/>
        <w:rPr>
          <w:rFonts w:ascii="Times New Roman" w:cs="Times New Roman" w:eastAsia="Times New Roman" w:hAnsi="Times New Roman"/>
          <w:sz w:val="16"/>
          <w:szCs w:val="16"/>
          <w:color w:val="auto"/>
        </w:rPr>
      </w:pPr>
    </w:p>
    <w:p>
      <w:pPr>
        <w:ind w:left="1140" w:right="140" w:hanging="371"/>
        <w:spacing w:after="0" w:line="248"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per share of each option granted was equal to the fair market value of our Class A common stock on the applicable grant date. The exercise price reflected in this column represents the price following the option’s conversion into options to purchase Illumina’s common stock.</w:t>
      </w:r>
    </w:p>
    <w:p>
      <w:pPr>
        <w:ind w:left="1140" w:right="60" w:hanging="371"/>
        <w:spacing w:after="0" w:line="248"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Cash-Based Equity Awards disclosed here are dollar-denominated, cash-settled awards, the value of which fluctuates with, and is ultimately determined by reference to, the aggregate equity value of GRAIL at the time of settlement as compared to the aggregate equity value of GRAIL at the time of grant (in each case, as determined in accordance with the applicable award agreement). Accordingly, these awards do not cover a discernable number of shares of GRAIL common stock.</w:t>
      </w:r>
    </w:p>
    <w:p>
      <w:pPr>
        <w:spacing w:after="0" w:line="1"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represent the aggregate estimated value of the outstanding Cash-Based Equity Awards as of December 31. 2023.</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Cash-Based Equity Awards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w:t>
      </w:r>
    </w:p>
    <w:p>
      <w:pPr>
        <w:ind w:left="1140" w:right="380" w:hanging="371"/>
        <w:spacing w:after="0" w:line="248"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Freidin’s stock option award, which vested in full on November 6, 2022 based on the achievement of applicable performance metrics.</w:t>
      </w:r>
    </w:p>
    <w:p>
      <w:pPr>
        <w:ind w:left="1140" w:right="20" w:hanging="371"/>
        <w:spacing w:after="0" w:line="250"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Ofman’s stock option award with respect to Illumina’s common stock, which is eligible to vest as to one thirty-sixth (1/36th) of the shares subject thereto on each monthly anniversary of the date on which GRAIL determines that it has delivered at least 250,000 GRAIL multi-cancer early detection blood tests for commercial use, in accordance with the terms and conditions set forth in the award agreement (the “Ofman performance condition”), subject to Mr. Ofman’s continued service through the applicable vesting date; provided that (i) if Mr. Ofman’s employment with GRAIL is terminated by GRAIL without cause or he resigns for good reason (each as defined in his award agreement) the stock option will vest as to the portion of the option that would have vested over the twelve month period immediately following the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222</w:t>
      </w:r>
    </w:p>
    <w:p>
      <w:pPr>
        <w:sectPr>
          <w:pgSz w:w="11900" w:h="16838" w:orient="portrait"/>
          <w:cols w:equalWidth="0" w:num="1">
            <w:col w:w="10480"/>
          </w:cols>
          <w:pgMar w:left="320" w:top="419" w:right="10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40"/>
        <w:spacing w:after="0" w:line="255" w:lineRule="auto"/>
        <w:rPr>
          <w:sz w:val="20"/>
          <w:szCs w:val="20"/>
          <w:color w:val="auto"/>
        </w:rPr>
      </w:pPr>
      <w:r>
        <w:rPr>
          <w:rFonts w:ascii="Times New Roman" w:cs="Times New Roman" w:eastAsia="Times New Roman" w:hAnsi="Times New Roman"/>
          <w:sz w:val="16"/>
          <w:szCs w:val="16"/>
          <w:color w:val="auto"/>
        </w:rPr>
        <w:t>termination date (provided that the Ofman performance condition has been satisfied prior to the termination date) and (ii) the stock option will vest in full in the event that Mr. Ofman’s employment is terminated without cause or he resigns for good reason, in either case, during the period commencing three months before the announcement of the signing of a definitive agreement to consummate a change in control and ending twelve months following the consummation of such change in control. This option is early-exercisable, meaning that it can be exercised before it vests for restricted shares subject to the same vesting provisions as apply to the underlying option.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223</w:t>
      </w:r>
    </w:p>
    <w:p>
      <w:pPr>
        <w:sectPr>
          <w:pgSz w:w="11900" w:h="16838" w:orient="portrait"/>
          <w:cols w:equalWidth="0" w:num="1">
            <w:col w:w="10480"/>
          </w:cols>
          <w:pgMar w:left="320" w:top="419" w:right="10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199"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Offer Letters and Separation and General Release Agreement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Robert Ragusa Offer Letter</w:t>
      </w:r>
    </w:p>
    <w:p>
      <w:pPr>
        <w:spacing w:after="0" w:line="104" w:lineRule="exact"/>
        <w:rPr>
          <w:sz w:val="20"/>
          <w:szCs w:val="20"/>
          <w:color w:val="auto"/>
        </w:rPr>
      </w:pPr>
    </w:p>
    <w:p>
      <w:pPr>
        <w:ind w:left="760" w:right="60" w:firstLine="388"/>
        <w:spacing w:after="0" w:line="313" w:lineRule="auto"/>
        <w:rPr>
          <w:sz w:val="20"/>
          <w:szCs w:val="20"/>
          <w:color w:val="auto"/>
        </w:rPr>
      </w:pPr>
      <w:r>
        <w:rPr>
          <w:rFonts w:ascii="Times New Roman" w:cs="Times New Roman" w:eastAsia="Times New Roman" w:hAnsi="Times New Roman"/>
          <w:sz w:val="15"/>
          <w:szCs w:val="15"/>
          <w:color w:val="auto"/>
        </w:rPr>
        <w:t>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w:t>
      </w:r>
    </w:p>
    <w:p>
      <w:pPr>
        <w:spacing w:after="0" w:line="12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the event of a change in control transaction, if outstanding and unvested equity awards are not assumed by the acquirer or successor,</w:t>
      </w:r>
    </w:p>
    <w:p>
      <w:pPr>
        <w:spacing w:after="0" w:line="2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Cash-Based Equity Awards, and with performance vesting awards vesting based on target performance).</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Aaron Freidin Letter Agreement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224</w:t>
      </w:r>
    </w:p>
    <w:p>
      <w:pPr>
        <w:sectPr>
          <w:pgSz w:w="11900" w:h="16838" w:orient="portrait"/>
          <w:cols w:equalWidth="0" w:num="1">
            <w:col w:w="10400"/>
          </w:cols>
          <w:pgMar w:left="320" w:top="419" w:right="11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pursuant to Mr. Freidin’s letter agreement, if Mr. Freidin’s employment is terminated by us without cause or Mr. Freidin resigns for</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 reason, in either case, within 12 months following or 3 months preceding a change in control, then Mr. Freidin will instead be entitled to receive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severance payments and benefits (subject to the same separation and release agreement requirements and in lieu of the amounts described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above): (i) a lump-sum cash payment in an amount equal to 12 months of base salary, (ii) a lump-sum cash payment in an amount equal to 100%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Mr. Freidin’s target bonus under the VCP, (iii) reimbursement for the cost of health benefits under COBRA for up to 12 months, and (iv) full accelerated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vesting of outstanding and unvested equity awards (including Cash-Based Equity Awards and with performance vesting awards vesting based on target</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performance).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Josh Ofman Offer Letter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have entered into an employment offer letter with Josh Ofman, dated May 13, 2019, pursuant to which Mr. Ofman serves as our President.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Mr. Ofman’s employment under the offer letter is “at-will” and is terminable by either party with or without notice or cause.</w:t>
      </w:r>
    </w:p>
    <w:p>
      <w:pPr>
        <w:spacing w:after="0" w:line="18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of the shares subject thereto on the first anniversary of the vesting commencement date and thereafter as to one-forty-eighth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relocation has not yet occurred and GRAIL has continued to reimburse Mr. Ofman for the cost of rental housing. Effective as of December 15, 2023, GRAIL committed to reimburse Mr. Ofman for up to 50% of Mr. Ofman’s monthly housing rental cost, up to a maximum of $4,438 per month until February 28, 2025 and to pay an additional amount to Mr. Ofman to offset the amount of taxes payable by Mr. Ofman as a result of such reimbursement.</w:t>
      </w:r>
    </w:p>
    <w:p>
      <w:pPr>
        <w:spacing w:after="0" w:line="168" w:lineRule="exact"/>
        <w:rPr>
          <w:sz w:val="20"/>
          <w:szCs w:val="20"/>
          <w:color w:val="auto"/>
        </w:rPr>
      </w:pPr>
    </w:p>
    <w:p>
      <w:pPr>
        <w:ind w:left="760" w:right="160" w:firstLine="388"/>
        <w:spacing w:after="0" w:line="281" w:lineRule="auto"/>
        <w:rPr>
          <w:sz w:val="20"/>
          <w:szCs w:val="20"/>
          <w:color w:val="auto"/>
        </w:rPr>
      </w:pPr>
      <w:r>
        <w:rPr>
          <w:rFonts w:ascii="Times New Roman" w:cs="Times New Roman" w:eastAsia="Times New Roman" w:hAnsi="Times New Roman"/>
          <w:sz w:val="15"/>
          <w:szCs w:val="15"/>
          <w:color w:val="auto"/>
        </w:rPr>
        <w:t>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w:t>
      </w:r>
    </w:p>
    <w:p>
      <w:pPr>
        <w:spacing w:after="0" w:line="144"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225</w:t>
      </w:r>
    </w:p>
    <w:p>
      <w:pPr>
        <w:sectPr>
          <w:pgSz w:w="11900" w:h="16838" w:orient="portrait"/>
          <w:cols w:equalWidth="0" w:num="1">
            <w:col w:w="10440"/>
          </w:cols>
          <w:pgMar w:left="320" w:top="419" w:right="11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vesting of outstanding and unvested equity awards (including Cash-Based Equity Awards and with performance vesting awards vesting based on target performance).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have adopted the 2024 Incentive Award Plan, or the 2024 Plan, which was approved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are summarized below.</w:t>
      </w:r>
    </w:p>
    <w:p>
      <w:pPr>
        <w:spacing w:after="0" w:line="15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Eligibility and Administration</w:t>
      </w:r>
      <w:r>
        <w:rPr>
          <w:rFonts w:ascii="Times New Roman" w:cs="Times New Roman" w:eastAsia="Times New Roman" w:hAnsi="Times New Roman"/>
          <w:sz w:val="16"/>
          <w:szCs w:val="16"/>
          <w:color w:val="auto"/>
        </w:rPr>
        <w:t>. Our employees, consultants, and directors, and employees, consultants, and directors of our subsidiaries,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65" w:lineRule="exact"/>
        <w:rPr>
          <w:sz w:val="20"/>
          <w:szCs w:val="20"/>
          <w:color w:val="auto"/>
        </w:rPr>
      </w:pPr>
    </w:p>
    <w:p>
      <w:pPr>
        <w:jc w:val="both"/>
        <w:ind w:left="760" w:right="60" w:firstLine="388"/>
        <w:spacing w:after="0" w:line="273" w:lineRule="auto"/>
        <w:rPr>
          <w:sz w:val="20"/>
          <w:szCs w:val="20"/>
          <w:color w:val="auto"/>
        </w:rPr>
      </w:pPr>
      <w:r>
        <w:rPr>
          <w:rFonts w:ascii="Times New Roman" w:cs="Times New Roman" w:eastAsia="Times New Roman" w:hAnsi="Times New Roman"/>
          <w:sz w:val="15"/>
          <w:szCs w:val="15"/>
          <w:i w:val="1"/>
          <w:iCs w:val="1"/>
          <w:color w:val="auto"/>
        </w:rPr>
        <w:t>Shares Available</w:t>
      </w:r>
      <w:r>
        <w:rPr>
          <w:rFonts w:ascii="Times New Roman" w:cs="Times New Roman" w:eastAsia="Times New Roman" w:hAnsi="Times New Roman"/>
          <w:sz w:val="15"/>
          <w:szCs w:val="15"/>
          <w:color w:val="auto"/>
        </w:rPr>
        <w:t>. An aggregate number of shares of our common stock equal to 23% of the fully diluted shares of our common stock outstanding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immediately following the Distribution (inclusive of any awards converted into GRAIL equity awards in the conversion) will be available for issuance under awards granted pursuant to the 2024 Plan, which shares may be authorized but unissued shares or shares purchased in the open market.</w:t>
      </w:r>
    </w:p>
    <w:p>
      <w:pPr>
        <w:spacing w:after="0" w:line="2"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6"/>
          <w:szCs w:val="16"/>
          <w:color w:val="auto"/>
        </w:rPr>
        <w:t>Notwithstanding anything to the contrary in the 2024 Plan, no more than 10 million shares of our common stock may be issued pursuant to the exercise of ISOs under the 2024 Plan.</w:t>
      </w:r>
    </w:p>
    <w:p>
      <w:pPr>
        <w:spacing w:after="0" w:line="162"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number of shares available for issuance will be increased annually on the first day of each calendar year beginning January 1, 2025 and ending on and including January 1, 2034, equal to the lesser of (A) 5% of the aggregate number of shares of common stock outstanding on the final day of the immediately preceding calendar year and (B) such smaller number of shares as is determined by our board of directors.</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226</w:t>
      </w:r>
    </w:p>
    <w:p>
      <w:pPr>
        <w:sectPr>
          <w:pgSz w:w="11900" w:h="16838" w:orient="portrait"/>
          <w:cols w:equalWidth="0" w:num="1">
            <w:col w:w="10440"/>
          </w:cols>
          <w:pgMar w:left="320" w:top="419" w:right="11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 increased to $1,000,000, in the fiscal year of a non-employee director or any year in which a non-employee director serves as lead independent director.</w:t>
      </w:r>
    </w:p>
    <w:p>
      <w:pPr>
        <w:spacing w:after="0" w:line="15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The 2024 Plan provides for the grant of stock options, including ISOs and non-qualified stock options (“NSOs”), SARs, restricted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w:t>
      </w:r>
    </w:p>
    <w:p>
      <w:pPr>
        <w:spacing w:after="0" w:line="81" w:lineRule="exact"/>
        <w:rPr>
          <w:sz w:val="20"/>
          <w:szCs w:val="20"/>
          <w:color w:val="auto"/>
        </w:rPr>
      </w:pPr>
    </w:p>
    <w:p>
      <w:pPr>
        <w:ind w:left="1620" w:right="20" w:hanging="375"/>
        <w:spacing w:after="0" w:line="253" w:lineRule="auto"/>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 and SARs</w:t>
      </w:r>
      <w:r>
        <w:rPr>
          <w:rFonts w:ascii="Times New Roman" w:cs="Times New Roman" w:eastAsia="Times New Roman" w:hAnsi="Times New Roman"/>
          <w:sz w:val="16"/>
          <w:szCs w:val="16"/>
          <w:color w:val="auto"/>
        </w:rPr>
        <w:t>. Stock options provide for the purchase of shares of our common stock in the future at an exercise price set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78" w:lineRule="exact"/>
        <w:rPr>
          <w:rFonts w:ascii="Times New Roman" w:cs="Times New Roman" w:eastAsia="Times New Roman" w:hAnsi="Times New Roman"/>
          <w:sz w:val="16"/>
          <w:szCs w:val="16"/>
          <w:color w:val="auto"/>
        </w:rPr>
      </w:pPr>
    </w:p>
    <w:p>
      <w:pPr>
        <w:ind w:left="1620" w:right="100" w:hanging="375"/>
        <w:spacing w:after="0" w:line="281" w:lineRule="auto"/>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Restricted stock is an award of nontransferable shares of our common stock that are subject to certain 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restrictions.</w:t>
      </w:r>
    </w:p>
    <w:p>
      <w:pPr>
        <w:spacing w:after="0" w:line="57" w:lineRule="exact"/>
        <w:rPr>
          <w:rFonts w:ascii="Times New Roman" w:cs="Times New Roman" w:eastAsia="Times New Roman" w:hAnsi="Times New Roman"/>
          <w:sz w:val="16"/>
          <w:szCs w:val="16"/>
          <w:color w:val="auto"/>
        </w:rPr>
      </w:pPr>
    </w:p>
    <w:p>
      <w:pPr>
        <w:ind w:left="1620" w:hanging="375"/>
        <w:spacing w:after="0" w:line="277" w:lineRule="auto"/>
        <w:tabs>
          <w:tab w:leader="none" w:pos="162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RSUs</w:t>
      </w:r>
      <w:r>
        <w:rPr>
          <w:rFonts w:ascii="Times New Roman" w:cs="Times New Roman" w:eastAsia="Times New Roman" w:hAnsi="Times New Roman"/>
          <w:sz w:val="15"/>
          <w:szCs w:val="15"/>
          <w:color w:val="auto"/>
        </w:rPr>
        <w:t>. RSUs are contractual promises to deliver shares of our common stock in the future, which may also remain forfeitable unless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w:t>
      </w:r>
    </w:p>
    <w:p>
      <w:pPr>
        <w:spacing w:after="0" w:line="63" w:lineRule="exact"/>
        <w:rPr>
          <w:rFonts w:ascii="Times New Roman" w:cs="Times New Roman" w:eastAsia="Times New Roman" w:hAnsi="Times New Roman"/>
          <w:sz w:val="15"/>
          <w:szCs w:val="15"/>
          <w:color w:val="auto"/>
        </w:rPr>
      </w:pPr>
    </w:p>
    <w:p>
      <w:pPr>
        <w:ind w:left="1620" w:right="140" w:hanging="375"/>
        <w:spacing w:after="0" w:line="259" w:lineRule="auto"/>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Stock- or Cash-Based Awards</w:t>
      </w:r>
      <w:r>
        <w:rPr>
          <w:rFonts w:ascii="Times New Roman" w:cs="Times New Roman" w:eastAsia="Times New Roman" w:hAnsi="Times New Roman"/>
          <w:sz w:val="16"/>
          <w:szCs w:val="16"/>
          <w:color w:val="auto"/>
        </w:rPr>
        <w:t>. Other stock- or cash-based awards are awards of cash, fully vested shares of our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74" w:lineRule="exact"/>
        <w:rPr>
          <w:rFonts w:ascii="Times New Roman" w:cs="Times New Roman" w:eastAsia="Times New Roman" w:hAnsi="Times New Roman"/>
          <w:sz w:val="16"/>
          <w:szCs w:val="16"/>
          <w:color w:val="auto"/>
        </w:rPr>
      </w:pPr>
    </w:p>
    <w:p>
      <w:pPr>
        <w:ind w:left="1620" w:right="60" w:hanging="375"/>
        <w:spacing w:after="0" w:line="256" w:lineRule="auto"/>
        <w:tabs>
          <w:tab w:leader="none" w:pos="1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Dividend equivalents represent the right to receive the equivalent value of dividends paid on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w:t>
      </w:r>
    </w:p>
    <w:p>
      <w:pPr>
        <w:spacing w:after="0" w:line="161" w:lineRule="exact"/>
        <w:rPr>
          <w:sz w:val="20"/>
          <w:szCs w:val="20"/>
          <w:color w:val="auto"/>
        </w:rPr>
      </w:pPr>
    </w:p>
    <w:p>
      <w:pPr>
        <w:ind w:left="760" w:right="8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The plan administrator has broad discretion to take action under the 2024 Plan, as well as make adjustments to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conditions of existing and future awards, to prevent the dilution or enlargement of intended benefits and facilitate necessary or desirable changes in the event of certain transactions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227</w:t>
      </w:r>
    </w:p>
    <w:p>
      <w:pPr>
        <w:sectPr>
          <w:pgSz w:w="11900" w:h="16838" w:orient="portrait"/>
          <w:cols w:equalWidth="0" w:num="1">
            <w:col w:w="10460"/>
          </w:cols>
          <w:pgMar w:left="320" w:top="419" w:right="11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0" w:lineRule="auto"/>
        <w:rPr>
          <w:sz w:val="20"/>
          <w:szCs w:val="20"/>
          <w:color w:val="auto"/>
        </w:rPr>
      </w:pPr>
      <w:r>
        <w:rPr>
          <w:rFonts w:ascii="Times New Roman" w:cs="Times New Roman" w:eastAsia="Times New Roman" w:hAnsi="Times New Roman"/>
          <w:sz w:val="15"/>
          <w:szCs w:val="15"/>
          <w:color w:val="auto"/>
        </w:rPr>
        <w:t>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w:t>
      </w:r>
    </w:p>
    <w:p>
      <w:pPr>
        <w:spacing w:after="0" w:line="156"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Foreign Participants, Claw Back Provisions, Transferability, and Participant Payments</w:t>
      </w:r>
      <w:r>
        <w:rPr>
          <w:rFonts w:ascii="Times New Roman" w:cs="Times New Roman" w:eastAsia="Times New Roman" w:hAnsi="Times New Roman"/>
          <w:sz w:val="16"/>
          <w:szCs w:val="16"/>
          <w:color w:val="auto"/>
        </w:rPr>
        <w:t>. The plan administrator may modify award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Plan Amendment and Termination</w:t>
      </w:r>
      <w:r>
        <w:rPr>
          <w:rFonts w:ascii="Times New Roman" w:cs="Times New Roman" w:eastAsia="Times New Roman" w:hAnsi="Times New Roman"/>
          <w:sz w:val="16"/>
          <w:szCs w:val="16"/>
          <w:color w:val="auto"/>
        </w:rPr>
        <w:t>. The plan administrator may amend or terminate the 2024 Plan at any time; however, no amendment,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connection with the Spin-Off, we have adopted the 2024 Employee Stock Purchase Plan, or the 2024</w:t>
      </w:r>
    </w:p>
    <w:p>
      <w:pPr>
        <w:spacing w:after="0" w:line="23"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16"/>
          <w:szCs w:val="16"/>
          <w:color w:val="auto"/>
        </w:rPr>
        <w:t>ESPP, which was approved by Illumina, in its capacity as our sole stockholder, as required by applicable listing requirements. The material terms of the 2024 ESPP are summarized below.</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2024 ESPP is comprised of two distinct components in order to provide increased flexibility to grant options to purchase shares under the</w:t>
      </w:r>
    </w:p>
    <w:p>
      <w:pPr>
        <w:spacing w:after="0" w:line="23" w:lineRule="exact"/>
        <w:rPr>
          <w:sz w:val="20"/>
          <w:szCs w:val="20"/>
          <w:color w:val="auto"/>
        </w:rPr>
      </w:pPr>
    </w:p>
    <w:p>
      <w:pPr>
        <w:ind w:left="760" w:right="140"/>
        <w:spacing w:after="0" w:line="250" w:lineRule="auto"/>
        <w:rPr>
          <w:sz w:val="20"/>
          <w:szCs w:val="20"/>
          <w:color w:val="auto"/>
        </w:rPr>
      </w:pPr>
      <w:r>
        <w:rPr>
          <w:rFonts w:ascii="Times New Roman" w:cs="Times New Roman" w:eastAsia="Times New Roman" w:hAnsi="Times New Roman"/>
          <w:sz w:val="16"/>
          <w:szCs w:val="16"/>
          <w:color w:val="auto"/>
        </w:rPr>
        <w:t>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64"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Shares Available for Awards; Administration</w:t>
      </w:r>
      <w:r>
        <w:rPr>
          <w:rFonts w:ascii="Times New Roman" w:cs="Times New Roman" w:eastAsia="Times New Roman" w:hAnsi="Times New Roman"/>
          <w:sz w:val="16"/>
          <w:szCs w:val="16"/>
          <w:color w:val="auto"/>
        </w:rPr>
        <w:t>. An aggregate number of shares of our common stock equal to 1.1% of the fully diluted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outstanding immediately following the Distribution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228</w:t>
      </w:r>
    </w:p>
    <w:p>
      <w:pPr>
        <w:sectPr>
          <w:pgSz w:w="11900" w:h="16838" w:orient="portrait"/>
          <w:cols w:equalWidth="0" w:num="1">
            <w:col w:w="10460"/>
          </w:cols>
          <w:pgMar w:left="320" w:top="419" w:right="11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6"/>
          <w:szCs w:val="16"/>
          <w:color w:val="auto"/>
        </w:rPr>
        <w:t>(inclusive of any awards converted into GRAIL equity awards in the conversion). In addition, the number of shares available for issuance under the 2024 ESPP will be annually increased on January 1 of each calendar year beginning in 2025 and ending in and including 2034, by an amount equal to the lesser of (A) one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expect that our employees and the employees of certain of our subsidiaries participating in the 2024 ESPP from time to time, or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w:t>
      </w:r>
    </w:p>
    <w:p>
      <w:pPr>
        <w:spacing w:after="0" w:line="166"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Grant of Rights</w:t>
      </w:r>
      <w:r>
        <w:rPr>
          <w:rFonts w:ascii="Times New Roman" w:cs="Times New Roman" w:eastAsia="Times New Roman" w:hAnsi="Times New Roman"/>
          <w:sz w:val="16"/>
          <w:szCs w:val="16"/>
          <w:color w:val="auto"/>
        </w:rPr>
        <w:t>. Stock will be offered under the 2024 ESPP during offering periods. The length of the offering periods under the 2024 ESPP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66"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229</w:t>
      </w:r>
    </w:p>
    <w:p>
      <w:pPr>
        <w:sectPr>
          <w:pgSz w:w="11900" w:h="16838" w:orient="portrait"/>
          <w:cols w:equalWidth="0" w:num="1">
            <w:col w:w="10480"/>
          </w:cols>
          <w:pgMar w:left="320" w:top="419" w:right="10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 participant withdraws from the 2024 ESPP during an offering period, the participant cannot rejoin until the next offering period. Participation ends automatically upon a participant’s termination of employment.</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 participant may not transfer rights granted under the 2024 ESPP other than by will or the laws of descent and distribution, and such rights are generally exercisable only by the participant.</w:t>
      </w:r>
    </w:p>
    <w:p>
      <w:pPr>
        <w:spacing w:after="0" w:line="143"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In the event of certain non-reciprocal transactions or events affecting our common stock, the plan administrator will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66" w:lineRule="exact"/>
        <w:rPr>
          <w:sz w:val="20"/>
          <w:szCs w:val="20"/>
          <w:color w:val="auto"/>
        </w:rPr>
      </w:pPr>
    </w:p>
    <w:p>
      <w:pPr>
        <w:ind w:left="760" w:firstLine="388"/>
        <w:spacing w:after="0" w:line="316" w:lineRule="auto"/>
        <w:rPr>
          <w:sz w:val="20"/>
          <w:szCs w:val="20"/>
          <w:color w:val="auto"/>
        </w:rPr>
      </w:pPr>
      <w:r>
        <w:rPr>
          <w:rFonts w:ascii="Times New Roman" w:cs="Times New Roman" w:eastAsia="Times New Roman" w:hAnsi="Times New Roman"/>
          <w:sz w:val="15"/>
          <w:szCs w:val="15"/>
          <w:i w:val="1"/>
          <w:iCs w:val="1"/>
          <w:color w:val="auto"/>
        </w:rPr>
        <w:t>Plan Amendment</w:t>
      </w:r>
      <w:r>
        <w:rPr>
          <w:rFonts w:ascii="Times New Roman" w:cs="Times New Roman" w:eastAsia="Times New Roman" w:hAnsi="Times New Roman"/>
          <w:sz w:val="15"/>
          <w:szCs w:val="15"/>
          <w:color w:val="auto"/>
        </w:rPr>
        <w:t>. The plan administrator may amend, suspend, or terminate the 2024 ESPP at any time. However, stockholder approval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for any amendment that increases the aggregate number or changes the type of shares that may be sold pursuant to rights under the 2024 ESPP.</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230</w:t>
      </w:r>
    </w:p>
    <w:p>
      <w:pPr>
        <w:sectPr>
          <w:pgSz w:w="11900" w:h="16838" w:orient="portrait"/>
          <w:cols w:equalWidth="0" w:num="1">
            <w:col w:w="10420"/>
          </w:cols>
          <w:pgMar w:left="320" w:top="419" w:right="11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99"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As of the date of this Information Statement, Illumina beneficially owns all the outstanding shares of our common stock. After the Spin-Off, Illumina may own up to 14.5% of our common stock.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provide information regarding the anticipated beneficial ownership of our common stock immediately following the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Distribution. Except as otherwise noted below, we based the share amounts on each person’s beneficial ownership of Illumina common stock 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April 26, 2024, giving effect to a distribution ratio pursuant to which, for every six shares of Illumina common stock he, she, or it held, one share of our</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common stock will be distributed. Immediately following the Spin-Off, we estimate that 31.1 million shares of our common stock will be issued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outstanding, based on the approximately 159.3 million shares of Illumina common stock outstanding on April 26, 2024. The actual number of shares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common stock outstanding following the Spin-Off will be determined on the Record Date,             , 2024.</w:t>
      </w:r>
    </w:p>
    <w:p>
      <w:pPr>
        <w:spacing w:after="0" w:line="180"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To the extent our directors and executive officers own Illumina common stock at the Record Date of the Spin-Off, they will participate in the Distribution on the same terms as other holders of Illumina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Share Ownership Information for Directors and Officers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shows the number of shares of GRAIL common stock expected to be beneficially owned by our expected directors, named executive officers and expected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4"/>
              </w:rPr>
              <w:t>Other Shares That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Total Shares</w:t>
            </w:r>
          </w:p>
        </w:tc>
        <w:tc>
          <w:tcPr>
            <w:tcW w:w="0" w:type="dxa"/>
            <w:vAlign w:val="bottom"/>
          </w:tcPr>
          <w:p>
            <w:pPr>
              <w:spacing w:after="0"/>
              <w:rPr>
                <w:sz w:val="1"/>
                <w:szCs w:val="1"/>
                <w:color w:val="auto"/>
              </w:rPr>
            </w:pPr>
          </w:p>
        </w:tc>
      </w:tr>
      <w:tr>
        <w:trPr>
          <w:trHeight w:val="131"/>
        </w:trPr>
        <w:tc>
          <w:tcPr>
            <w:tcW w:w="1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Directors and Executive Officers</w:t>
            </w:r>
          </w:p>
        </w:tc>
        <w:tc>
          <w:tcPr>
            <w:tcW w:w="4100" w:type="dxa"/>
            <w:vAlign w:val="bottom"/>
            <w:vMerge w:val="restart"/>
          </w:tcPr>
          <w:p>
            <w:pPr>
              <w:spacing w:after="0"/>
              <w:rPr>
                <w:sz w:val="11"/>
                <w:szCs w:val="11"/>
                <w:color w:val="auto"/>
              </w:rPr>
            </w:pP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640" w:type="dxa"/>
            <w:vAlign w:val="bottom"/>
            <w:gridSpan w:val="2"/>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May be Acquired</w:t>
            </w:r>
          </w:p>
        </w:tc>
        <w:tc>
          <w:tcPr>
            <w:tcW w:w="7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61"/>
        </w:trPr>
        <w:tc>
          <w:tcPr>
            <w:tcW w:w="1780" w:type="dxa"/>
            <w:vAlign w:val="bottom"/>
            <w:tcBorders>
              <w:bottom w:val="single" w:sz="8" w:color="auto"/>
            </w:tcBorders>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40" w:type="dxa"/>
            <w:vAlign w:val="bottom"/>
            <w:gridSpan w:val="2"/>
          </w:tcPr>
          <w:p>
            <w:pPr>
              <w:jc w:val="right"/>
              <w:ind w:right="680"/>
              <w:spacing w:after="0" w:line="141" w:lineRule="exact"/>
              <w:rPr>
                <w:sz w:val="20"/>
                <w:szCs w:val="20"/>
                <w:color w:val="auto"/>
              </w:rPr>
            </w:pPr>
            <w:r>
              <w:rPr>
                <w:rFonts w:ascii="Times New Roman" w:cs="Times New Roman" w:eastAsia="Times New Roman" w:hAnsi="Times New Roman"/>
                <w:sz w:val="13"/>
                <w:szCs w:val="13"/>
                <w:b w:val="1"/>
                <w:bCs w:val="1"/>
                <w:color w:val="auto"/>
                <w:w w:val="99"/>
              </w:rPr>
              <w:t>Within 60 days</w:t>
            </w:r>
            <w:r>
              <w:rPr>
                <w:rFonts w:ascii="Times New Roman" w:cs="Times New Roman" w:eastAsia="Times New Roman" w:hAnsi="Times New Roman"/>
                <w:sz w:val="9"/>
                <w:szCs w:val="9"/>
                <w:b w:val="1"/>
                <w:bCs w:val="1"/>
                <w:color w:val="auto"/>
                <w:w w:val="99"/>
              </w:rPr>
              <w:t>(1)</w:t>
            </w:r>
          </w:p>
        </w:tc>
        <w:tc>
          <w:tcPr>
            <w:tcW w:w="7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174"/>
        </w:trPr>
        <w:tc>
          <w:tcPr>
            <w:tcW w:w="588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William (Bill) Chase</w:t>
            </w:r>
          </w:p>
        </w:tc>
        <w:tc>
          <w:tcPr>
            <w:tcW w:w="84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64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 Mizell</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 Ofman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64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1,631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9,561</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Ragusa</w:t>
            </w: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858</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Gregory (Greg) Summe</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(6 persons)</w:t>
            </w: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10,271</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1,631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40" w:right="60" w:hanging="371"/>
        <w:spacing w:after="0" w:line="237" w:lineRule="auto"/>
        <w:tabs>
          <w:tab w:leader="none" w:pos="1140" w:val="left"/>
        </w:tabs>
        <w:numPr>
          <w:ilvl w:val="0"/>
          <w:numId w:val="168"/>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For Mr. Ofman represents unvested stock options that were early-exercisable as of April 26, 2024, meaning that it could be exercised as of such date for restricted shares subject to the same vesting provisions as applied to the underlying option.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231</w:t>
      </w:r>
    </w:p>
    <w:p>
      <w:pPr>
        <w:sectPr>
          <w:pgSz w:w="11900" w:h="16838" w:orient="portrait"/>
          <w:cols w:equalWidth="0" w:num="1">
            <w:col w:w="10480"/>
          </w:cols>
          <w:pgMar w:left="320" w:top="419" w:right="10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shows all holders known to GRAIL that are expected to be beneficial owners of more than 5 percent of the outstanding shares of GRAIL common stock immediately following the completion of the Distribution based on the assumptions set forth above.</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Name and Address</w:t>
            </w:r>
          </w:p>
        </w:tc>
        <w:tc>
          <w:tcPr>
            <w:tcW w:w="640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Percent of Class</w:t>
            </w:r>
          </w:p>
        </w:tc>
        <w:tc>
          <w:tcPr>
            <w:tcW w:w="0" w:type="dxa"/>
            <w:vAlign w:val="bottom"/>
          </w:tcPr>
          <w:p>
            <w:pPr>
              <w:spacing w:after="0"/>
              <w:rPr>
                <w:sz w:val="1"/>
                <w:szCs w:val="1"/>
                <w:color w:val="auto"/>
              </w:rPr>
            </w:pPr>
          </w:p>
        </w:tc>
      </w:tr>
      <w:tr>
        <w:trPr>
          <w:trHeight w:val="20"/>
        </w:trPr>
        <w:tc>
          <w:tcPr>
            <w:tcW w:w="7440" w:type="dxa"/>
            <w:vAlign w:val="bottom"/>
            <w:gridSpan w:val="2"/>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21"/>
                <w:szCs w:val="21"/>
                <w:color w:val="auto"/>
                <w:vertAlign w:val="superscript"/>
              </w:rPr>
              <w:t>(1)</w:t>
            </w: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4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3,029,586</w:t>
            </w:r>
          </w:p>
        </w:tc>
        <w:tc>
          <w:tcPr>
            <w:tcW w:w="580" w:type="dxa"/>
            <w:vAlign w:val="bottom"/>
            <w:vMerge w:val="continue"/>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159"/>
        </w:trPr>
        <w:tc>
          <w:tcPr>
            <w:tcW w:w="744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100 Vanguard Blvd.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Malvern, PA 19355</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6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744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5"/>
                <w:szCs w:val="15"/>
                <w:color w:val="auto"/>
              </w:rPr>
              <w:t>2,217,113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59"/>
        </w:trPr>
        <w:tc>
          <w:tcPr>
            <w:tcW w:w="744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50 Hudson Yards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 NY 10001</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140" w:right="20" w:hanging="371"/>
        <w:spacing w:after="0" w:line="217" w:lineRule="auto"/>
        <w:tabs>
          <w:tab w:leader="none" w:pos="1140" w:val="left"/>
        </w:tabs>
        <w:numPr>
          <w:ilvl w:val="0"/>
          <w:numId w:val="169"/>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This information is based on a Schedule 13G/A filed with the SEC on February 13, 2024, reporting beneficial ownership of 18,177,520 shares of Illumina common stock. Based on the information contained in such Schedule 13G/A, it is anticipated that The Vanguard Group will be deemed to have shared voting power with respect to 33,724 shares of GRAIL’s common stock, sole dispositive power with respect to 2,917,316 of such shares, and shared dispositive power with respect to 112,270 of such shares.</w:t>
      </w:r>
    </w:p>
    <w:p>
      <w:pPr>
        <w:spacing w:after="0" w:line="1" w:lineRule="exact"/>
        <w:rPr>
          <w:rFonts w:ascii="Times New Roman" w:cs="Times New Roman" w:eastAsia="Times New Roman" w:hAnsi="Times New Roman"/>
          <w:sz w:val="10"/>
          <w:szCs w:val="10"/>
          <w:color w:val="auto"/>
        </w:rPr>
      </w:pPr>
    </w:p>
    <w:p>
      <w:pPr>
        <w:jc w:val="both"/>
        <w:ind w:left="1140" w:right="80" w:hanging="371"/>
        <w:spacing w:after="0" w:line="220" w:lineRule="auto"/>
        <w:tabs>
          <w:tab w:leader="none" w:pos="1140" w:val="left"/>
        </w:tabs>
        <w:numPr>
          <w:ilvl w:val="0"/>
          <w:numId w:val="169"/>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This information is based on a Schedule 13G/A filed with the SEC on January 25, 2024, reporting beneficial ownership of 13,302,678 shares of Illumina common stock. Based on the information contained in such Schedule 13G/A, it is anticipated that BlackRock, Inc. will be deemed to have sole voting power with respect to 2,026,104 shares of GRAIL’s common stock and sole dispositive power with respect to 2,217,113 of such shares.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232</w:t>
      </w:r>
    </w:p>
    <w:p>
      <w:pPr>
        <w:sectPr>
          <w:pgSz w:w="11900" w:h="16838" w:orient="portrait"/>
          <w:cols w:equalWidth="0" w:num="1">
            <w:col w:w="10480"/>
          </w:cols>
          <w:pgMar w:left="320" w:top="419" w:right="10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Agreements with Illumina</w:t>
      </w:r>
    </w:p>
    <w:p>
      <w:pPr>
        <w:spacing w:after="0" w:line="104"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Following the Spin-Off, we and Illumina will operate independently. Immediately after the Distribution becomes effective, Illumina may retain up to 14.5% of our common stock and we will not have any ownership interest in Illumina.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are included as exhibits to our Registration Statement on Form 10, of which this Information Statement is a part.</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and Distribution Agreement</w:t>
      </w:r>
    </w:p>
    <w:p>
      <w:pPr>
        <w:spacing w:after="0" w:line="106"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separation and distribution agreement (the “Separation and Distribution Agreement”) that will set forth our agreements with Illumina regarding the principal actions to be taken in connection with the Spin-Off. It will also set forth other agreements that govern aspects of our relationship with Illumina following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The Distribution</w:t>
      </w:r>
    </w:p>
    <w:p>
      <w:pPr>
        <w:spacing w:after="0" w:line="104" w:lineRule="exact"/>
        <w:rPr>
          <w:sz w:val="20"/>
          <w:szCs w:val="20"/>
          <w:color w:val="auto"/>
        </w:rPr>
      </w:pPr>
    </w:p>
    <w:p>
      <w:pPr>
        <w:jc w:val="both"/>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 subject to the terms of the Separation and Distribution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Conditions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 Separation and Distribution Agreement will also provide that several conditions must be satisfied or waived by Illumina in its sole and absolute discretion, subject to the terms of the Separation and Distribution Agreement, before the Distribution can occur. For further information about these conditions, see the section entitled “The Spin-Off—Conditions to the Spin-Off” beginning on page 113 of this Information Statement. The Illumina Board may determine the Record Date and the Distribution Date and may at any time prior to the execution of the Separation and Distribution Agreement decide to abandon or modify the Spin-Off.</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and Illumina will each agree to indemnify the other and each of the other’s former and current directors, officers, and employees, and each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heirs, executors, successors, and assigns of any of them, against certain liabilities incurred in connection with the Spin-Off and our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Illumina’s respective businesses. The amount of either Illumina’s or our indemnification obligations will be reduced by any insurance proceeds the party</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being indemnified receives. The Separation and Distribution Agreement will also specify procedures regarding claims subject to indemnification.</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233</w:t>
      </w:r>
    </w:p>
    <w:p>
      <w:pPr>
        <w:sectPr>
          <w:pgSz w:w="11900" w:h="16838" w:orient="portrait"/>
          <w:cols w:equalWidth="0" w:num="1">
            <w:col w:w="10480"/>
          </w:cols>
          <w:pgMar w:left="320" w:top="419" w:right="10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Disposal Funding</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Prior to the completion of the Spin-Off, Illumina will contribute to us an amount, in cash, so as to cover 2.5 years of our operations based on the projected operating free cash flow set forth in our long range plan (such amount, the “Disposal Funding”). We may be required to return all or a portion of the Disposal Funding to Illumina in the event of certain transactions before the 15-month anniversary of the Distribution Date (the “Restricted Period”). Subject to limited exceptions, if we pay any dividend on, or make any other distribution in respect of, any shares of our common stock or other equity or voting interests (other than a stock dividend or a stock split), or otherwise consummate a return of capital to any of our equityholders or redeem, purchase, or otherwise acquire any of our outstanding shares of common stock or other equity or voting interests during the Restricted Period, then we must return to Illumina the aggregate amount of payments to equityholders as a result of or in connection with such a transaction. Additionally, in connection with certain change of control transactions during the Restricted Period, we must return to Illumina a cash amount calculated by reference to the number of months which have elapsed since the Distribution Date at the time of the public announcement of the event giving rise to the change of control.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Tax Matters Agreement will generally allocate liability for any taxes and related losses resulting from the failure of the Spin-Off and certain related transactions to qualify for their intended tax treatment under U.S. federal income tax law between Illumina and us generally based on which party was responsible for causing such transactions not to qualify for the intended tax treatment, with each party generally responsible for breaches of its own representations and covenants and transactions involving its own stock, provided Illumina will generally bear any taxes and losses imposed on Illumina if the retention and disposition of its retained stake in GRAIL cause the Spin-Off to be taxable to Illumina.</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Tax Matters Agreement will impose certain restrictions on us and our subsidiaries (including restrictions on share issuances, redemptions or repurchases, business combinations, sales of assets, and similar transactions) that will be designed to address compliance with Section 355 of the Code and preserve the tax-free nature of the Spin-Off. These restrictions will apply for the two-year period after the Distribution unless Illumina obtains an opinion from counsel or a ruling from the IRS generally to the effect that a restricted action will not cause the Spin-Off or certain related transactions to fail to qualify for its intended tax treatment, or Illumina gives its consent for us to take a restricted action.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Employee Matters Agreement</w:t>
      </w:r>
    </w:p>
    <w:p>
      <w:pPr>
        <w:spacing w:after="0" w:line="106"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an employee matters agreement (the “Employee Matters Agreement”) that will address certain employment, compensation, and benefits matters, including the allocation and treatment of certain assets and liabilities relating to our employees and compensation and benefit plans and programs in which our employees participate prior to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Assumption and Retention of Liabilities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From and after the Distribution Date, except as otherwise provided in the Employee Matters Agreement, we will generally assume or retain all employee and benefit plan liabilities with respect to our current or former employees and benefit plans and Illumina will generally assume or retain all employee and benefit liabilities with respect to their current or former employees and benefit plans.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234</w:t>
      </w:r>
    </w:p>
    <w:p>
      <w:pPr>
        <w:sectPr>
          <w:pgSz w:w="11900" w:h="16838" w:orient="portrait"/>
          <w:cols w:equalWidth="0" w:num="1">
            <w:col w:w="10460"/>
          </w:cols>
          <w:pgMar w:left="320" w:top="419" w:right="11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Treatment of GRAIL Cash-Based Equity Awards and Illumina Equity Awards Held by GRAIL Employees</w:t>
      </w:r>
    </w:p>
    <w:p>
      <w:pPr>
        <w:spacing w:after="0" w:line="104"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Effective as of the Distribution Date, each outstanding and unvested portion of the Cash-Based Equity Awards as of immediately prior to the Distribution Date will be converted into GRAIL RSUs, with the number of shares of GRAIL common stock subject to such GRAIL RSUs equal to</w:t>
      </w:r>
    </w:p>
    <w:p>
      <w:pPr>
        <w:spacing w:after="0" w:line="1" w:lineRule="exact"/>
        <w:rPr>
          <w:sz w:val="20"/>
          <w:szCs w:val="20"/>
          <w:color w:val="auto"/>
        </w:rPr>
      </w:pPr>
    </w:p>
    <w:p>
      <w:pPr>
        <w:ind w:left="760" w:right="40" w:firstLine="9"/>
        <w:spacing w:after="0" w:line="250" w:lineRule="auto"/>
        <w:tabs>
          <w:tab w:leader="none" w:pos="94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Award Value” (as defined below) for such Cash-Based Equity Award divided by (ii) the average of the volume weighted average per share price of GRAIL Stock on the first four trading days immediately following the Distribution Date (the “GRAIL Share Value”). All other terms and conditions of the awards, including vesting and payment terms, will be unaffected by the conversion. The Employee Matters Agreement also provides for an intermediate conversion of the Cash-Based Equity Awards in order to satisfy certain legal requirements under the documentation of the award agreements, but this intermediate conversion does not affect the value of the awards or the number of shares of GRAIL Stock subject to the resulting GRAIL RSUs.</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For each Cash-Based Equity Award, the “Aggregate Award Value” is equal to, (i) for the portion of such award originally scheduled to vest in 2024, the initial grant value of such portion, and (ii) for the remaining unvested portion of such award, the initial grant value of such portion adjusted up or down based on a percentage, with such percentage determined by (A) GRAIL’s average closing market capitalization for the four trading days immediately following the Distribution Date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aggregate equity value of GRAIL at the time the Cash-Based Equity Award was granted, as reflected in the consolidated financial statements of Illumina (the “Baseline Equity Value”),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color w:val="auto"/>
        </w:rPr>
        <w:t xml:space="preserve"> by (B) the Baseline Equity Value.</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Employee Matters Agreement will also provide that, upon the Distribution Date, Illumina stock options held by our employees will generally convert into equivalent GRAIL stock awards with adjustments to the number of awards and option exercise prices to preserve the award’s value. All other vesting terms and conditions that apply to such stock options prior to the conversion will be unaffected by the conversion.</w:t>
      </w:r>
    </w:p>
    <w:p>
      <w:pPr>
        <w:spacing w:after="0" w:line="157"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Employee Matters Agreement will also provide for the establishment of the 2024 Incentive Award Plan, the expected terms of which are described above under “Executive Compensation Arrangements—2024 Equity Incentive Plan”. The 2024 Incentive Award Plan will be subject to the approval of Illumina, as the sole equityholder of GRAIL.</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Collective Bargaining Agreements</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will agree to take all actions that are necessary for us to continue to maintain and comply with any collective bargaining agreements and any pre-existing collective bargaining relationships in respect of any of our UK-based employees and any applicable employee representatives.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and Registration Rights Agreement</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Demand Registration</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generally be able to designate the terms of each offering effected pursuant to a demand registration, which may take the form of a shelf registration, and will be able to request that we complete up to three demand registrations in any 12-month period, provided that we shall not be obligated to effect more than five demand registration in the aggregate.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235</w:t>
      </w:r>
    </w:p>
    <w:p>
      <w:pPr>
        <w:sectPr>
          <w:pgSz w:w="11900" w:h="16838" w:orient="portrait"/>
          <w:cols w:equalWidth="0" w:num="1">
            <w:col w:w="10420"/>
          </w:cols>
          <w:pgMar w:left="320" w:top="419" w:right="11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We will not be required to honor a demand registration if we have effected a registration within the preceding 60 days. In addition, if we reasonably determine in good faith that filing a registration statement would be significantly disadvantageous to us, we may, no more than twice during any 12-month period, delay filing such registration statement until the earlier of 90 days after we make such determination or seven days after the disadvantageous condition no longer exists, provided that these postponement rights shall not be applicable to the Holders for more than a total of 120 days during any 12-month period.</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Piggy-Back Registration</w:t>
      </w:r>
    </w:p>
    <w:p>
      <w:pPr>
        <w:spacing w:after="0" w:line="104"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The Stockholder and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Voting Restrictions</w:t>
      </w:r>
    </w:p>
    <w:p>
      <w:pPr>
        <w:spacing w:after="0" w:line="104" w:lineRule="exact"/>
        <w:rPr>
          <w:sz w:val="20"/>
          <w:szCs w:val="20"/>
          <w:color w:val="auto"/>
        </w:rPr>
      </w:pPr>
    </w:p>
    <w:p>
      <w:pPr>
        <w:jc w:val="both"/>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Illumina will agree to vote any shares of our common stock that it retains in proportion to the votes cast by our other stockholders and will grant us a proxy to vote its shares of our common stock in such proportion. Any such proxy, however, will be automatically revoked as to a particular share upon any sale or transfer of such share from Illumina to a person other than Illumina, and neither the Stockholder and Registration Rights Agreement nor proxy will limit or prohibit any such sale or transfer.</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Ongoing Commercial Agreements</w:t>
      </w:r>
    </w:p>
    <w:p>
      <w:pPr>
        <w:spacing w:after="0" w:line="106" w:lineRule="exact"/>
        <w:rPr>
          <w:sz w:val="20"/>
          <w:szCs w:val="20"/>
          <w:color w:val="auto"/>
        </w:rPr>
      </w:pPr>
    </w:p>
    <w:p>
      <w:pPr>
        <w:ind w:left="760" w:right="640" w:firstLine="388"/>
        <w:spacing w:after="0" w:line="278" w:lineRule="auto"/>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 various other agreements with Illumina and its subsidiaries, including a supply and commercialization agreement and license agreements.</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January 2016, we entered into a supply and commercialization agreement with Illumina. The agreement was amended and restated in February 2017, and subsequently amended in September 2017, August 2021, and May 2023. Under the terms of the agreement, we agreed to pay to Illumina a high single-digit royalty, subject to certain reductions and floors, in perpetuity on net sales generated by our products or revenues otherwise generated or received by us, regardless of whether these products incorporate any Illumina intellectual property, subject to certain exceptions, in the field of oncology. In August 2021, following Illumina’s acquisition of GRAIL, the agreement was amended to suspend the royalty payments for as long as GRAIL is an affiliate of Illumina. The Divestment Plan (as defined in the section entitled “The Spin-Off—Background” beginning on page 102 of this Information Statement) permits Illumina to maintain the royalty arrangement with GRAIL. In connection with the separation of GRAIL from Illumina via the Spin-Off, GRAIL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the Open Offer or the Grandfathered Pricing.</w:t>
      </w:r>
    </w:p>
    <w:p>
      <w:pPr>
        <w:spacing w:after="0" w:line="168" w:lineRule="exact"/>
        <w:rPr>
          <w:sz w:val="20"/>
          <w:szCs w:val="20"/>
          <w:color w:val="auto"/>
        </w:rPr>
      </w:pPr>
    </w:p>
    <w:p>
      <w:pPr>
        <w:ind w:left="760" w:right="680" w:firstLine="388"/>
        <w:spacing w:after="0" w:line="278" w:lineRule="auto"/>
        <w:rPr>
          <w:sz w:val="20"/>
          <w:szCs w:val="20"/>
          <w:color w:val="auto"/>
        </w:rPr>
      </w:pPr>
      <w:r>
        <w:rPr>
          <w:rFonts w:ascii="Times New Roman" w:cs="Times New Roman" w:eastAsia="Times New Roman" w:hAnsi="Times New Roman"/>
          <w:sz w:val="16"/>
          <w:szCs w:val="16"/>
          <w:color w:val="auto"/>
        </w:rPr>
        <w:t>Under the agreement, Illumina granted us non-exclusive rights to use certain Illumina know-how and technology with Illumina products purchased under the agreement, and we granted Illumina an irrevocable,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236</w:t>
      </w:r>
    </w:p>
    <w:p>
      <w:pPr>
        <w:sectPr>
          <w:pgSz w:w="11900" w:h="16838" w:orient="portrait"/>
          <w:cols w:equalWidth="0" w:num="1">
            <w:col w:w="10480"/>
          </w:cols>
          <w:pgMar w:left="320" w:top="419" w:right="10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w:t>
      </w:r>
    </w:p>
    <w:p>
      <w:pPr>
        <w:spacing w:after="0" w:line="161"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Arrangements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(the “Acquisition”), Illumina issued to the then-holders of GRAIL common stock and preferred stock, at each holder’s election in lieu of cash consideration otherwise payable in the Acquisition, contingent value rights (“CVRs”) representing the right to receive future cash payments from Illumina on a quarterly basis representing a pro rata portion of certain GRAIL-related revenues. Subject to the terms of the Divestment Plan to be approved by the European Commission, Illumina may (i) conduct a tender offer to acquire all issued and outstanding CVRs and, if permitted under the terms of the CVR Agreement, redeem all remaining outstanding CVRs or (ii) retain the CVR liability and continue its obligation to make payments following the Spin-Off. GRAIL does not currently have, and following the Spin-Off, will not have any obligation to make payments in respect of the CVRs.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Policy and Procedures Governing Related Person Transactions</w:t>
      </w:r>
    </w:p>
    <w:p>
      <w:pPr>
        <w:spacing w:after="0" w:line="10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237</w:t>
      </w:r>
    </w:p>
    <w:p>
      <w:pPr>
        <w:sectPr>
          <w:pgSz w:w="11900" w:h="16838" w:orient="portrait"/>
          <w:cols w:equalWidth="0" w:num="1">
            <w:col w:w="10480"/>
          </w:cols>
          <w:pgMar w:left="320" w:top="419" w:right="10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DESCRIPTION OF OUR CAPITAL STOCK</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Immediately following the Spin-Off, our authorized capital stock will consist of 1,500,000,000 shares of common stock, par value $0.001 per share and 50,000,000 shares of preferred stock, par value $0.001 per share.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0" w:lineRule="exact"/>
        <w:rPr>
          <w:sz w:val="20"/>
          <w:szCs w:val="20"/>
          <w:color w:val="auto"/>
        </w:rPr>
      </w:pPr>
    </w:p>
    <w:p>
      <w:pPr>
        <w:ind w:left="76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Shares Outstanding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Immediately following the Spin-Off, we estimate that approximately 31.1 million shares of our common stock will be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outstanding, based in part on approximately 159.3 million shares of Illumina common stock outstanding as of April 26, 2024. The actual number of 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w:t>
      </w:r>
    </w:p>
    <w:p>
      <w:pPr>
        <w:spacing w:after="0" w:line="157" w:lineRule="exact"/>
        <w:rPr>
          <w:sz w:val="20"/>
          <w:szCs w:val="20"/>
          <w:color w:val="auto"/>
        </w:rPr>
      </w:pPr>
    </w:p>
    <w:p>
      <w:pPr>
        <w:ind w:left="760" w:right="48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Holders of shares of our common stock will be entitled to receive dividends when, as and if declared by our Board at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115 and 97 respectively, of this Information Statement.</w:t>
      </w:r>
    </w:p>
    <w:p>
      <w:pPr>
        <w:spacing w:after="0" w:line="155"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share of common stock is entitled to one vote upon any matter submitted to a vote of our stockholders, including the election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directors. Holders of our common stock will vote as a single class on all matters submitted to a stockholder vote, subject to any voting rights granted to holders of any preferred stock. Holders of the common stock are not entitled to any cumulative voting rights.</w:t>
      </w:r>
    </w:p>
    <w:p>
      <w:pPr>
        <w:spacing w:after="0" w:line="150" w:lineRule="exact"/>
        <w:rPr>
          <w:sz w:val="20"/>
          <w:szCs w:val="20"/>
          <w:color w:val="auto"/>
        </w:rPr>
      </w:pPr>
    </w:p>
    <w:p>
      <w:pPr>
        <w:ind w:left="760" w:right="3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color w:val="auto"/>
        </w:rPr>
        <w:t>. In the event of our liquidation, dissolution, or winding up, the holders of common stock are entitled to share ratably in all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remaining after payment of liabilities, subject to prior distribution rights of preferred stock, if any, then outstanding.</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The holders of our common stock have no preemptive rights or other subscription rights.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no redemption or sinking fund provisions applicable to our common stock.</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238</w:t>
      </w:r>
    </w:p>
    <w:p>
      <w:pPr>
        <w:sectPr>
          <w:pgSz w:w="11900" w:h="16838" w:orient="portrait"/>
          <w:cols w:equalWidth="0" w:num="1">
            <w:col w:w="10440"/>
          </w:cols>
          <w:pgMar w:left="320" w:top="419" w:right="11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Provisions of Delaware Law, Our Certificate of Incorporation and Bylaws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Election and Removal of Directors; Vacancies</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Any vacancy occurring on the Board and any newly created directorship may be filled only by a majority of the remaining directors in office.</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Immediately after the Spin-Off, our Board will be divided into three classes serving staggered three-year terms. Class I, Class II, and Class III directors will serve until our annual meetings of stockholders in 2025, 2026 and 2027,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Action by Written Consent</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holders of our common stock will not be able to act by written consent without a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Meetings</w:t>
      </w:r>
    </w:p>
    <w:p>
      <w:pPr>
        <w:spacing w:after="0" w:line="106"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special meetings of our stockholders may be called only at the direction of the Chief Executive Officer, the Board, or the Chairperson of the Board or the Lead Independent Director. Our Certificate of Incorporation and our Bylaws specifically deny any power of any other person to call a special meeting.</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Certificate of Incorporation</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provisions of our Certificate of Incorporation described under “—Election and Removal of Directors; Vacancies,” “—Stockholder Meetings,” “—Limitation on Action by Written Consent,” “—Limitation of Liability of Directors and Officers,” “—Common Stock—Voting Rights,” and “—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Bylaws</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239</w:t>
      </w:r>
    </w:p>
    <w:p>
      <w:pPr>
        <w:sectPr>
          <w:pgSz w:w="11900" w:h="16838" w:orient="portrait"/>
          <w:cols w:equalWidth="0" w:num="1">
            <w:col w:w="10480"/>
          </w:cols>
          <w:pgMar w:left="320" w:top="419" w:right="10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78" w:lineRule="auto"/>
        <w:rPr>
          <w:sz w:val="20"/>
          <w:szCs w:val="20"/>
          <w:color w:val="auto"/>
        </w:rPr>
      </w:pPr>
      <w:r>
        <w:rPr>
          <w:rFonts w:ascii="Times New Roman" w:cs="Times New Roman" w:eastAsia="Times New Roman" w:hAnsi="Times New Roman"/>
          <w:sz w:val="16"/>
          <w:szCs w:val="16"/>
          <w:color w:val="auto"/>
        </w:rPr>
        <w:t>stockholders, action of stockholders by written consent, nomination of directors, transfers of capital stock and dividends requires the affirmative vote of at least 66-2/3% of all directors in office at a meeting called for that purpose.</w:t>
      </w:r>
    </w:p>
    <w:p>
      <w:pPr>
        <w:spacing w:after="0" w:line="1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All other provisions of our Bylaws may generally be altered, amended, or repealed, and new bylaws may be adopted, with the affirmative vote of holders of 66-2/3% of the voting power of our outstanding shares of voting stock.</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Bylaws impose some procedural requirements on stockholders who wish to:</w:t>
      </w:r>
    </w:p>
    <w:p>
      <w:pPr>
        <w:spacing w:after="0" w:line="114" w:lineRule="exact"/>
        <w:rPr>
          <w:sz w:val="20"/>
          <w:szCs w:val="20"/>
          <w:color w:val="auto"/>
        </w:rPr>
      </w:pPr>
    </w:p>
    <w:p>
      <w:pPr>
        <w:ind w:left="1620" w:hanging="375"/>
        <w:spacing w:after="0"/>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that a director be removed;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repeal or change in our Bylaws;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or special meeting of stockholders.</w:t>
      </w:r>
    </w:p>
    <w:p>
      <w:pPr>
        <w:spacing w:after="0" w:line="19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2" w:lineRule="exact"/>
        <w:rPr>
          <w:sz w:val="20"/>
          <w:szCs w:val="20"/>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business or nomination to be brought before the meeting and the reasons for conducting such business at the meeting;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name and address;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in the proposal;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the stockholder and evidence of such ownership; and</w:t>
      </w:r>
    </w:p>
    <w:p>
      <w:pPr>
        <w:spacing w:after="0" w:line="113" w:lineRule="exact"/>
        <w:rPr>
          <w:rFonts w:ascii="Times New Roman" w:cs="Times New Roman" w:eastAsia="Times New Roman" w:hAnsi="Times New Roman"/>
          <w:sz w:val="16"/>
          <w:szCs w:val="16"/>
          <w:color w:val="auto"/>
        </w:rPr>
      </w:pPr>
    </w:p>
    <w:p>
      <w:pPr>
        <w:ind w:left="1620" w:right="700" w:hanging="375"/>
        <w:spacing w:after="0" w:line="278" w:lineRule="auto"/>
        <w:tabs>
          <w:tab w:leader="none" w:pos="16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be timely, a stockholder must generally deliver notice:</w:t>
      </w:r>
    </w:p>
    <w:p>
      <w:pPr>
        <w:spacing w:after="0" w:line="114" w:lineRule="exact"/>
        <w:rPr>
          <w:sz w:val="20"/>
          <w:szCs w:val="20"/>
          <w:color w:val="auto"/>
        </w:rPr>
      </w:pPr>
    </w:p>
    <w:p>
      <w:pPr>
        <w:ind w:left="1620" w:hanging="375"/>
        <w:spacing w:after="0" w:line="255" w:lineRule="auto"/>
        <w:tabs>
          <w:tab w:leader="none" w:pos="16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 later than the 120 days prior to such annual meeting and not later than (i) 90 days prior to the date of the annual meeting or, if later, (2) the 10th day following the day on which we first publicly announce the date of the annual meeting; or</w:t>
      </w:r>
    </w:p>
    <w:p>
      <w:pPr>
        <w:spacing w:after="0" w:line="8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election of a director at a special meeting of stockholders, during the period not less than 90 nor more than 120 days prior to the date of the special meeting, or the 10th day following the day on which a notice of the date of the special meeting was mailed to the stockholders or the public disclosure of that date was made.</w:t>
      </w:r>
    </w:p>
    <w:p>
      <w:pPr>
        <w:spacing w:after="0" w:line="157"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240</w:t>
      </w:r>
    </w:p>
    <w:p>
      <w:pPr>
        <w:sectPr>
          <w:pgSz w:w="11900" w:h="16838" w:orient="portrait"/>
          <w:cols w:equalWidth="0" w:num="1">
            <w:col w:w="10440"/>
          </w:cols>
          <w:pgMar w:left="320" w:top="419" w:right="11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Officers and Limitation of Liability of Directors and Officers</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Section 145 of the Delaware General Corporation Law provides that a corporation may indemnify directors and officers as well as other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Certificate of Incorporation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GRAIL has entered into indemnification agreements with each of its current directors, executive officers, and certain other officers to provide these directors and officers additional contractual assurances regarding the scope of the indemnification set forth in our Certificate of Incorporation and our Bylaws and to provide additional procedural protections. There is no pending litigation or proceeding involving a director or executive officer of GRAIL for which indemnification has been sought.</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Certificate of Incorporation also provides that no director or officer will be personally liable to us or our stockholders for monetary damages for breach of fiduciary duty as a director or officer, except as required by applicable law, as in effect from time to time. 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w:t>
      </w:r>
    </w:p>
    <w:p>
      <w:pPr>
        <w:spacing w:after="0" w:line="82" w:lineRule="exact"/>
        <w:rPr>
          <w:sz w:val="20"/>
          <w:szCs w:val="20"/>
          <w:color w:val="auto"/>
        </w:rPr>
      </w:pPr>
    </w:p>
    <w:p>
      <w:pPr>
        <w:ind w:left="1620" w:hanging="375"/>
        <w:spacing w:after="0"/>
        <w:tabs>
          <w:tab w:leader="none" w:pos="16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breach of the director’s or officer’s duty of loyalty to our company or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of officer for any act or omission not in good faith or which involved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for unlawful payments of dividends or unlawful stock repurchases or redemptions as provided in Section 174 of the Delaware General Corporation Law;</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transaction from which the director or officer derived an improper personal benefit;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 in any action by or in the right of our company.</w:t>
      </w:r>
    </w:p>
    <w:p>
      <w:pPr>
        <w:spacing w:after="0" w:line="19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Forum Selection</w:t>
      </w:r>
    </w:p>
    <w:p>
      <w:pPr>
        <w:spacing w:after="0" w:line="106"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w:t>
      </w:r>
    </w:p>
    <w:p>
      <w:pPr>
        <w:spacing w:after="0" w:line="1" w:lineRule="exact"/>
        <w:rPr>
          <w:sz w:val="20"/>
          <w:szCs w:val="20"/>
          <w:color w:val="auto"/>
        </w:rPr>
      </w:pPr>
    </w:p>
    <w:p>
      <w:pPr>
        <w:ind w:left="1000" w:hanging="231"/>
        <w:spacing w:after="0"/>
        <w:tabs>
          <w:tab w:leader="none" w:pos="100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director, officer, or other employee of our company to us or our stockholders;</w:t>
      </w:r>
    </w:p>
    <w:p>
      <w:pPr>
        <w:spacing w:after="0" w:line="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Delaware General Corporation Law or our Certificate of Incorporation and</w:t>
      </w:r>
    </w:p>
    <w:p>
      <w:pPr>
        <w:spacing w:after="0" w:line="6" w:lineRule="exact"/>
        <w:rPr>
          <w:rFonts w:ascii="Times New Roman" w:cs="Times New Roman" w:eastAsia="Times New Roman" w:hAnsi="Times New Roman"/>
          <w:sz w:val="16"/>
          <w:szCs w:val="16"/>
          <w:color w:val="auto"/>
        </w:rPr>
      </w:pPr>
    </w:p>
    <w:p>
      <w:pPr>
        <w:ind w:left="760" w:right="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bylaws; or (iv) any action asserting a claim governed by the internal affairs doctrine. This provision would not apply to claims brought to enforce a duty or liability created by the Securities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241</w:t>
      </w:r>
    </w:p>
    <w:p>
      <w:pPr>
        <w:sectPr>
          <w:pgSz w:w="11900" w:h="16838" w:orient="portrait"/>
          <w:cols w:equalWidth="0" w:num="1">
            <w:col w:w="10480"/>
          </w:cols>
          <w:pgMar w:left="320" w:top="419" w:right="10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w:t>
      </w:r>
    </w:p>
    <w:p>
      <w:pPr>
        <w:spacing w:after="0" w:line="165"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w:t>
      </w:r>
    </w:p>
    <w:p>
      <w:pPr>
        <w:spacing w:after="0" w:line="161"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the company or its directors, officers or other employees, which may discourage such lawsuits against the company and its directors, officers, and other employees and result in increased costs for investors to bring a claim.</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Delaware Business Combination Statute</w:t>
      </w:r>
    </w:p>
    <w:p>
      <w:pPr>
        <w:spacing w:after="0" w:line="10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3" w:lineRule="exact"/>
        <w:rPr>
          <w:sz w:val="20"/>
          <w:szCs w:val="20"/>
          <w:color w:val="auto"/>
        </w:rPr>
      </w:pPr>
    </w:p>
    <w:p>
      <w:pPr>
        <w:ind w:left="1620" w:right="240" w:hanging="375"/>
        <w:spacing w:after="0" w:line="278" w:lineRule="auto"/>
        <w:tabs>
          <w:tab w:leader="none" w:pos="16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corporation had previously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 in which that person became an interested stockholder, the business combination is approved by the Board of the corporation and holders of at least two-thirds of the outstanding voting stock not owned by the interested stockholder.</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242</w:t>
      </w:r>
    </w:p>
    <w:p>
      <w:pPr>
        <w:sectPr>
          <w:pgSz w:w="11900" w:h="16838" w:orient="portrait"/>
          <w:cols w:equalWidth="0" w:num="1">
            <w:col w:w="10460"/>
          </w:cols>
          <w:pgMar w:left="320" w:top="419" w:right="11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Some Provisions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Certain provisions of our Certificate of Incorporation and Bylaws could make the following more difficult:</w:t>
      </w:r>
    </w:p>
    <w:p>
      <w:pPr>
        <w:spacing w:after="0" w:line="114" w:lineRule="exact"/>
        <w:rPr>
          <w:sz w:val="20"/>
          <w:szCs w:val="20"/>
          <w:color w:val="auto"/>
        </w:rPr>
      </w:pPr>
    </w:p>
    <w:p>
      <w:pPr>
        <w:ind w:left="1620" w:hanging="375"/>
        <w:spacing w:after="0"/>
        <w:tabs>
          <w:tab w:leader="none" w:pos="16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tender offer, or otherwise;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0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For additional information, see “Certain Relationships and Related Party Transactions—Stockholder and Registration Rights Agreement” beginning on page 235 of this Information Statement.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transfer agent and registrar for our common stock will be Computershare.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list our common stock on the Nasdaq Global Select Market under the ticker symbol “GRAL.”</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243</w:t>
      </w:r>
    </w:p>
    <w:p>
      <w:pPr>
        <w:sectPr>
          <w:pgSz w:w="11900" w:h="16838" w:orient="portrait"/>
          <w:cols w:equalWidth="0" w:num="1">
            <w:col w:w="10480"/>
          </w:cols>
          <w:pgMar w:left="320" w:top="419" w:right="10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9"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w:t>
      </w:r>
    </w:p>
    <w:p>
      <w:pPr>
        <w:spacing w:after="0" w:line="16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w:t>
      </w:r>
    </w:p>
    <w:p>
      <w:pPr>
        <w:spacing w:after="0" w:line="159" w:lineRule="exact"/>
        <w:rPr>
          <w:sz w:val="20"/>
          <w:szCs w:val="20"/>
          <w:color w:val="auto"/>
        </w:rPr>
      </w:pPr>
    </w:p>
    <w:p>
      <w:pPr>
        <w:ind w:left="760" w:right="2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Information contained on, or connected to, any website we refer to in this Information Statement does not and will not constitute a part of this Information Statement or the Registration Statement of which this Information Statement is a part.</w:t>
      </w:r>
    </w:p>
    <w:p>
      <w:pPr>
        <w:spacing w:after="0" w:line="142"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244</w:t>
      </w:r>
    </w:p>
    <w:p>
      <w:pPr>
        <w:sectPr>
          <w:pgSz w:w="11900" w:h="16838" w:orient="portrait"/>
          <w:cols w:equalWidth="0" w:num="1">
            <w:col w:w="10480"/>
          </w:cols>
          <w:pgMar w:left="320" w:top="419" w:right="10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51"/>
        </w:trPr>
        <w:tc>
          <w:tcPr>
            <w:tcW w:w="932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20" w:type="dxa"/>
            <w:vAlign w:val="bottom"/>
            <w:gridSpan w:val="14"/>
            <w:vMerge w:val="continue"/>
          </w:tcPr>
          <w:p>
            <w:pPr>
              <w:spacing w:after="0"/>
              <w:rPr>
                <w:sz w:val="12"/>
                <w:szCs w:val="12"/>
                <w:color w:val="auto"/>
              </w:rPr>
            </w:pPr>
          </w:p>
        </w:tc>
        <w:tc>
          <w:tcPr>
            <w:tcW w:w="3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600" w:type="dxa"/>
            <w:vAlign w:val="bottom"/>
            <w:gridSpan w:val="6"/>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20"/>
        </w:trPr>
        <w:tc>
          <w:tcPr>
            <w:tcW w:w="1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Loss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70"/>
        </w:trPr>
        <w:tc>
          <w:tcPr>
            <w:tcW w:w="312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Member’s Equity</w:t>
            </w:r>
          </w:p>
        </w:tc>
        <w:tc>
          <w:tcPr>
            <w:tcW w:w="6200" w:type="dxa"/>
            <w:vAlign w:val="bottom"/>
            <w:gridSpan w:val="8"/>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Redeemable Convertible Preferred Stock and Stockholders’ Deficit</w:t>
            </w:r>
          </w:p>
        </w:tc>
        <w:tc>
          <w:tcPr>
            <w:tcW w:w="3260" w:type="dxa"/>
            <w:vAlign w:val="bottom"/>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w:t>
            </w:r>
          </w:p>
        </w:tc>
        <w:tc>
          <w:tcPr>
            <w:tcW w:w="6780" w:type="dxa"/>
            <w:vAlign w:val="bottom"/>
            <w:gridSpan w:val="11"/>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3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Financial Statements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Balance Sheets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F-39</w:t>
            </w:r>
          </w:p>
        </w:tc>
        <w:tc>
          <w:tcPr>
            <w:tcW w:w="0" w:type="dxa"/>
            <w:vAlign w:val="bottom"/>
          </w:tcPr>
          <w:p>
            <w:pPr>
              <w:spacing w:after="0"/>
              <w:rPr>
                <w:sz w:val="1"/>
                <w:szCs w:val="1"/>
                <w:color w:val="auto"/>
              </w:rPr>
            </w:pPr>
          </w:p>
        </w:tc>
      </w:tr>
      <w:tr>
        <w:trPr>
          <w:trHeight w:val="20"/>
        </w:trPr>
        <w:tc>
          <w:tcPr>
            <w:tcW w:w="3340" w:type="dxa"/>
            <w:vAlign w:val="bottom"/>
            <w:gridSpan w:val="7"/>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tcBorders>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Operations (Unaudited)</w:t>
            </w:r>
          </w:p>
        </w:tc>
        <w:tc>
          <w:tcPr>
            <w:tcW w:w="5280" w:type="dxa"/>
            <w:vAlign w:val="bottom"/>
            <w:gridSpan w:val="5"/>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F-40</w:t>
            </w:r>
          </w:p>
        </w:tc>
        <w:tc>
          <w:tcPr>
            <w:tcW w:w="0" w:type="dxa"/>
            <w:vAlign w:val="bottom"/>
          </w:tcPr>
          <w:p>
            <w:pPr>
              <w:spacing w:after="0"/>
              <w:rPr>
                <w:sz w:val="1"/>
                <w:szCs w:val="1"/>
                <w:color w:val="auto"/>
              </w:rPr>
            </w:pPr>
          </w:p>
        </w:tc>
      </w:tr>
      <w:tr>
        <w:trPr>
          <w:trHeight w:val="170"/>
        </w:trPr>
        <w:tc>
          <w:tcPr>
            <w:tcW w:w="4680" w:type="dxa"/>
            <w:vAlign w:val="bottom"/>
            <w:tcBorders>
              <w:bottom w:val="single" w:sz="8" w:color="0000EE"/>
            </w:tcBorders>
            <w:gridSpan w:val="12"/>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Comprehensive Loss (Unaudited)</w:t>
            </w:r>
          </w:p>
        </w:tc>
        <w:tc>
          <w:tcPr>
            <w:tcW w:w="4640" w:type="dxa"/>
            <w:vAlign w:val="bottom"/>
            <w:gridSpan w:val="2"/>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F-41</w:t>
            </w:r>
          </w:p>
        </w:tc>
        <w:tc>
          <w:tcPr>
            <w:tcW w:w="0" w:type="dxa"/>
            <w:vAlign w:val="bottom"/>
          </w:tcPr>
          <w:p>
            <w:pPr>
              <w:spacing w:after="0"/>
              <w:rPr>
                <w:sz w:val="1"/>
                <w:szCs w:val="1"/>
                <w:color w:val="auto"/>
              </w:rPr>
            </w:pPr>
          </w:p>
        </w:tc>
      </w:tr>
      <w:tr>
        <w:trPr>
          <w:trHeight w:val="170"/>
        </w:trPr>
        <w:tc>
          <w:tcPr>
            <w:tcW w:w="446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Member’s Equity (Unaudited)</w:t>
            </w:r>
          </w:p>
        </w:tc>
        <w:tc>
          <w:tcPr>
            <w:tcW w:w="4860" w:type="dxa"/>
            <w:vAlign w:val="bottom"/>
            <w:gridSpan w:val="3"/>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F-42</w:t>
            </w:r>
          </w:p>
        </w:tc>
        <w:tc>
          <w:tcPr>
            <w:tcW w:w="0" w:type="dxa"/>
            <w:vAlign w:val="bottom"/>
          </w:tcPr>
          <w:p>
            <w:pPr>
              <w:spacing w:after="0"/>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Cash Flows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F-43</w:t>
            </w:r>
          </w:p>
        </w:tc>
        <w:tc>
          <w:tcPr>
            <w:tcW w:w="0" w:type="dxa"/>
            <w:vAlign w:val="bottom"/>
          </w:tcPr>
          <w:p>
            <w:pPr>
              <w:spacing w:after="0"/>
              <w:rPr>
                <w:sz w:val="1"/>
                <w:szCs w:val="1"/>
                <w:color w:val="auto"/>
              </w:rPr>
            </w:pPr>
          </w:p>
        </w:tc>
      </w:tr>
      <w:tr>
        <w:trPr>
          <w:trHeight w:val="20"/>
        </w:trPr>
        <w:tc>
          <w:tcPr>
            <w:tcW w:w="3340" w:type="dxa"/>
            <w:vAlign w:val="bottom"/>
            <w:gridSpan w:val="7"/>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F-44</w:t>
            </w:r>
          </w:p>
        </w:tc>
        <w:tc>
          <w:tcPr>
            <w:tcW w:w="0" w:type="dxa"/>
            <w:vAlign w:val="bottom"/>
          </w:tcPr>
          <w:p>
            <w:pPr>
              <w:spacing w:after="0"/>
              <w:rPr>
                <w:sz w:val="1"/>
                <w:szCs w:val="1"/>
                <w:color w:val="auto"/>
              </w:rPr>
            </w:pPr>
          </w:p>
        </w:tc>
      </w:tr>
      <w:tr>
        <w:trPr>
          <w:trHeight w:val="33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the Board of Directors of Illumina, Inc.</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4"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GRAIL, LLC (Successor), which comprise the consolidated balance sheets as of December 31, 2023 and January 1, 2023, and the related consolidated statements of operations and comprehensive loss, member’s equity and cash flows for the period from August 19, 2021 to January 2, 2022 and for the years ended January 1, 2023 and December 31,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December 31, 2023 and January 1, 2023, and the results of operations and cash flows of the Successor for the period from August 19, 2021 to January 2, 2022 and for the years ended January 1, 2023 and December 31, 2023 and of the Predecessor for the period from January 1, 2021 to August 18, 2021 in conformity with U.S. generally accepted accounting principles.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4" w:lineRule="exact"/>
        <w:rPr>
          <w:sz w:val="20"/>
          <w:szCs w:val="20"/>
          <w:color w:val="auto"/>
        </w:rPr>
      </w:pPr>
    </w:p>
    <w:p>
      <w:pPr>
        <w:ind w:left="760" w:right="100"/>
        <w:spacing w:after="0" w:line="28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Predecessor and Successor are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Predecessor’s and Successor’s internal control over financial reporting. Accordingly, we express no such opinion.</w:t>
      </w:r>
    </w:p>
    <w:p>
      <w:pPr>
        <w:spacing w:after="0" w:line="165"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March 8, 2024</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19" w:right="10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BALANCE SHEETS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r>
      <w:tr>
        <w:trPr>
          <w:trHeight w:val="170"/>
        </w:trPr>
        <w:tc>
          <w:tcPr>
            <w:tcW w:w="7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97,287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16,862</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15,346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14,788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14,771</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4,984</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20,100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18,655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5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156,065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295,633</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81,355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91,501</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3,640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84,386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104,707</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4,532</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2,687,223</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2,935,556</w:t>
            </w: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888,936</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1,497,402</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7,984</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6,140</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18,845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15,189</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2,292</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73,711</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64,962</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54,513</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35,935</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14,809</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13,335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3,112</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163,610</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69,598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82,675</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32,921</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71,075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3,134</w:t>
            </w: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267,627</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11,421,446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894</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(7,776,325)</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4,646,161</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4,937,896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19" w:right="10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8"/>
                <w:szCs w:val="8"/>
                <w:color w:val="auto"/>
              </w:rPr>
            </w:pPr>
          </w:p>
        </w:tc>
        <w:tc>
          <w:tcPr>
            <w:tcW w:w="12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74,347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39,123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18,106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15,733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93,105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55,550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12,433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39,284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27,998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4,664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5,741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133,889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44,630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318,088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310,431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309,781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20,657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19,145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1,475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100,512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200,062</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173,494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478,071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718,466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4,700,431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(1,515,382)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(5,442,890)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(928,154)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6"/>
                <w:szCs w:val="16"/>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(1,507,636)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(5,441,388)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41,951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17,477</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loss attributable to Class A and Class B common stockholders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Weighted-average shares of Class A and Class B common</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 used in computing net loss per share attributable to</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Class A and Class B common stockholders (Predecessor):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149,574,238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480"/>
          </w:cols>
          <w:pgMar w:left="320" w:top="419" w:right="10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August 19, 2021 to</w:t>
            </w:r>
          </w:p>
        </w:tc>
        <w:tc>
          <w:tcPr>
            <w:tcW w:w="220" w:type="dxa"/>
            <w:vAlign w:val="bottom"/>
            <w:tcBorders>
              <w:right w:val="single" w:sz="8" w:color="auto"/>
            </w:tcBorders>
            <w:vMerge w:val="restart"/>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Borders>
              <w:right w:val="single" w:sz="8" w:color="auto"/>
            </w:tcBorders>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(1,465,685)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(911,542)</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unrealized loss on marketable securities, net of tax</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0"/>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income (loss) adjustment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(1,465,513)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(5,398,519)</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(911,227)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(337,035)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480"/>
          </w:cols>
          <w:pgMar w:left="320" w:top="419" w:right="10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MEMBER’S EQUITY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40" w:type="dxa"/>
            <w:vAlign w:val="bottom"/>
          </w:tcPr>
          <w:p>
            <w:pPr>
              <w:spacing w:after="0"/>
              <w:rPr>
                <w:sz w:val="11"/>
                <w:szCs w:val="11"/>
                <w:color w:val="auto"/>
              </w:rPr>
            </w:pPr>
          </w:p>
        </w:tc>
        <w:tc>
          <w:tcPr>
            <w:tcW w:w="8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August 19,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9,745,477</w:t>
            </w: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91"/>
              </w:rPr>
              <w:t>— </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$ 9,745,477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(911,542)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639,188</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639,188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(42,915)</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(42,915)</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2022</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10,341,750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1"/>
              </w:rPr>
              <w:t>315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4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9,430,523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6"/>
              </w:rPr>
              <w:t>(5,399,098)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(5,399,098)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9,884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9,884</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604,273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604,273</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10,955,907</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894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6"/>
              </w:rPr>
              <w:t>(6,310,640)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4,646,161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6"/>
              </w:rPr>
              <w:t>(1,465,685)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(1,465,685)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1,773</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463,766</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463,766</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11,421,446</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w w:val="94"/>
              </w:rPr>
              <w:t>1,066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(7,776,325</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$ 3,646,187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480"/>
          </w:cols>
          <w:pgMar w:left="320" w:top="419" w:right="10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 STOCKHOLDERS’ DEFICIT</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Series A</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Preferred Series B</w:t>
            </w:r>
          </w:p>
        </w:tc>
        <w:tc>
          <w:tcPr>
            <w:tcW w:w="1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Series C</w:t>
            </w:r>
          </w:p>
        </w:tc>
        <w:tc>
          <w:tcPr>
            <w:tcW w:w="124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Preferred Series D</w:t>
            </w:r>
          </w:p>
        </w:tc>
        <w:tc>
          <w:tcPr>
            <w:tcW w:w="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Compre-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b w:val="1"/>
                <w:bCs w:val="1"/>
                <w:color w:val="auto"/>
              </w:rPr>
              <w:t>Hensive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9"/>
        </w:trPr>
        <w:tc>
          <w:tcPr>
            <w:tcW w:w="94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121,672,294</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123</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$ 180,952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(1,617,787)</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Issuance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shares upon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6,775,603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Repurchases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early exercised</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exercised</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ind w:left="50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(336,233)</w:t>
            </w: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Continuation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payment</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received from</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Illumina—</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245,000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party</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Stock-based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31,647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comprehensive</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August 18,</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128,427,897</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129</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$ 464,444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2,800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(1,954,185)</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-29845</wp:posOffset>
            </wp:positionV>
            <wp:extent cx="1778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-14605</wp:posOffset>
            </wp:positionV>
            <wp:extent cx="1778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-2372360</wp:posOffset>
            </wp:positionV>
            <wp:extent cx="1778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17780" cy="7620"/>
                    </a:xfrm>
                    <a:prstGeom prst="rect">
                      <a:avLst/>
                    </a:prstGeom>
                    <a:noFill/>
                  </pic:spPr>
                </pic:pic>
              </a:graphicData>
            </a:graphic>
          </wp:anchor>
        </w:drawing>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19"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01"/>
        </w:trPr>
        <w:tc>
          <w:tcPr>
            <w:tcW w:w="6240" w:type="dxa"/>
            <w:vAlign w:val="bottom"/>
          </w:tcPr>
          <w:p>
            <w:pPr>
              <w:spacing w:after="0"/>
              <w:rPr>
                <w:sz w:val="8"/>
                <w:szCs w:val="8"/>
                <w:color w:val="auto"/>
              </w:rPr>
            </w:pPr>
          </w:p>
        </w:tc>
        <w:tc>
          <w:tcPr>
            <w:tcW w:w="8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6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6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(1,465,685)</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(5,399,098)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(911,542)</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(336,233)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intangibles assets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46,111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20,364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16,430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5,422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6,916</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97,235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75,729</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650,260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31,647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 for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(76,910)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(41,009)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(184,963)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(38,153)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(39,063)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premium on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Goodwill and intangible impairment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718,466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4,700,431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2,829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1,398</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281</w:t>
            </w: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(1,516)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(8,584)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(672)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receivable—related parties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(11,868)</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(1,569)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Supplies—related parties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(1,923)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Operating lease right-of-use assets and liabilities, net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6,712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4,924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19,859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(11,287)</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current assets—related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761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5,194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(61,267)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62,531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2,331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(1,947)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1,980</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2,372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13,956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(2,881)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13,335</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by operating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(595,800)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(561,313)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(485,870)</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(10,243)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(21,104)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(59,857)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(2,644)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(1,755)</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(159,411)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400,367</w:t>
            </w:r>
          </w:p>
        </w:tc>
        <w:tc>
          <w:tcPr>
            <w:tcW w:w="0" w:type="dxa"/>
            <w:vAlign w:val="bottom"/>
          </w:tcPr>
          <w:p>
            <w:pPr>
              <w:spacing w:after="0"/>
              <w:rPr>
                <w:sz w:val="1"/>
                <w:szCs w:val="1"/>
                <w:color w:val="auto"/>
              </w:rPr>
            </w:pPr>
          </w:p>
        </w:tc>
      </w:tr>
      <w:tr>
        <w:trPr>
          <w:trHeight w:val="135"/>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173,782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cash provided by (used by) investing activities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(12,887)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(22,859)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(7,976)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352,788</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5,978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Repurchase of early exercised stock options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early exercise of unvested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continuation payment received from Illumina—related party</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245,000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funding received from Illumina</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464,000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609,000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774,000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payments for acquisition consideration on behalf of Illumina</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(625,749)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(4,183)</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463,766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604,817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143,931</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250,811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20,134</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(350,050)</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401,275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246,128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225,994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576,044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174,769</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cash—end of year</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Represented by:</w:t>
            </w: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97,287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241,596</w:t>
            </w:r>
          </w:p>
        </w:tc>
        <w:tc>
          <w:tcPr>
            <w:tcW w:w="1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221,155</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571,205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4,225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4,532</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2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Supplemental cashflow information:</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878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Property and equipment included in accounts payable and accrued liabilities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(1,326)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(1,940)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(4,768)</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Operating cashflows from operating leases, net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(18,733)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(17,536)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(6,379)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(6,626)</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480"/>
          </w:cols>
          <w:pgMar w:left="320" w:top="419" w:right="10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w:t>
      </w:r>
    </w:p>
    <w:p>
      <w:pPr>
        <w:spacing w:after="0" w:line="168"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as of December 31, 2023 and January 1, 2023, and for the years ended December 31, 2023 and January 1, 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“11. Legal and Regulatory Proceedings” for additional details.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460"/>
          </w:cols>
          <w:pgMar w:left="320" w:top="419" w:right="11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99"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$97.3 million of cash and cash equivalents as of December 31, 2023.</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References to 2023 and 2022 refer to the fiscal years ended December 31, 2023, and January 1, 2023, respectively, which were both 52 weeks. References to 2021 refer either to the Predecessor period from January 1, 2021 to August 18, 2021, or the Successor period from August 19, 2021 to January 2, 2022.</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“8. Related Party Transactions.”</w:t>
      </w:r>
    </w:p>
    <w:p>
      <w:pPr>
        <w:spacing w:after="0" w:line="165" w:lineRule="exact"/>
        <w:rPr>
          <w:sz w:val="20"/>
          <w:szCs w:val="20"/>
          <w:color w:val="auto"/>
        </w:rPr>
      </w:pPr>
    </w:p>
    <w:p>
      <w:pPr>
        <w:jc w:val="both"/>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04"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market-specific or other relevant assumptions that it believes to be reasonable under the circumstances. On an ongoing</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480"/>
          </w:cols>
          <w:pgMar w:left="320" w:top="419" w:right="10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4" w:lineRule="exact"/>
        <w:rPr>
          <w:sz w:val="20"/>
          <w:szCs w:val="20"/>
          <w:color w:val="auto"/>
        </w:rPr>
      </w:pPr>
    </w:p>
    <w:p>
      <w:pPr>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w:t>
      </w:r>
    </w:p>
    <w:p>
      <w:pPr>
        <w:spacing w:after="0" w:line="157"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Company had approximately $97.3 million of cash deposits and cash equivalents deposited in accounts with three accredited financial institutions, the majority of which were invested in money market securities that serve as sweep accounts. Such deposits have and will continue to exceed federally insured limits. The Company has not experienced any losses on its cash deposits.</w:t>
      </w:r>
    </w:p>
    <w:p>
      <w:pPr>
        <w:spacing w:after="0" w:line="157"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The Company’s investment policy limits investments to certain types of securities issued by the U.S. government and its agencies and institutions with investment-grade credit ratings and places restrictions on maturities and concentration by type and issuer. As of December 31, 2023, the Company had no off-balance sheet concentrations of credit risk.</w:t>
      </w:r>
    </w:p>
    <w:p>
      <w:pPr>
        <w:spacing w:after="0" w:line="157"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had sales to a single customer that accounted for approximately 14%, 21% and 38% of total sales, for the years ended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December 31, 2023 and January 1, 2023, and period from August 19, 2021 to January 2, 2022, respectively. No single customer accounted for more than</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10% of net sales for the period from January 1 to August 18, 2021.</w:t>
      </w:r>
    </w:p>
    <w:p>
      <w:pPr>
        <w:spacing w:after="0" w:line="180"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Amounts due from this same single customer represented approximately 43% and 45% of total accounts receivable as of December 31, 2023 and January 1, 2023, respectively.</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Risks and Uncertainties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480"/>
          </w:cols>
          <w:pgMar w:left="320" w:top="419" w:right="10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w:t>
      </w: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Cash and cash equivalents consist of cash on deposit with banks denominated in U.S. Dollars and British Pounds. To be considered cash equivalents, all investments purchased must be highly liquid and have an original maturity date of three months or less. As of December 31, 2023, and January 1, 2023, the Company’s cash equivalents were held in money market funds, totaling $92.6 million and $236.0 million, respectively. Cash equivalents held in money market funds were categorized as Level 1 investments within the fair value hierarchy.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104"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related to letters of credit for the Company’s operating lease agreements.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Accounts Receivable, Net</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Accounts receivable represent unconditional rights to consideration from customers. Accounts receivable are evaluated regularly for collectability and potential credit losses. Allowance for credit losses is estimated based on management’s assessment of historical collection trends and the financial conditions of customers, among other factors. As of December 31, 2023, and January 1, 2023, the Company had $3.1 million and $1.3 million of allowance for credit losses, respectively.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Supplies</w:t>
      </w:r>
    </w:p>
    <w:p>
      <w:pPr>
        <w:spacing w:after="0" w:line="104"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fair value of financial assets and liabilities is determined using the fair value hierarchy established in Accounting Standards Codification (“ASC”) Topic 820, Fair Value Measurement (“ASC 820”). ASC 820 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and liabilities.</w:t>
      </w:r>
    </w:p>
    <w:p>
      <w:pPr>
        <w:spacing w:after="0" w:line="197" w:lineRule="exact"/>
        <w:rPr>
          <w:sz w:val="20"/>
          <w:szCs w:val="20"/>
          <w:color w:val="auto"/>
        </w:rPr>
      </w:pPr>
    </w:p>
    <w:p>
      <w:pPr>
        <w:ind w:left="760" w:right="500" w:firstLine="388"/>
        <w:spacing w:after="0" w:line="263" w:lineRule="auto"/>
        <w:rPr>
          <w:sz w:val="20"/>
          <w:szCs w:val="20"/>
          <w:color w:val="auto"/>
        </w:rPr>
      </w:pPr>
      <w:r>
        <w:rPr>
          <w:rFonts w:ascii="Times New Roman" w:cs="Times New Roman" w:eastAsia="Times New Roman" w:hAnsi="Times New Roman"/>
          <w:sz w:val="16"/>
          <w:szCs w:val="16"/>
          <w:color w:val="auto"/>
        </w:rPr>
        <w:t>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20"/>
          </w:cols>
          <w:pgMar w:left="320" w:top="419" w:right="11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760" w:right="680" w:firstLine="388"/>
        <w:spacing w:after="0" w:line="27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estimated useful lives of the major classes of property and equipment are generally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Useful Life</w:t>
            </w:r>
          </w:p>
        </w:tc>
      </w:tr>
      <w:tr>
        <w:trPr>
          <w:trHeight w:val="153"/>
        </w:trPr>
        <w:tc>
          <w:tcPr>
            <w:tcW w:w="55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r>
      <w:tr>
        <w:trPr>
          <w:trHeight w:val="182"/>
        </w:trPr>
        <w:tc>
          <w:tcPr>
            <w:tcW w:w="5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Laboratory equipment</w:t>
            </w:r>
          </w:p>
        </w:tc>
        <w:tc>
          <w:tcPr>
            <w:tcW w:w="10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3 to 5</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Lease Term</w:t>
            </w: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 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7.6 years and 7.8 years as of December 31, 2023, and January 1, 2023, respectively. The Company’s weighted average discount rate for operating leases is 2.4% and 2.1% as of December 31, 2023, and January 1, 2023,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440"/>
          </w:cols>
          <w:pgMar w:left="320" w:top="419" w:right="11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Company does not recognize ROU assets and lease liabilities for short-term leases, which have a lease term of twelve months or less and do not include an option to purchase the underlying asset that the Company is reasonably certain to exercise.</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Assets</w:t>
      </w:r>
    </w:p>
    <w:p>
      <w:pPr>
        <w:spacing w:after="0" w:line="104"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6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Company’s IPR&amp;D includes assets related to GRAIL’s development of a minimal residual disease (“MRD”) test, a post-diagnostic test, that is currently under development. IPR&amp;D is considered indefinite-lived and therefore is not amortized until completed and placed into service, at which point it will begin to be amortized over its estimated useful life or expensed upon abandonment of the associated research and development efforts.</w:t>
      </w:r>
    </w:p>
    <w:p>
      <w:pPr>
        <w:spacing w:after="0" w:line="15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19" w:right="10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 The Company’s revenues were primarily generated in the United States.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Screening Revenue</w:t>
      </w:r>
    </w:p>
    <w:p>
      <w:pPr>
        <w:spacing w:after="0" w:line="102"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Development Services Revenue</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40"/>
          </w:cols>
          <w:pgMar w:left="320" w:top="419" w:right="11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4" w:lineRule="auto"/>
        <w:rPr>
          <w:sz w:val="20"/>
          <w:szCs w:val="20"/>
          <w:color w:val="auto"/>
        </w:rPr>
      </w:pPr>
      <w:r>
        <w:rPr>
          <w:rFonts w:ascii="Times New Roman" w:cs="Times New Roman" w:eastAsia="Times New Roman" w:hAnsi="Times New Roman"/>
          <w:sz w:val="16"/>
          <w:szCs w:val="16"/>
          <w:color w:val="auto"/>
        </w:rPr>
        <w:t>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102"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$0.8 million and $0.6 million as of December 31, 2023 and January 1, 2023,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480"/>
          </w:cols>
          <w:pgMar w:left="320" w:top="419" w:right="10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380"/>
        <w:spacing w:after="0" w:line="263" w:lineRule="auto"/>
        <w:rPr>
          <w:sz w:val="20"/>
          <w:szCs w:val="20"/>
          <w:color w:val="auto"/>
        </w:rPr>
      </w:pPr>
      <w:r>
        <w:rPr>
          <w:rFonts w:ascii="Times New Roman" w:cs="Times New Roman" w:eastAsia="Times New Roman" w:hAnsi="Times New Roman"/>
          <w:sz w:val="16"/>
          <w:szCs w:val="16"/>
          <w:color w:val="auto"/>
        </w:rPr>
        <w:t>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Accrued Clinical Studies and Research and Development Expenses</w:t>
      </w:r>
    </w:p>
    <w:p>
      <w:pPr>
        <w:spacing w:after="0" w:line="104"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“8. Related Party Transactions.” Nonrefundable advance payments for goods and services that will be used or rendered in future research and development activities are deferred and recognized as expense in the period in which the related goods are delivered, or services are performed.</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Advertising Costs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Advertising costs are expensed as incurred. Advertising costs were $21.9 million and $24.5 million for the years ended December 31, 2023, and January 1, 2023, respectively, and $3.0 million and $4.6 million for the period from August 19, 2021 to January 2, 2022, and the period from January 1, 2021 to August 18, 2021, respectively.</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p>
      <w:pPr>
        <w:spacing w:after="0" w:line="104"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Employee stock-based compensation expense includes expenses related to Cash-Based Equity Awards, restricted stock units, and performance stock options.</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Cash-Based Equity Awards are classified as liability awards, as such awards may be settled in cash. For purposes of valuation and performance measurement of the awards, GRAIL’s stand-alone value calculation is estimated by the Company based on its analysis and on input from independent valuation advisors.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w:t>
      </w:r>
    </w:p>
    <w:p>
      <w:pPr>
        <w:spacing w:after="0" w:line="165"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Illumina issued equity awards to GRAIL employees in exchange for any of their remaining outstanding and unvested GRAIL equity awards (the “Replacement Awards”). The awards</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440"/>
          </w:cols>
          <w:pgMar w:left="320" w:top="419" w:right="11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consist of restricted stock units and performance stock options that are issued as shares of Illumina common stock at vesting.</w:t>
      </w:r>
    </w:p>
    <w:p>
      <w:pPr>
        <w:spacing w:after="0" w:line="197"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restricted stock is determined by the closing market price of Illumina’s common stock on the date of grant. Stock-based compensation expense is recognized based on the fair value on a straight-line basis over the requisite service periods of the awards.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Forfeitures are accounted for, as incurred, as a reversal of stock-based compensation expense related to awards that will not vest.</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Upon closing of the merger, as a single 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60"/>
          </w:cols>
          <w:pgMar w:left="320" w:top="419" w:right="11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104" w:lineRule="exact"/>
        <w:rPr>
          <w:sz w:val="20"/>
          <w:szCs w:val="20"/>
          <w:color w:val="auto"/>
        </w:rPr>
      </w:pPr>
    </w:p>
    <w:p>
      <w:pPr>
        <w:ind w:left="760" w:right="80" w:firstLine="388"/>
        <w:spacing w:after="0" w:line="273" w:lineRule="auto"/>
        <w:rPr>
          <w:sz w:val="20"/>
          <w:szCs w:val="20"/>
          <w:color w:val="auto"/>
        </w:rPr>
      </w:pPr>
      <w:r>
        <w:rPr>
          <w:rFonts w:ascii="Times New Roman" w:cs="Times New Roman" w:eastAsia="Times New Roman" w:hAnsi="Times New Roman"/>
          <w:sz w:val="15"/>
          <w:szCs w:val="15"/>
          <w:color w:val="auto"/>
        </w:rPr>
        <w:t>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GRAIL ACQUISITION, GOODWILL AND INTANGIBLE ASSETS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GRAIL Acquisition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August 18, 2021, Illumina completed its acquisition of GRAIL, Inc. The total purchase price consisted of the following:</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2,861,837</w:t>
            </w:r>
          </w:p>
        </w:tc>
        <w:tc>
          <w:tcPr>
            <w:tcW w:w="60" w:type="dxa"/>
            <w:vAlign w:val="bottom"/>
            <w:shd w:val="clear" w:color="auto" w:fill="CCEEFF"/>
          </w:tcPr>
          <w:p>
            <w:pPr>
              <w:spacing w:after="0"/>
              <w:rPr>
                <w:sz w:val="16"/>
                <w:szCs w:val="16"/>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 stock issued</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4,975,416</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757,140</w:t>
            </w: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previously held investment</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1,149,374</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94"/>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28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9,745,477</w:t>
            </w:r>
          </w:p>
        </w:tc>
        <w:tc>
          <w:tcPr>
            <w:tcW w:w="60" w:type="dxa"/>
            <w:vAlign w:val="bottom"/>
          </w:tcPr>
          <w:p>
            <w:pPr>
              <w:spacing w:after="0"/>
              <w:rPr>
                <w:sz w:val="16"/>
                <w:szCs w:val="16"/>
                <w:color w:val="auto"/>
              </w:rPr>
            </w:pPr>
          </w:p>
        </w:tc>
      </w:tr>
      <w:tr>
        <w:trPr>
          <w:trHeight w:val="20"/>
        </w:trPr>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2860" w:type="dxa"/>
            <w:vAlign w:val="bottom"/>
          </w:tcPr>
          <w:p>
            <w:pPr>
              <w:spacing w:after="0"/>
              <w:rPr>
                <w:sz w:val="24"/>
                <w:szCs w:val="24"/>
                <w:color w:val="auto"/>
              </w:rPr>
            </w:pPr>
          </w:p>
        </w:tc>
        <w:tc>
          <w:tcPr>
            <w:tcW w:w="3000" w:type="dxa"/>
            <w:vAlign w:val="bottom"/>
            <w:gridSpan w:val="2"/>
          </w:tcPr>
          <w:p>
            <w:pPr>
              <w:jc w:val="right"/>
              <w:ind w:right="2321"/>
              <w:spacing w:after="0"/>
              <w:rPr>
                <w:sz w:val="20"/>
                <w:szCs w:val="20"/>
                <w:color w:val="auto"/>
              </w:rPr>
            </w:pPr>
            <w:r>
              <w:rPr>
                <w:rFonts w:ascii="Times New Roman" w:cs="Times New Roman" w:eastAsia="Times New Roman" w:hAnsi="Times New Roman"/>
                <w:sz w:val="16"/>
                <w:szCs w:val="16"/>
                <w:color w:val="auto"/>
              </w:rPr>
              <w:t>F-19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40"/>
          </w:cols>
          <w:pgMar w:left="320" w:top="419" w:right="11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Acquisition accelerated the vesting of certain outstanding and unvested equity awards of GRAIL. Refer to note “7. Stock Incentive Awards” for further details on the accelerated vesting of the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fair values of GRAIL, Inc.’s assets acquired and liabilities assumed were:</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571,205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89,486</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121,104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Goodwill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6,197,833</w:t>
            </w:r>
          </w:p>
        </w:tc>
        <w:tc>
          <w:tcPr>
            <w:tcW w:w="10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3,120,000</w:t>
            </w:r>
          </w:p>
        </w:tc>
        <w:tc>
          <w:tcPr>
            <w:tcW w:w="10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20,172</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 net (1)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(127,614)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(97,333)</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(149,376)</w:t>
            </w:r>
          </w:p>
        </w:tc>
      </w:tr>
      <w:tr>
        <w:trPr>
          <w:trHeight w:val="194"/>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9,745,477</w:t>
            </w: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right="80" w:hanging="371"/>
        <w:spacing w:after="0" w:line="263" w:lineRule="auto"/>
        <w:tabs>
          <w:tab w:leader="none" w:pos="11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w:t>
      </w:r>
    </w:p>
    <w:p>
      <w:pPr>
        <w:spacing w:after="0" w:line="157"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transaction costs associated with the Acquisition consisted primarily of legal, regulatory, and financial advisory fees of approximately $82.3 million, which were expensed as incurred as general and administrative expense in 2021.</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following unaudited pro forma financial information summarizes the combined results of operations of GRAIL as if the Acquisition had been completed on January 1, 2021.</w:t>
      </w:r>
    </w:p>
    <w:p>
      <w:pPr>
        <w:spacing w:after="0" w:line="145"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(1)</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64770</wp:posOffset>
            </wp:positionV>
            <wp:extent cx="68008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13" w:lineRule="exact"/>
        <w:rPr>
          <w:sz w:val="20"/>
          <w:szCs w:val="20"/>
          <w:color w:val="auto"/>
        </w:rPr>
      </w:pPr>
    </w:p>
    <w:p>
      <w:pPr>
        <w:ind w:left="1140" w:hanging="371"/>
        <w:spacing w:after="0"/>
        <w:tabs>
          <w:tab w:leader="none" w:pos="11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revenue—related parties.</w:t>
      </w:r>
    </w:p>
    <w:p>
      <w:pPr>
        <w:spacing w:after="0" w:line="197"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 results of operations of the Company. The unaudited pro forma financial information includes adjustments to reflect incremental amortization expense of the identifiable intangible assets acquired and the related tax effect.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Goodwill Impairment</w:t>
      </w:r>
    </w:p>
    <w:p>
      <w:pPr>
        <w:spacing w:after="0" w:line="104"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purchase price paid over fair value of the net identifiable assets acquired and is primarily attributable to assembled workforce, expanded market opportunities, and expected synergies to be achieved. Goodwill is not deductible for tax purposes.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2023 Goodwill Impairment</w:t>
      </w:r>
    </w:p>
    <w:p>
      <w:pPr>
        <w:spacing w:after="0" w:line="102"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In Q3 2023, we concluded the sustained decrease in Illumina’s stock price and overall market capitalization during the quarter was a triggering event indicating the fair value of GRAIL might be less than its carrying</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20"/>
          </w:cols>
          <w:pgMar w:left="320" w:top="419" w:right="11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amount that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24.0%.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6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$608.5 million as a result of the impairment assessment, primarily due to changes to expected timing of revenue and a higher discount rate selected for the fair value calculation of GRAIL.</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2022 Goodwill Impairment</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58"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$4.7 billion as a result of the impairment assessment, primarily due to the negative impact of capital market conditions and a higher discount rate selected for the fair value calculation of GRAIL.</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460"/>
          </w:cols>
          <w:pgMar w:left="320" w:top="419" w:right="11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 and impairment:</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In-process</w:t>
            </w:r>
          </w:p>
        </w:tc>
        <w:tc>
          <w:tcPr>
            <w:tcW w:w="2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Research and</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20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Technologies</w:t>
            </w:r>
          </w:p>
        </w:tc>
        <w:tc>
          <w:tcPr>
            <w:tcW w:w="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(IPR&amp;D)</w:t>
            </w:r>
          </w:p>
        </w:tc>
        <w:tc>
          <w:tcPr>
            <w:tcW w:w="20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Beginning balance as of August 19, 2021</w:t>
            </w:r>
          </w:p>
        </w:tc>
        <w:tc>
          <w:tcPr>
            <w:tcW w:w="2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Gross carrying amount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$2,410,000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670,000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$3,120,000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(44,630)</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2, 2022</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2,365,370</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3,073,889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1, 2023</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2,231,481</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2,935,556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Ending balance - Intangible assets, net as of December 31,</w:t>
            </w:r>
          </w:p>
        </w:tc>
        <w:tc>
          <w:tcPr>
            <w:tcW w:w="2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2,097,592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29,631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560,000</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2,687,223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 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conjunction with the 2023 goodwill impairment assessment, the IPR&amp;D intangible asset was evaluated for potential impairment.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19.0%.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the IPR&amp;D intangible asset.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In the 2022 impairment assessment, the carrying value of the IPR&amp;D intangible asset did not exceed its estimated fair value. As a result, no impairment for the IPR&amp;D intangible asset was recorded. As of December 31, 2023 the research and development project had not been completed or abandoned. The IPR&amp;D intangible asset is not currently subject to amortization.</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480"/>
          </w:cols>
          <w:pgMar w:left="320" w:top="419" w:right="10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 recoverability test for the definite-lived intangible assets, which includes developed technology and trade name, was also performed. Based on the assessment performed, no impairment was noted for the definite-lived intangibles.</w:t>
      </w:r>
    </w:p>
    <w:p>
      <w:pPr>
        <w:spacing w:after="0" w:line="145" w:lineRule="exact"/>
        <w:rPr>
          <w:sz w:val="20"/>
          <w:szCs w:val="20"/>
          <w:color w:val="auto"/>
        </w:rPr>
      </w:pPr>
    </w:p>
    <w:p>
      <w:pPr>
        <w:ind w:left="760" w:right="340" w:firstLine="388"/>
        <w:spacing w:after="0" w:line="313" w:lineRule="auto"/>
        <w:rPr>
          <w:sz w:val="20"/>
          <w:szCs w:val="20"/>
          <w:color w:val="auto"/>
        </w:rPr>
      </w:pPr>
      <w:r>
        <w:rPr>
          <w:rFonts w:ascii="Times New Roman" w:cs="Times New Roman" w:eastAsia="Times New Roman" w:hAnsi="Times New Roman"/>
          <w:sz w:val="15"/>
          <w:szCs w:val="15"/>
          <w:color w:val="auto"/>
        </w:rPr>
        <w:t>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w:t>
      </w:r>
    </w:p>
    <w:p>
      <w:pPr>
        <w:spacing w:after="0" w:line="121"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31"/>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500" w:type="dxa"/>
            <w:vAlign w:val="bottom"/>
          </w:tcPr>
          <w:p>
            <w:pPr>
              <w:spacing w:after="0"/>
              <w:rPr>
                <w:sz w:val="11"/>
                <w:szCs w:val="11"/>
                <w:color w:val="auto"/>
              </w:rPr>
            </w:pPr>
          </w:p>
        </w:tc>
        <w:tc>
          <w:tcPr>
            <w:tcW w:w="8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53"/>
        </w:trPr>
        <w:tc>
          <w:tcPr>
            <w:tcW w:w="324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5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138,333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1,435,558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$ 2,127,223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2120" w:type="dxa"/>
            <w:vAlign w:val="bottom"/>
            <w:gridSpan w:val="3"/>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1,179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4,734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5,975</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814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6,579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5,411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1,383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20,100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$ 18,655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24"/>
                <w:szCs w:val="24"/>
                <w:color w:val="auto"/>
              </w:rPr>
            </w:pPr>
          </w:p>
        </w:tc>
        <w:tc>
          <w:tcPr>
            <w:tcW w:w="138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7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41,768</w:t>
            </w:r>
          </w:p>
        </w:tc>
        <w:tc>
          <w:tcPr>
            <w:tcW w:w="56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36,740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4,767</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2,524</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58,411</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55,384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7,560</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10,219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9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115,354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109,848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(33,999)</w:t>
            </w:r>
          </w:p>
        </w:tc>
        <w:tc>
          <w:tcPr>
            <w:tcW w:w="56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19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81,355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91,501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F-23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19" w:right="12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12"/>
                <w:szCs w:val="12"/>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vMerge w:val="continue"/>
          </w:tcPr>
          <w:p>
            <w:pPr>
              <w:spacing w:after="0"/>
              <w:rPr>
                <w:sz w:val="13"/>
                <w:szCs w:val="13"/>
                <w:color w:val="auto"/>
              </w:rPr>
            </w:pPr>
          </w:p>
        </w:tc>
        <w:tc>
          <w:tcPr>
            <w:tcW w:w="1800" w:type="dxa"/>
            <w:vAlign w:val="bottom"/>
            <w:gridSpan w:val="6"/>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24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0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(1,546)</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320" w:type="dxa"/>
            <w:vAlign w:val="bottom"/>
            <w:gridSpan w:val="5"/>
          </w:tcPr>
          <w:p>
            <w:pPr>
              <w:ind w:left="12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41,484</w:t>
            </w: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$ 38,169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7,770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6,897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6,647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6,204</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1,882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9,031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8,623</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1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73,711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$ 64,962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liabilities—related parties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4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to Illumina</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liabilities—related parties</w:t>
            </w:r>
          </w:p>
        </w:tc>
        <w:tc>
          <w:tcPr>
            <w:tcW w:w="1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LEASES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Company has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ind w:left="6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4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gridSpan w:val="3"/>
          </w:tcPr>
          <w:p>
            <w:pPr>
              <w:jc w:val="center"/>
              <w:ind w:left="709"/>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62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22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280" w:type="dxa"/>
            <w:vAlign w:val="bottom"/>
            <w:tcBorders>
              <w:right w:val="single" w:sz="8" w:color="auto"/>
            </w:tcBorders>
          </w:tcPr>
          <w:p>
            <w:pPr>
              <w:spacing w:after="0"/>
              <w:rPr>
                <w:sz w:val="13"/>
                <w:szCs w:val="13"/>
                <w:color w:val="auto"/>
              </w:rPr>
            </w:pPr>
          </w:p>
        </w:tc>
        <w:tc>
          <w:tcPr>
            <w:tcW w:w="1600" w:type="dxa"/>
            <w:vAlign w:val="bottom"/>
            <w:gridSpan w:val="4"/>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Operating lease costs</w:t>
            </w:r>
          </w:p>
        </w:tc>
        <w:tc>
          <w:tcPr>
            <w:tcW w:w="8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24,357</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23,055</w:t>
            </w: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7,747</w:t>
            </w:r>
          </w:p>
        </w:tc>
        <w:tc>
          <w:tcPr>
            <w:tcW w:w="280" w:type="dxa"/>
            <w:vAlign w:val="bottom"/>
            <w:tcBorders>
              <w:top w:val="single" w:sz="8" w:color="CCEEFF"/>
              <w:right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7,287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80" w:type="dxa"/>
            <w:vAlign w:val="bottom"/>
            <w:tcBorders>
              <w:right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lease costs</w:t>
            </w:r>
          </w:p>
        </w:tc>
        <w:tc>
          <w:tcPr>
            <w:tcW w:w="9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28,033</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26,134</w:t>
            </w:r>
          </w:p>
        </w:tc>
        <w:tc>
          <w:tcPr>
            <w:tcW w:w="6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9,075</w:t>
            </w:r>
          </w:p>
        </w:tc>
        <w:tc>
          <w:tcPr>
            <w:tcW w:w="28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F-24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9" w:right="11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Future undiscounted lease payments under operating leases as of December 31, 2023 were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2"/>
                <w:szCs w:val="12"/>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0" w:type="dxa"/>
            <w:vAlign w:val="bottom"/>
          </w:tcPr>
          <w:p>
            <w:pPr>
              <w:spacing w:after="0"/>
              <w:rPr>
                <w:sz w:val="1"/>
                <w:szCs w:val="1"/>
                <w:color w:val="auto"/>
              </w:rPr>
            </w:pPr>
          </w:p>
        </w:tc>
      </w:tr>
      <w:tr>
        <w:trPr>
          <w:trHeight w:val="153"/>
        </w:trPr>
        <w:tc>
          <w:tcPr>
            <w:tcW w:w="5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17,920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14,043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105,228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(10,708)</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84,407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Tenant improvement allowance is estimated to be received as follows: approximately $1.0 million in 2024 and $9.7 million thereafter.</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future non-lease commitments over the next five years and thereafter were as follows:</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400" w:type="dxa"/>
            <w:vAlign w:val="bottom"/>
          </w:tcPr>
          <w:p>
            <w:pPr>
              <w:spacing w:after="0"/>
              <w:rPr>
                <w:sz w:val="8"/>
                <w:szCs w:val="8"/>
                <w:color w:val="auto"/>
              </w:rPr>
            </w:pPr>
          </w:p>
        </w:tc>
        <w:tc>
          <w:tcPr>
            <w:tcW w:w="1320" w:type="dxa"/>
            <w:vAlign w:val="bottom"/>
            <w:gridSpan w:val="3"/>
          </w:tcPr>
          <w:p>
            <w:pPr>
              <w:jc w:val="right"/>
              <w:ind w:right="5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Royalties</w:t>
            </w:r>
          </w:p>
        </w:tc>
        <w:tc>
          <w:tcPr>
            <w:tcW w:w="400" w:type="dxa"/>
            <w:vAlign w:val="bottom"/>
          </w:tcPr>
          <w:p>
            <w:pPr>
              <w:spacing w:after="0"/>
              <w:rPr>
                <w:sz w:val="13"/>
                <w:szCs w:val="13"/>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6"/>
              </w:rPr>
              <w:t>Commitments</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CCEEFF"/>
            </w:tcBorders>
            <w:shd w:val="clear" w:color="auto" w:fill="CCEEFF"/>
          </w:tcPr>
          <w:p>
            <w:pPr>
              <w:jc w:val="center"/>
              <w:ind w:right="2921"/>
              <w:spacing w:after="0" w:line="182" w:lineRule="exact"/>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19,302</w:t>
            </w:r>
          </w:p>
        </w:tc>
        <w:tc>
          <w:tcPr>
            <w:tcW w:w="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$20,327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21,804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17,375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2027</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16,339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jc w:val="center"/>
              <w:ind w:right="2881"/>
              <w:spacing w:after="0"/>
              <w:rPr>
                <w:sz w:val="20"/>
                <w:szCs w:val="20"/>
                <w:color w:val="auto"/>
              </w:rPr>
            </w:pPr>
            <w:r>
              <w:rPr>
                <w:rFonts w:ascii="Times New Roman" w:cs="Times New Roman" w:eastAsia="Times New Roman" w:hAnsi="Times New Roman"/>
                <w:sz w:val="16"/>
                <w:szCs w:val="16"/>
                <w:color w:val="auto"/>
                <w:w w:val="95"/>
              </w:rPr>
              <w:t>Thereafter</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7,825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74,820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82,645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Minimum Royalty Commitments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w:t>
      </w:r>
    </w:p>
    <w:p>
      <w:pPr>
        <w:spacing w:after="0" w:line="197"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04" w:lineRule="exact"/>
        <w:rPr>
          <w:sz w:val="20"/>
          <w:szCs w:val="20"/>
          <w:color w:val="auto"/>
        </w:rPr>
      </w:pPr>
    </w:p>
    <w:p>
      <w:pPr>
        <w:jc w:val="both"/>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purchase commitments primarily relate to contractual commitments for future use of web services, laboratory supplies and marketing events in the normal course of business.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199"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The Company entered into an agreement with a third party for exclusive option rights to certain intellectual property. The Company exercised those option rights to license intellectual property in December 2022. Under</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340"/>
          </w:cols>
          <w:pgMar w:left="320" w:top="419" w:right="1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6"/>
          <w:szCs w:val="16"/>
          <w:color w:val="auto"/>
        </w:rPr>
        <w:t>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December 31, 2023.</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w:t>
      </w:r>
    </w:p>
    <w:p>
      <w:pPr>
        <w:spacing w:after="0" w:line="13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consolidated statements of operations was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4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8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right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0" w:type="dxa"/>
            <w:vAlign w:val="bottom"/>
          </w:tcPr>
          <w:p>
            <w:pPr>
              <w:spacing w:after="0"/>
              <w:rPr>
                <w:sz w:val="1"/>
                <w:szCs w:val="1"/>
                <w:color w:val="auto"/>
              </w:rPr>
            </w:pPr>
          </w:p>
        </w:tc>
      </w:tr>
      <w:tr>
        <w:trPr>
          <w:trHeight w:val="131"/>
        </w:trPr>
        <w:tc>
          <w:tcPr>
            <w:tcW w:w="4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980" w:type="dxa"/>
            <w:vAlign w:val="bottom"/>
            <w:gridSpan w:val="3"/>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140" w:type="dxa"/>
            <w:vAlign w:val="bottom"/>
            <w:tcBorders>
              <w:right w:val="single" w:sz="8" w:color="auto"/>
            </w:tcBorders>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 2022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5"/>
              </w:rPr>
              <w:t>2023 (2)</w:t>
            </w:r>
          </w:p>
        </w:tc>
        <w:tc>
          <w:tcPr>
            <w:tcW w:w="200" w:type="dxa"/>
            <w:vAlign w:val="bottom"/>
          </w:tcPr>
          <w:p>
            <w:pPr>
              <w:spacing w:after="0"/>
              <w:rPr>
                <w:sz w:val="13"/>
                <w:szCs w:val="13"/>
                <w:color w:val="auto"/>
              </w:rPr>
            </w:pPr>
          </w:p>
        </w:tc>
        <w:tc>
          <w:tcPr>
            <w:tcW w:w="6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(3)</w:t>
            </w:r>
          </w:p>
        </w:tc>
        <w:tc>
          <w:tcPr>
            <w:tcW w:w="26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118</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39,792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34,859</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189,767</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17,506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75,419</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28,681</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384,924</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23,445</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97,235</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75,729</w:t>
            </w: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(23,455)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(18,046)</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(155,510)</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73,780</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57,683</w:t>
            </w:r>
          </w:p>
        </w:tc>
        <w:tc>
          <w:tcPr>
            <w:tcW w:w="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494,750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40" w:hanging="371"/>
        <w:spacing w:after="0"/>
        <w:tabs>
          <w:tab w:leader="none" w:pos="11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$95.5 million related to the Cash-Based Equity Awards and $1.7 million related to Replacement Awards.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$65.8 million related to the Cash-Based Equity Awards and $9.9 million related to Replacement Awards.</w:t>
      </w:r>
    </w:p>
    <w:p>
      <w:pPr>
        <w:spacing w:after="0" w:line="6" w:lineRule="exact"/>
        <w:rPr>
          <w:rFonts w:ascii="Times New Roman" w:cs="Times New Roman" w:eastAsia="Times New Roman" w:hAnsi="Times New Roman"/>
          <w:sz w:val="16"/>
          <w:szCs w:val="16"/>
          <w:color w:val="auto"/>
        </w:rPr>
      </w:pPr>
    </w:p>
    <w:p>
      <w:pPr>
        <w:ind w:left="1140" w:right="140" w:hanging="371"/>
        <w:spacing w:after="0" w:line="256" w:lineRule="auto"/>
        <w:tabs>
          <w:tab w:leader="none" w:pos="11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million related to the Cash-Based Equity Awards, $24.1 million related to Replacement Awards and $615.0 million of accelerated equity awards attributable to the Post-Combination period.</w:t>
      </w:r>
    </w:p>
    <w:p>
      <w:pPr>
        <w:spacing w:after="0" w:line="1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480"/>
          </w:cols>
          <w:pgMar w:left="320" w:top="419" w:right="10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Liability-Classified Awards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 activity was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28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August 19, 2021</w:t>
            </w:r>
          </w:p>
        </w:tc>
        <w:tc>
          <w:tcPr>
            <w:tcW w:w="0" w:type="dxa"/>
            <w:vAlign w:val="bottom"/>
          </w:tcPr>
          <w:p>
            <w:pPr>
              <w:spacing w:after="0"/>
              <w:rPr>
                <w:sz w:val="1"/>
                <w:szCs w:val="1"/>
                <w:color w:val="auto"/>
              </w:rPr>
            </w:pPr>
          </w:p>
        </w:tc>
      </w:tr>
      <w:tr>
        <w:trPr>
          <w:trHeight w:val="131"/>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0" w:type="dxa"/>
            <w:vAlign w:val="bottom"/>
            <w:gridSpan w:val="4"/>
          </w:tcPr>
          <w:p>
            <w:pPr>
              <w:jc w:val="center"/>
              <w:ind w:left="1117"/>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80" w:type="dxa"/>
            <w:vAlign w:val="bottom"/>
          </w:tcPr>
          <w:p>
            <w:pPr>
              <w:spacing w:after="0"/>
              <w:rPr>
                <w:sz w:val="11"/>
                <w:szCs w:val="11"/>
                <w:color w:val="auto"/>
              </w:rPr>
            </w:pPr>
          </w:p>
        </w:tc>
        <w:tc>
          <w:tcPr>
            <w:tcW w:w="100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304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2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1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293,359</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184,532</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168,065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(32,159)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(40,937)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(76,910)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(41,009)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(8,508)</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15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292,189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293,359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184,532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December 31, 2023 and January 1, 2023 were $54.5 million and $35.9 million, respectively. As of December 31, 2023, approximately $237.7 million of total unrecognized compensation cost related to awards issued to date was expected to be recognized over a weighted-average period of approximately 2.5 years.</w:t>
      </w:r>
    </w:p>
    <w:p>
      <w:pPr>
        <w:spacing w:after="0" w:line="15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December 31, 2023, it was not probable that the performance conditions associated with the award will be achieved and, therefore, no stock-based compensation expense, or corresponding liability, has been recognized in the consolidated financial statements to date.</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Accelerated Awards at Acquisition and Replacement Awards</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the vesting of certain outstanding and unvested equity awards was accelerated. The fair value of the accelerated awards attributable to the Post-Combination period and recognized in connection with this event was $615.0 million.</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460"/>
          </w:cols>
          <w:pgMar w:left="320" w:top="419" w:right="11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20"/>
        <w:spacing w:after="0" w:line="272" w:lineRule="auto"/>
        <w:rPr>
          <w:sz w:val="20"/>
          <w:szCs w:val="20"/>
          <w:color w:val="auto"/>
        </w:rPr>
      </w:pPr>
      <w:r>
        <w:rPr>
          <w:rFonts w:ascii="Times New Roman" w:cs="Times New Roman" w:eastAsia="Times New Roman" w:hAnsi="Times New Roman"/>
          <w:sz w:val="15"/>
          <w:szCs w:val="15"/>
          <w:color w:val="auto"/>
        </w:rPr>
        <w:t>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 (ii) weighted-average expected term ranging from 1.6 years to 2.2 years; (iii) weighted-average risk-free interest rate ranging from 0.17% to</w:t>
      </w:r>
    </w:p>
    <w:p>
      <w:pPr>
        <w:spacing w:after="0" w:line="2" w:lineRule="exact"/>
        <w:rPr>
          <w:sz w:val="20"/>
          <w:szCs w:val="20"/>
          <w:color w:val="auto"/>
        </w:rPr>
      </w:pPr>
    </w:p>
    <w:p>
      <w:pPr>
        <w:ind w:left="760" w:right="280"/>
        <w:spacing w:after="0" w:line="256" w:lineRule="auto"/>
        <w:rPr>
          <w:sz w:val="20"/>
          <w:szCs w:val="20"/>
          <w:color w:val="auto"/>
        </w:rPr>
      </w:pPr>
      <w:r>
        <w:rPr>
          <w:rFonts w:ascii="Times New Roman" w:cs="Times New Roman" w:eastAsia="Times New Roman" w:hAnsi="Times New Roman"/>
          <w:sz w:val="16"/>
          <w:szCs w:val="16"/>
          <w:color w:val="auto"/>
        </w:rPr>
        <w:t>0.28%; (iv) weighted-average annualized volatility ranging from 40% to 43%; and (v) no dividend yield. The weighted-average acquisition-date fair value per share of the replaced performance stock options was $424.39.</w:t>
      </w:r>
    </w:p>
    <w:p>
      <w:pPr>
        <w:spacing w:after="0" w:line="162"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As of December 31, 2023, approximately $2.5 million of total unrecognized compensation cost related to performance stock options was expected to be recognized over a weighted-average period of approximately 3.7 years.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restricted stock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4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Grant-Date Fair</w:t>
            </w:r>
          </w:p>
        </w:tc>
        <w:tc>
          <w:tcPr>
            <w:tcW w:w="0" w:type="dxa"/>
            <w:vAlign w:val="bottom"/>
          </w:tcPr>
          <w:p>
            <w:pPr>
              <w:spacing w:after="0"/>
              <w:rPr>
                <w:sz w:val="1"/>
                <w:szCs w:val="1"/>
                <w:color w:val="auto"/>
              </w:rPr>
            </w:pPr>
          </w:p>
        </w:tc>
      </w:tr>
      <w:tr>
        <w:trPr>
          <w:trHeight w:val="153"/>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3"/>
              </w:rPr>
              <w:t>Stock Units</w:t>
            </w:r>
          </w:p>
        </w:tc>
        <w:tc>
          <w:tcPr>
            <w:tcW w:w="42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Awarded</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Pre-tax intrinsic value and fair value of vested restricted stock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7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Pre-tax intrinsic value of outstanding restricted stock</w:t>
            </w:r>
          </w:p>
        </w:tc>
        <w:tc>
          <w:tcPr>
            <w:tcW w:w="3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gridSpan w:val="3"/>
            <w:shd w:val="clear" w:color="auto" w:fill="CCEEFF"/>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restricted stock vested</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  519</w:t>
            </w: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10,967</w:t>
            </w:r>
          </w:p>
        </w:tc>
        <w:tc>
          <w:tcPr>
            <w:tcW w:w="0" w:type="dxa"/>
            <w:vAlign w:val="bottom"/>
          </w:tcPr>
          <w:p>
            <w:pPr>
              <w:spacing w:after="0"/>
              <w:rPr>
                <w:sz w:val="1"/>
                <w:szCs w:val="1"/>
                <w:color w:val="auto"/>
              </w:rPr>
            </w:pPr>
          </w:p>
        </w:tc>
      </w:tr>
      <w:tr>
        <w:trPr>
          <w:trHeight w:val="364"/>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Replacement performance stock option activity was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40" w:type="dxa"/>
            <w:vAlign w:val="bottom"/>
          </w:tcPr>
          <w:p>
            <w:pPr>
              <w:spacing w:after="0"/>
              <w:rPr>
                <w:sz w:val="24"/>
                <w:szCs w:val="24"/>
                <w:color w:val="auto"/>
              </w:rPr>
            </w:pPr>
          </w:p>
        </w:tc>
        <w:tc>
          <w:tcPr>
            <w:tcW w:w="138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3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380" w:type="dxa"/>
            <w:vAlign w:val="bottom"/>
          </w:tcPr>
          <w:p>
            <w:pPr>
              <w:spacing w:after="0"/>
              <w:rPr>
                <w:sz w:val="13"/>
                <w:szCs w:val="13"/>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top w:val="single" w:sz="8" w:color="CCEEFF"/>
            </w:tcBorders>
            <w:gridSpan w:val="3"/>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86.72</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87.74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There were no outstanding performance stock options exercisable as of December 31, 2023. The aggregate intrinsic value of performance stock options outstanding as of December 31, 2023 and January 1, 2023 was $0.9 million and $3.3 million, respectively. The total intrinsic value of performance stock options exercised was $6.3</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460"/>
          </w:cols>
          <w:pgMar w:left="320" w:top="419" w:right="11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million in 2021. Outstanding performance stock options, in general, have contractual terms of ten years from the respective grant dates. The performance stock options generally vest monthly over three years upon the achievement of Company-specified performance targets and are subject to continued service through the applicable vesting date.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Predecessor Period Awards</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w:t>
      </w:r>
    </w:p>
    <w:p>
      <w:pPr>
        <w:spacing w:after="0" w:line="161"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Accelerated Awards at Acquisition and Replacement Awards section of this disclosure for a further discussion of these Replacement Awards.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r>
        <w:rPr>
          <w:rFonts w:ascii="Times New Roman" w:cs="Times New Roman" w:eastAsia="Times New Roman" w:hAnsi="Times New Roman"/>
          <w:sz w:val="16"/>
          <w:szCs w:val="16"/>
          <w:color w:val="auto"/>
        </w:rPr>
        <w:t>—A summary of all stock option activity for the 2016 Plan is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80" w:type="dxa"/>
            <w:vAlign w:val="bottom"/>
          </w:tcPr>
          <w:p>
            <w:pPr>
              <w:spacing w:after="0"/>
              <w:rPr>
                <w:sz w:val="11"/>
                <w:szCs w:val="11"/>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years and per share data)</w:t>
            </w: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 (in</w:t>
            </w: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3"/>
                <w:szCs w:val="13"/>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81,813</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1.89</w:t>
            </w: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8.73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$537,108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Awards Authorized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August 18, 2021 cancelled in connection with the</w:t>
            </w: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77,335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1.91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 Activity</w:t>
      </w:r>
      <w:r>
        <w:rPr>
          <w:rFonts w:ascii="Times New Roman" w:cs="Times New Roman" w:eastAsia="Times New Roman" w:hAnsi="Times New Roman"/>
          <w:sz w:val="16"/>
          <w:szCs w:val="16"/>
          <w:color w:val="auto"/>
        </w:rPr>
        <w:t>—A summary of all restricted stock unit activity for the 2016 Plan is as follows:</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31"/>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11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3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18,768</w:t>
            </w: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13,427</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(8,898)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(485)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Unvested balance as of August 18, 2021 cancelled in</w:t>
            </w: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connection with the Acquisition</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22,812</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RELATED 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As discussed in note “1. Organization and Description of Business,” GRAIL and Illumina entered into the Merger Agreement on September 20, 2020, and on August 18, 2021, Illumina completed its acquisition of</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420"/>
          </w:cols>
          <w:pgMar w:left="320" w:top="419" w:right="11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GRAIL, Inc. Prior to the Acquisition, Illumina held a 12% stake in the Company. Illumina is both a customer of the Company and a major supplier of the Company’s reagents and capital equipment. Goods and services transactions with Illumina are invoiced and paid when due.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consolidated financial statements as follows:</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3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35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Prepaid expenses and other current assets—related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(Predecessor)</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Pr>
          <w:p>
            <w:pPr>
              <w:spacing w:after="0"/>
              <w:rPr>
                <w:sz w:val="8"/>
                <w:szCs w:val="8"/>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January 1 to</w:t>
            </w: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2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1"/>
                <w:szCs w:val="11"/>
                <w:color w:val="auto"/>
              </w:rPr>
            </w:pPr>
          </w:p>
        </w:tc>
        <w:tc>
          <w:tcPr>
            <w:tcW w:w="1080" w:type="dxa"/>
            <w:vAlign w:val="bottom"/>
            <w:gridSpan w:val="4"/>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780" w:type="dxa"/>
            <w:vAlign w:val="bottom"/>
            <w:tcBorders>
              <w:right w:val="single" w:sz="8" w:color="auto"/>
            </w:tcBorders>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340" w:type="dxa"/>
            <w:vAlign w:val="bottom"/>
            <w:tcBorders>
              <w:bottom w:val="single" w:sz="8" w:color="CCEEFF"/>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CCEEFF"/>
              <w:right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694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381</w:t>
            </w:r>
          </w:p>
        </w:tc>
        <w:tc>
          <w:tcPr>
            <w:tcW w:w="200" w:type="dxa"/>
            <w:vAlign w:val="bottom"/>
            <w:tcBorders>
              <w:right w:val="single" w:sz="8" w:color="auto"/>
            </w:tcBorders>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80" w:type="dxa"/>
            <w:vAlign w:val="bottom"/>
          </w:tcPr>
          <w:p>
            <w:pPr>
              <w:spacing w:after="0"/>
              <w:rPr>
                <w:sz w:val="16"/>
                <w:szCs w:val="16"/>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4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637</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238</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43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development—related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19,508</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18,780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1,233</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10,076</w:t>
            </w:r>
          </w:p>
        </w:tc>
        <w:tc>
          <w:tcPr>
            <w:tcW w:w="0" w:type="dxa"/>
            <w:vAlign w:val="bottom"/>
          </w:tcPr>
          <w:p>
            <w:pPr>
              <w:spacing w:after="0"/>
              <w:rPr>
                <w:sz w:val="1"/>
                <w:szCs w:val="1"/>
                <w:color w:val="auto"/>
              </w:rPr>
            </w:pPr>
          </w:p>
        </w:tc>
      </w:tr>
      <w:tr>
        <w:trPr>
          <w:trHeight w:val="174"/>
        </w:trPr>
        <w:tc>
          <w:tcPr>
            <w:tcW w:w="43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expenses—General and administrative—related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460"/>
          </w:cols>
          <w:pgMar w:left="320" w:top="419" w:right="11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(Distribution to) Member, Net</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2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January 2,</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464,000</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$609,000</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funding received from Illumina at acquisition</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payments for acquisition consideration on</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behalf of Illumina</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(625,749)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 for equity awards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(184,963)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(4,183)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(distribution to) member, net</w:t>
            </w:r>
          </w:p>
        </w:tc>
        <w:tc>
          <w:tcPr>
            <w:tcW w:w="7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463,766</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604,273</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Dr. Klausner Consulting Agreement</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Agilent Relationship</w:t>
      </w:r>
    </w:p>
    <w:p>
      <w:pPr>
        <w:spacing w:after="0" w:line="104" w:lineRule="exact"/>
        <w:rPr>
          <w:sz w:val="20"/>
          <w:szCs w:val="20"/>
          <w:color w:val="auto"/>
        </w:rPr>
      </w:pPr>
    </w:p>
    <w:p>
      <w:pPr>
        <w:jc w:val="both"/>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$1.1 million, $0.4 million and $0.1 million are included in research and development—related parties in the years ended December 31, 2023 and January 1,</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00"/>
          </w:cols>
          <w:pgMar w:left="320" w:top="419" w:right="11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2023 and the period from August 19, 2021 to January 2, 2022, respectively. Related party expenses of $0.2 million are included in cost of screening revenue—related parties in the year ended December 31, 2023. Related party balances with Twist of $0.7 million and $0.1 million are included in accounts payable—related parties as of December 31, 2023, and accrued liabilities—related parties as of January 1, 2023, respectively. As of December 31, 2023, a balance of $1.1 million is included in supplies—related parties.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9. NET LOSS PER SHARE ATTRIBUTABLE TO COMMON STOCKHOLDERS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years ended December 31, 2023, and January 1, 2023, and for the period ended January 2, 2022.</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F-32</w:t>
      </w:r>
    </w:p>
    <w:p>
      <w:pPr>
        <w:sectPr>
          <w:pgSz w:w="11900" w:h="16838" w:orient="portrait"/>
          <w:cols w:equalWidth="0" w:num="1">
            <w:col w:w="10440"/>
          </w:cols>
          <w:pgMar w:left="320" w:top="419" w:right="11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presents the calculation of the Predecessor’s basic and diluted net loss per share attributable to common stockholders: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tcPr>
          <w:p>
            <w:pPr>
              <w:jc w:val="right"/>
              <w:ind w:right="32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 August 18, 2021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170"/>
        </w:trPr>
        <w:tc>
          <w:tcPr>
            <w:tcW w:w="49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89"/>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 common shares outstanding:</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Weighted average shares of common stock—basic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shares used in earnings per common share—</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7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119" w:firstLine="388"/>
        <w:spacing w:after="0" w:line="263" w:lineRule="auto"/>
        <w:rPr>
          <w:sz w:val="20"/>
          <w:szCs w:val="20"/>
          <w:color w:val="auto"/>
        </w:rPr>
      </w:pPr>
      <w:r>
        <w:rPr>
          <w:rFonts w:ascii="Times New Roman" w:cs="Times New Roman" w:eastAsia="Times New Roman" w:hAnsi="Times New Roman"/>
          <w:sz w:val="16"/>
          <w:szCs w:val="16"/>
          <w:color w:val="auto"/>
        </w:rPr>
        <w:t>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August 18, 2021</w:t>
            </w:r>
          </w:p>
        </w:tc>
      </w:tr>
      <w:tr>
        <w:trPr>
          <w:trHeight w:val="182"/>
        </w:trPr>
        <w:tc>
          <w:tcPr>
            <w:tcW w:w="5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Redeemable convertible preferred stock (on an if-converted basis)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534,145,027</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 and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129,971,156</w:t>
            </w:r>
          </w:p>
        </w:tc>
        <w:tc>
          <w:tcPr>
            <w:tcW w:w="60" w:type="dxa"/>
            <w:vAlign w:val="bottom"/>
          </w:tcPr>
          <w:p>
            <w:pPr>
              <w:spacing w:after="0"/>
              <w:rPr>
                <w:sz w:val="16"/>
                <w:szCs w:val="16"/>
                <w:color w:val="auto"/>
              </w:rPr>
            </w:pPr>
          </w:p>
        </w:tc>
      </w:tr>
      <w:tr>
        <w:trPr>
          <w:trHeight w:val="19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479,888</w:t>
            </w:r>
          </w:p>
        </w:tc>
      </w:tr>
      <w:tr>
        <w:trPr>
          <w:trHeight w:val="19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664,596,071</w:t>
            </w:r>
          </w:p>
        </w:tc>
        <w:tc>
          <w:tcPr>
            <w:tcW w:w="6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10. TAXES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Income (loss) before income taxes summarized by region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1020" w:type="dxa"/>
            <w:vAlign w:val="bottom"/>
            <w:gridSpan w:val="2"/>
          </w:tcPr>
          <w:p>
            <w:pPr>
              <w:jc w:val="center"/>
              <w:ind w:left="18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4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$(1,509,885)</w:t>
            </w: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$(5,443,759)</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(892,906)</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(343,465)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(36,113)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7,232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(benefit from) income taxes</w:t>
            </w: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(1,507,636)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(5,441,388)</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(929,019)</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w w:val="99"/>
              </w:rPr>
              <w:t>F-33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provision for (benefit from) income taxes consisted of the following:</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40" w:type="dxa"/>
            <w:vAlign w:val="bottom"/>
          </w:tcPr>
          <w:p>
            <w:pPr>
              <w:spacing w:after="0"/>
              <w:rPr>
                <w:sz w:val="8"/>
                <w:szCs w:val="8"/>
                <w:color w:val="auto"/>
              </w:rPr>
            </w:pPr>
          </w:p>
        </w:tc>
        <w:tc>
          <w:tcPr>
            <w:tcW w:w="10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taxes:</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right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income tax expense/(benefit)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Federal</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(22,019)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(24,496)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(14,862)</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(16,134)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8"/>
              </w:rPr>
              <w:t>(14,567)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(2,615)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640"/>
              <w:spacing w:after="0" w:line="172" w:lineRule="exact"/>
              <w:rPr>
                <w:sz w:val="20"/>
                <w:szCs w:val="20"/>
                <w:color w:val="auto"/>
              </w:rPr>
            </w:pPr>
            <w:r>
              <w:rPr>
                <w:rFonts w:ascii="Times New Roman" w:cs="Times New Roman" w:eastAsia="Times New Roman" w:hAnsi="Times New Roman"/>
                <w:sz w:val="16"/>
                <w:szCs w:val="16"/>
                <w:b w:val="1"/>
                <w:bCs w:val="1"/>
                <w:color w:val="auto"/>
              </w:rPr>
              <w:t>Total deferred income tax</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expense/(benefit)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(38,153)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(39,063)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(17,477)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income taxes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(42,290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260" w:type="dxa"/>
            <w:vAlign w:val="bottom"/>
            <w:tcBorders>
              <w:right w:val="single" w:sz="8" w:color="auto"/>
            </w:tcBorders>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provision for (benefit from) income taxes reconciles to the amount computed by applying the federal statutory rate to income (loss) before income taxes as follows: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86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5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Pr>
          <w:p>
            <w:pPr>
              <w:spacing w:after="0"/>
              <w:rPr>
                <w:sz w:val="13"/>
                <w:szCs w:val="13"/>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5"/>
              </w:rPr>
              <w:t>(316,603)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(1,142,691)</w:t>
            </w: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(195,094)</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(28,833)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(22,553)</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(7,718)</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(10,913)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(12,104)</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(2,792)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146,621</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55,907</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465,038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(1,299)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(4,352)</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6,072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1,767</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(310,191)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 related items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2,548</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125,179</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987,090</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tax rates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tax provision (benefit from)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(42,290)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(17,477)</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F-34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9" w:right="13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Significant components of deferred tax assets and liabilities were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70"/>
        </w:trPr>
        <w:tc>
          <w:tcPr>
            <w:tcW w:w="45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operating losses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899,323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807,914</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 credits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88,571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76,579</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19,223</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15,612</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Capitalized U.S. research and development expenses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124,997</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68,745</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amortization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61,036</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19,825</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22,353</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1,214,010</w:t>
            </w:r>
          </w:p>
        </w:tc>
        <w:tc>
          <w:tcPr>
            <w:tcW w:w="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(570,897)</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(392,019)</w:t>
            </w:r>
          </w:p>
        </w:tc>
        <w:tc>
          <w:tcPr>
            <w:tcW w:w="0" w:type="dxa"/>
            <w:vAlign w:val="bottom"/>
          </w:tcPr>
          <w:p>
            <w:pPr>
              <w:spacing w:after="0"/>
              <w:rPr>
                <w:sz w:val="1"/>
                <w:szCs w:val="1"/>
                <w:color w:val="auto"/>
              </w:rPr>
            </w:pPr>
          </w:p>
        </w:tc>
      </w:tr>
      <w:tr>
        <w:trPr>
          <w:trHeight w:val="194"/>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643,113</w:t>
            </w:r>
          </w:p>
        </w:tc>
        <w:tc>
          <w:tcPr>
            <w:tcW w:w="8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Purchased intangible amortization</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(653,478)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(709,231)</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(2,964)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(19,592)</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0" w:type="dxa"/>
            <w:vAlign w:val="bottom"/>
          </w:tcPr>
          <w:p>
            <w:pPr>
              <w:spacing w:after="0"/>
              <w:rPr>
                <w:sz w:val="1"/>
                <w:szCs w:val="1"/>
                <w:color w:val="auto"/>
              </w:rPr>
            </w:pPr>
          </w:p>
        </w:tc>
      </w:tr>
      <w:tr>
        <w:trPr>
          <w:trHeight w:val="24"/>
        </w:trPr>
        <w:tc>
          <w:tcPr>
            <w:tcW w:w="4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(676,034)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(735,191)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(32,921)</w:t>
            </w: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(71,075</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December 31, 2023, we were not able to conclude it is more likely than not certain deferred tax assets will be realized. Therefore, a valuation allowance of $570.9 million was recorded against certain U.S. and foreign deferred tax assets.</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net operating loss carryforwards for federal and state tax purposes were $3.5 billion and $2.3 billion, respectively, a portion of which will begin to expire in 2036 unless utilized prior. The federal and state tax credit carryforwards were $90.5 million and $64.2 million. The federal credits will begin to expire in 2036 unless utilized prior. The state credits do not expire and can be carried forward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480"/>
          </w:cols>
          <w:pgMar w:left="320" w:top="419" w:right="10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indefinitely. GRAIL’s U.K. subsidiary had $28.8 million of U.K. net operating losses that can generally be carried forward provided that the U.K. entity maintains its existing trade or business.</w:t>
      </w:r>
    </w:p>
    <w:p>
      <w:pPr>
        <w:spacing w:after="0" w:line="145"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the gross amount of uncertain tax positions: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top w:val="single" w:sz="8" w:color="auto"/>
            </w:tcBorders>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jc w:val="center"/>
              <w:ind w:right="2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4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48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1"/>
                <w:szCs w:val="11"/>
                <w:color w:val="auto"/>
              </w:rPr>
            </w:pPr>
          </w:p>
        </w:tc>
        <w:tc>
          <w:tcPr>
            <w:tcW w:w="90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40" w:type="dxa"/>
            <w:vAlign w:val="bottom"/>
          </w:tcPr>
          <w:p>
            <w:pPr>
              <w:spacing w:after="0"/>
              <w:rPr>
                <w:sz w:val="11"/>
                <w:szCs w:val="11"/>
                <w:color w:val="auto"/>
              </w:rPr>
            </w:pPr>
          </w:p>
        </w:tc>
        <w:tc>
          <w:tcPr>
            <w:tcW w:w="880" w:type="dxa"/>
            <w:vAlign w:val="bottom"/>
            <w:tcBorders>
              <w:right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53"/>
        </w:trPr>
        <w:tc>
          <w:tcPr>
            <w:tcW w:w="36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tcPr>
          <w:p>
            <w:pPr>
              <w:spacing w:after="0"/>
              <w:rPr>
                <w:sz w:val="13"/>
                <w:szCs w:val="13"/>
                <w:color w:val="auto"/>
              </w:rPr>
            </w:pPr>
          </w:p>
        </w:tc>
        <w:tc>
          <w:tcPr>
            <w:tcW w:w="1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August 18,2021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51,843</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43,595</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41,683</w:t>
            </w: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21,002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59,295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51,843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43,595</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Included in the balance of uncertain tax positions as of December 31, 2023 and January 1, 2023 were $54.4 million and $47.6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spacing w:after="0" w:line="161"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Tax years 2016 to 2023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11.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60" w:firstLine="388"/>
        <w:spacing w:after="0" w:line="251"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480"/>
          </w:cols>
          <w:pgMar w:left="320" w:top="419" w:right="10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70" w:lineRule="auto"/>
        <w:rPr>
          <w:sz w:val="20"/>
          <w:szCs w:val="20"/>
          <w:color w:val="auto"/>
        </w:rPr>
      </w:pPr>
      <w:r>
        <w:rPr>
          <w:rFonts w:ascii="Times New Roman" w:cs="Times New Roman" w:eastAsia="Times New Roman" w:hAnsi="Times New Roman"/>
          <w:sz w:val="15"/>
          <w:szCs w:val="15"/>
          <w:color w:val="auto"/>
        </w:rPr>
        <w:t>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An oral hearing before the Court of Justice of the European Union was held on December 12, 2023.</w:t>
      </w:r>
    </w:p>
    <w:p>
      <w:pPr>
        <w:spacing w:after="0" w:line="158"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w:t>
      </w:r>
    </w:p>
    <w:p>
      <w:pPr>
        <w:spacing w:after="0" w:line="16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draft divestment plan to the European Commission outlining proposed terms of the divestiture. The draft divestment plan is undergoing review by the European Commission, subject to comments by GRAIL and the Monitoring Trustee. GRAIL submitted its Observations to the draft divestment plan on January 12, 2024. On February 19, 2024, Illumina submitted a modified draft divestment plan to the European Commission. The Monitoring Trustee submitted its opinion on the divestment plan on January 31, 2024. The divestment plan, outlining the terms of the Company’s divestiture, requires approval from the European Commission.</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480"/>
          </w:cols>
          <w:pgMar w:left="320" w:top="419" w:right="10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December 31, 2023, there were no pending litigations with any probable losses that can be reasonably estimated.</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12. SUBSEQUENT EVENTS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has reviewed and evaluated subsequent events through March 8, 2024, the date these consolidated financial statements were filed.</w:t>
      </w:r>
    </w:p>
    <w:p>
      <w:pPr>
        <w:spacing w:after="0" w:line="1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460"/>
          </w:cols>
          <w:pgMar w:left="320" w:top="419" w:right="11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3"/>
        </w:trPr>
        <w:tc>
          <w:tcPr>
            <w:tcW w:w="5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23"/>
        </w:trPr>
        <w:tc>
          <w:tcPr>
            <w:tcW w:w="5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
              <w:spacing w:after="0" w:line="123" w:lineRule="exact"/>
              <w:rPr>
                <w:sz w:val="20"/>
                <w:szCs w:val="20"/>
                <w:color w:val="auto"/>
              </w:rPr>
            </w:pPr>
            <w:r>
              <w:rPr>
                <w:rFonts w:ascii="Times New Roman" w:cs="Times New Roman" w:eastAsia="Times New Roman" w:hAnsi="Times New Roman"/>
                <w:sz w:val="13"/>
                <w:szCs w:val="13"/>
                <w:color w:val="auto"/>
                <w:w w:val="98"/>
              </w:rPr>
              <w:t>(Unaudited)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199,723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97,287</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14,972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16,862</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14,556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14,788</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6,907</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22,112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20,100</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6"/>
                <w:szCs w:val="16"/>
                <w:color w:val="auto"/>
              </w:rPr>
            </w:pPr>
          </w:p>
        </w:tc>
      </w:tr>
      <w:tr>
        <w:trPr>
          <w:trHeight w:val="194"/>
        </w:trPr>
        <w:tc>
          <w:tcPr>
            <w:tcW w:w="58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258,482</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156,065</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78,059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81,355</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3,330</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3,640</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79,361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84,386</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4,225</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2,652,639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2,687,223</w:t>
            </w: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888,936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888,936</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8,126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7,984</w:t>
            </w:r>
          </w:p>
        </w:tc>
      </w:tr>
      <w:tr>
        <w:trPr>
          <w:trHeight w:val="194"/>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3,972,851</w:t>
            </w:r>
          </w:p>
        </w:tc>
        <w:tc>
          <w:tcPr>
            <w:tcW w:w="3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100" w:type="dxa"/>
            <w:vAlign w:val="bottom"/>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
        </w:trPr>
        <w:tc>
          <w:tcPr>
            <w:tcW w:w="5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18,845</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828</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68,992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73,711</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40,595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54,513</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13,981</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14,809</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809</w:t>
            </w:r>
          </w:p>
        </w:tc>
      </w:tr>
      <w:tr>
        <w:trPr>
          <w:trHeight w:val="194"/>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137,625</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163,610</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65,960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69,598</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28,116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32,921</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1,498</w:t>
            </w:r>
          </w:p>
        </w:tc>
      </w:tr>
      <w:tr>
        <w:trPr>
          <w:trHeight w:val="194"/>
        </w:trPr>
        <w:tc>
          <w:tcPr>
            <w:tcW w:w="58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233,460</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267,627</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4"/>
              </w:rPr>
              <w:t>11,733,616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11,421,446</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1,066</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(7,995,239)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(7,776,325)</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8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3,739,391</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100" w:type="dxa"/>
            <w:vAlign w:val="bottom"/>
          </w:tcPr>
          <w:p>
            <w:pPr>
              <w:spacing w:after="0"/>
              <w:rPr>
                <w:sz w:val="17"/>
                <w:szCs w:val="17"/>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3,972,851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100" w:type="dxa"/>
            <w:vAlign w:val="bottom"/>
            <w:shd w:val="clear" w:color="auto" w:fill="CCEEFF"/>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F-39</w:t>
      </w:r>
    </w:p>
    <w:p>
      <w:pPr>
        <w:sectPr>
          <w:pgSz w:w="11900" w:h="16838" w:orient="portrait"/>
          <w:cols w:equalWidth="0" w:num="1">
            <w:col w:w="10480"/>
          </w:cols>
          <w:pgMar w:left="320" w:top="419" w:right="10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6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70"/>
        </w:trPr>
        <w:tc>
          <w:tcPr>
            <w:tcW w:w="63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4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23,410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15,320</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4,071</w:t>
            </w: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19,643</w:t>
            </w:r>
          </w:p>
        </w:tc>
      </w:tr>
      <w:tr>
        <w:trPr>
          <w:trHeight w:val="19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10,990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8,846</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1,579</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1,336</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6"/>
                <w:szCs w:val="16"/>
                <w:color w:val="auto"/>
              </w:rPr>
            </w:pP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33,472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33,472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96,390</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80,521</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5,235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5,352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46,819</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45,835</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46,658</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6"/>
                <w:szCs w:val="16"/>
                <w:color w:val="auto"/>
              </w:rPr>
            </w:pP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254,143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223,674</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(227,422)</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(204,031)</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2,227</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 net</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6"/>
                <w:szCs w:val="16"/>
                <w:color w:val="auto"/>
              </w:rPr>
            </w:pPr>
          </w:p>
        </w:tc>
      </w:tr>
      <w:tr>
        <w:trPr>
          <w:trHeight w:val="198"/>
        </w:trPr>
        <w:tc>
          <w:tcPr>
            <w:tcW w:w="63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net</w:t>
            </w:r>
          </w:p>
        </w:tc>
        <w:tc>
          <w:tcPr>
            <w:tcW w:w="1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17"/>
                <w:szCs w:val="17"/>
                <w:color w:val="auto"/>
              </w:rPr>
            </w:pPr>
          </w:p>
        </w:tc>
      </w:tr>
      <w:tr>
        <w:trPr>
          <w:trHeight w:val="19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(224,479)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(201,709)</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8,043</w:t>
            </w: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(218,914)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(193,666)</w:t>
            </w:r>
          </w:p>
        </w:tc>
      </w:tr>
      <w:tr>
        <w:trPr>
          <w:trHeight w:val="20"/>
        </w:trPr>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F-40</w:t>
      </w:r>
    </w:p>
    <w:p>
      <w:pPr>
        <w:sectPr>
          <w:pgSz w:w="11900" w:h="16838" w:orient="portrait"/>
          <w:cols w:equalWidth="0" w:num="1">
            <w:col w:w="10480"/>
          </w:cols>
          <w:pgMar w:left="320" w:top="419" w:right="10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7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top w:val="single" w:sz="8" w:color="auto"/>
            </w:tcBorders>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82"/>
        </w:trPr>
        <w:tc>
          <w:tcPr>
            <w:tcW w:w="76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(218,914)</w:t>
            </w:r>
          </w:p>
        </w:tc>
        <w:tc>
          <w:tcPr>
            <w:tcW w:w="48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 (193,666)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loss adjustment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(218,966</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(193,725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480"/>
          </w:cols>
          <w:pgMar w:left="320" w:top="419" w:right="10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MEMBER’S EQUITY</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$11,421,446</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1,066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1"/>
              </w:rPr>
              <w:t>$(7,776,325)</w:t>
            </w: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$3,646,187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(218,914)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(218,914)</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6"/>
                <w:szCs w:val="16"/>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312,000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312,000</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11,733,616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(7,995,239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3,739,391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$10,955,907</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91"/>
              </w:rPr>
              <w:t>894</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1"/>
              </w:rPr>
              <w:t>$(6,310,640)</w:t>
            </w: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$4,646,161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(193,666)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(193,666)</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799</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6"/>
                <w:szCs w:val="16"/>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108,870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108,870</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April 2, 2023</w:t>
            </w:r>
          </w:p>
        </w:tc>
        <w:tc>
          <w:tcPr>
            <w:tcW w:w="20" w:type="dxa"/>
            <w:vAlign w:val="bottom"/>
            <w:tcBorders>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11,065,576</w:t>
            </w: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1"/>
              </w:rPr>
              <w:t>835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(6,504,306</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4,562,105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F-42</w:t>
      </w:r>
    </w:p>
    <w:p>
      <w:pPr>
        <w:sectPr>
          <w:pgSz w:w="11900" w:h="16838" w:orient="portrait"/>
          <w:cols w:equalWidth="0" w:num="1">
            <w:col w:w="10480"/>
          </w:cols>
          <w:pgMar w:left="320" w:top="419" w:right="10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6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70"/>
        </w:trPr>
        <w:tc>
          <w:tcPr>
            <w:tcW w:w="62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52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(218,914)</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(193,666)</w:t>
            </w: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by operating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intangibles assets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34,584</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34,584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5,257</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29,106</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21,516</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payment for equity awards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(42,913)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(16,070)</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(4,805)</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w:t>
            </w: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1,890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4,885</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receivable—related parties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(2,207)</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 and liabilities, net</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2,549</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(929)</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(7,034)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(890)</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(10,946)</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and other liabilities—related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by operating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(207,286)</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(170,482)</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(2,635)</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by investing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(3,064)</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funding received from Illumina</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312,000</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109,000</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312,000</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108,870</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102,129</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(64,548)</w:t>
            </w: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101,512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246,128</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cash—end of period</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203,641</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181,580</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Represented by:</w:t>
            </w:r>
          </w:p>
        </w:tc>
        <w:tc>
          <w:tcPr>
            <w:tcW w:w="1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199,723</w:t>
            </w:r>
          </w:p>
        </w:tc>
        <w:tc>
          <w:tcPr>
            <w:tcW w:w="4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177,048</w:t>
            </w: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4,532</w:t>
            </w: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203,641</w:t>
            </w:r>
          </w:p>
        </w:tc>
        <w:tc>
          <w:tcPr>
            <w:tcW w:w="4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181,580</w:t>
            </w:r>
          </w:p>
        </w:tc>
        <w:tc>
          <w:tcPr>
            <w:tcW w:w="100" w:type="dxa"/>
            <w:vAlign w:val="bottom"/>
          </w:tcPr>
          <w:p>
            <w:pPr>
              <w:spacing w:after="0"/>
              <w:rPr>
                <w:sz w:val="16"/>
                <w:szCs w:val="16"/>
                <w:color w:val="auto"/>
              </w:rPr>
            </w:pPr>
          </w:p>
        </w:tc>
      </w:tr>
      <w:tr>
        <w:trPr>
          <w:trHeight w:val="20"/>
        </w:trPr>
        <w:tc>
          <w:tcPr>
            <w:tcW w:w="6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62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cashflow information:</w:t>
            </w: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included in accounts payable and accrued liabilities</w:t>
            </w:r>
          </w:p>
        </w:tc>
        <w:tc>
          <w:tcPr>
            <w:tcW w:w="152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(1,522)</w:t>
            </w: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cashflows from operating leases, net</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(4,738)</w:t>
            </w: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480"/>
          </w:cols>
          <w:pgMar w:left="320" w:top="419" w:right="10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9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GRAIL, LLC (“GRAIL”),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“7. Legal and Regulatory Proceedings” for additional details.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$199.7 million of cash and cash equivalents as of March 31, 2024.</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condensed consolidated financial statements were filed.</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of March 31, 2024, the Company had no off-balance sheet concentrations of credit risk.</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represent the historical operations of the standalone GRAIL legal entity and include purchase accounting adjustments and certain tax adjustments as if GRAIL filed a separate income tax return and was not included in Illumina’s condensed consolidated return. All</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F-44</w:t>
      </w:r>
    </w:p>
    <w:p>
      <w:pPr>
        <w:sectPr>
          <w:pgSz w:w="11900" w:h="16838" w:orient="portrait"/>
          <w:cols w:equalWidth="0" w:num="1">
            <w:col w:w="10460"/>
          </w:cols>
          <w:pgMar w:left="320" w:top="419" w:right="11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0"/>
        <w:spacing w:after="0" w:line="263" w:lineRule="auto"/>
        <w:rPr>
          <w:sz w:val="20"/>
          <w:szCs w:val="20"/>
          <w:color w:val="auto"/>
        </w:rPr>
      </w:pPr>
      <w:r>
        <w:rPr>
          <w:rFonts w:ascii="Times New Roman" w:cs="Times New Roman" w:eastAsia="Times New Roman" w:hAnsi="Times New Roman"/>
          <w:sz w:val="16"/>
          <w:szCs w:val="16"/>
          <w:color w:val="auto"/>
        </w:rPr>
        <w:t>revenues and costs as well as assets and liabilities directly associated with the business activity of the Company are included in the condensed consolidated financial statements. Assets and liabilities were reflected at fair value under the new basis of accounting established at the closing of the Acquisition.</w:t>
      </w:r>
    </w:p>
    <w:p>
      <w:pPr>
        <w:spacing w:after="0" w:line="157"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Management considered the need to allocate any shared costs incurred by the parent, Illumina, to the accompanying condensed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However, amounts recognized by the Company are not necessarily representative of the amounts that would have been reflected in the financial statements had the Company operated independently of the parent. Related party transactions with Illumina are discussed further in note “5. Related Party Transactions.”</w:t>
      </w:r>
    </w:p>
    <w:p>
      <w:pPr>
        <w:spacing w:after="0" w:line="147"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These condensed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Significant Accounting Policies</w:t>
      </w:r>
    </w:p>
    <w:p>
      <w:pPr>
        <w:spacing w:after="0" w:line="104"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During Q1 2024, there were no changes to our significant accounting policies as described in “Note 2—Summary of Significant Accounting Policies” to our audited Consolidated Financial Statements beginning on page F-10 of this Information Statement.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Equivalents</w:t>
      </w:r>
    </w:p>
    <w:p>
      <w:pPr>
        <w:spacing w:after="0" w:line="104" w:lineRule="exact"/>
        <w:rPr>
          <w:sz w:val="20"/>
          <w:szCs w:val="20"/>
          <w:color w:val="auto"/>
        </w:rPr>
      </w:pPr>
    </w:p>
    <w:p>
      <w:pPr>
        <w:ind w:left="760" w:right="240" w:firstLine="388"/>
        <w:spacing w:after="0" w:line="313" w:lineRule="auto"/>
        <w:rPr>
          <w:sz w:val="20"/>
          <w:szCs w:val="20"/>
          <w:color w:val="auto"/>
        </w:rPr>
      </w:pPr>
      <w:r>
        <w:rPr>
          <w:rFonts w:ascii="Times New Roman" w:cs="Times New Roman" w:eastAsia="Times New Roman" w:hAnsi="Times New Roman"/>
          <w:sz w:val="15"/>
          <w:szCs w:val="15"/>
          <w:color w:val="auto"/>
        </w:rPr>
        <w:t>As of March 31, 2024 and December 31, 2023, the Company’s cash equivalents were held in money market funds, totaling $193.2 million and $92.6 million, respectively. Cash equivalents held in money market funds were categorized as Level 1 investments within the fair value hierarchy.</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condensed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tcPr>
          <w:p>
            <w:pPr>
              <w:spacing w:after="0"/>
              <w:rPr>
                <w:sz w:val="12"/>
                <w:szCs w:val="12"/>
                <w:color w:val="auto"/>
              </w:rPr>
            </w:pP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40" w:type="dxa"/>
            <w:vAlign w:val="bottom"/>
          </w:tcPr>
          <w:p>
            <w:pPr>
              <w:spacing w:after="0"/>
              <w:rPr>
                <w:sz w:val="12"/>
                <w:szCs w:val="12"/>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 gross</w:t>
            </w:r>
          </w:p>
        </w:tc>
        <w:tc>
          <w:tcPr>
            <w:tcW w:w="164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18,160</w:t>
            </w:r>
          </w:p>
        </w:tc>
        <w:tc>
          <w:tcPr>
            <w:tcW w:w="340" w:type="dxa"/>
            <w:vAlign w:val="bottom"/>
          </w:tcPr>
          <w:p>
            <w:pPr>
              <w:spacing w:after="0"/>
              <w:rPr>
                <w:sz w:val="16"/>
                <w:szCs w:val="16"/>
                <w:color w:val="auto"/>
              </w:rPr>
            </w:pPr>
          </w:p>
        </w:tc>
        <w:tc>
          <w:tcPr>
            <w:tcW w:w="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(3,188)</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accounts receivable, net</w:t>
            </w:r>
          </w:p>
        </w:tc>
        <w:tc>
          <w:tcPr>
            <w:tcW w:w="15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16,862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1840" w:type="dxa"/>
            <w:vAlign w:val="bottom"/>
            <w:gridSpan w:val="3"/>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2,712</w:t>
            </w:r>
          </w:p>
        </w:tc>
        <w:tc>
          <w:tcPr>
            <w:tcW w:w="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7,043</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4,734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6,865</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6,579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3,990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929</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1640" w:type="dxa"/>
            <w:vAlign w:val="bottom"/>
            <w:gridSpan w:val="2"/>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22,112</w:t>
            </w:r>
          </w:p>
        </w:tc>
        <w:tc>
          <w:tcPr>
            <w:tcW w:w="3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F-45</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7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5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29,647</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41,484</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10,563</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8,310</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6,897</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8,839</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6,647</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1,534</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w:t>
            </w: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9,031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68,992</w:t>
            </w:r>
          </w:p>
        </w:tc>
        <w:tc>
          <w:tcPr>
            <w:tcW w:w="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73,711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78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condensed consolidated statements of operations, was as follows:</w:t>
      </w:r>
    </w:p>
    <w:p>
      <w:pPr>
        <w:spacing w:after="0" w:line="16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80" w:type="dxa"/>
            <w:vAlign w:val="bottom"/>
            <w:vMerge w:val="continue"/>
          </w:tcPr>
          <w:p>
            <w:pPr>
              <w:spacing w:after="0"/>
              <w:rPr>
                <w:sz w:val="10"/>
                <w:szCs w:val="10"/>
                <w:color w:val="auto"/>
              </w:rPr>
            </w:pPr>
          </w:p>
        </w:tc>
        <w:tc>
          <w:tcPr>
            <w:tcW w:w="150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 (1)</w:t>
            </w:r>
          </w:p>
        </w:tc>
        <w:tc>
          <w:tcPr>
            <w:tcW w:w="1300" w:type="dxa"/>
            <w:vAlign w:val="bottom"/>
            <w:gridSpan w:val="3"/>
          </w:tcPr>
          <w:p>
            <w:pPr>
              <w:ind w:left="420"/>
              <w:spacing w:after="0" w:line="123" w:lineRule="exact"/>
              <w:rPr>
                <w:sz w:val="20"/>
                <w:szCs w:val="20"/>
                <w:color w:val="auto"/>
              </w:rPr>
            </w:pPr>
            <w:r>
              <w:rPr>
                <w:rFonts w:ascii="Times New Roman" w:cs="Times New Roman" w:eastAsia="Times New Roman" w:hAnsi="Times New Roman"/>
                <w:sz w:val="13"/>
                <w:szCs w:val="13"/>
                <w:b w:val="1"/>
                <w:bCs w:val="1"/>
                <w:color w:val="auto"/>
                <w:w w:val="95"/>
              </w:rPr>
              <w:t>April 2, 2023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3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470</w:t>
            </w: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3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11,443</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8,960</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5,463</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4,042</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11,719</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8,141</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29,106</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3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(7,068)</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(5,190)</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22,038</w:t>
            </w: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hanging="371"/>
        <w:spacing w:after="0"/>
        <w:tabs>
          <w:tab w:leader="none" w:pos="1140"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$28.9 million related to the Cash-Based Equity Awards and $0.2 million related to Replacement Awards.</w:t>
      </w:r>
    </w:p>
    <w:p>
      <w:pPr>
        <w:spacing w:after="0" w:line="23" w:lineRule="exact"/>
        <w:rPr>
          <w:rFonts w:ascii="Times New Roman" w:cs="Times New Roman" w:eastAsia="Times New Roman" w:hAnsi="Times New Roman"/>
          <w:sz w:val="16"/>
          <w:szCs w:val="16"/>
          <w:i w:val="1"/>
          <w:iCs w:val="1"/>
          <w:color w:val="auto"/>
        </w:rPr>
      </w:pPr>
    </w:p>
    <w:p>
      <w:pPr>
        <w:ind w:left="1160" w:right="2040" w:hanging="391"/>
        <w:spacing w:after="0" w:line="485" w:lineRule="auto"/>
        <w:tabs>
          <w:tab w:leader="none" w:pos="1153"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Includes $20.7 million related to the Cash-Based Equity Awards and $0.8 million related to Replacement Awards. </w:t>
      </w:r>
      <w:r>
        <w:rPr>
          <w:rFonts w:ascii="Times New Roman" w:cs="Times New Roman" w:eastAsia="Times New Roman" w:hAnsi="Times New Roman"/>
          <w:sz w:val="16"/>
          <w:szCs w:val="16"/>
          <w:i w:val="1"/>
          <w:iCs w:val="1"/>
          <w:color w:val="auto"/>
        </w:rPr>
        <w:t>Liability-Classified Awards</w:t>
      </w:r>
    </w:p>
    <w:p>
      <w:pPr>
        <w:spacing w:after="0" w:line="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F-46</w:t>
      </w:r>
    </w:p>
    <w:p>
      <w:pPr>
        <w:sectPr>
          <w:pgSz w:w="11900" w:h="16838" w:orient="portrait"/>
          <w:cols w:equalWidth="0" w:num="1">
            <w:col w:w="10420"/>
          </w:cols>
          <w:pgMar w:left="320" w:top="419" w:right="11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 activity was as follows:</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December 31, 2023</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$292,189</w:t>
            </w:r>
          </w:p>
        </w:tc>
        <w:tc>
          <w:tcPr>
            <w:tcW w:w="80" w:type="dxa"/>
            <w:vAlign w:val="bottom"/>
            <w:shd w:val="clear" w:color="auto" w:fill="CCEEFF"/>
          </w:tcPr>
          <w:p>
            <w:pPr>
              <w:spacing w:after="0"/>
              <w:rPr>
                <w:sz w:val="16"/>
                <w:szCs w:val="16"/>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26,700</w:t>
            </w: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(8,433)</w:t>
            </w: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(42,913)</w:t>
            </w: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11,051</w:t>
            </w:r>
          </w:p>
        </w:tc>
        <w:tc>
          <w:tcPr>
            <w:tcW w:w="80" w:type="dxa"/>
            <w:vAlign w:val="bottom"/>
            <w:shd w:val="clear" w:color="auto" w:fill="CCEEFF"/>
          </w:tcPr>
          <w:p>
            <w:pPr>
              <w:spacing w:after="0"/>
              <w:rPr>
                <w:sz w:val="16"/>
                <w:szCs w:val="16"/>
                <w:color w:val="auto"/>
              </w:rPr>
            </w:pPr>
          </w:p>
        </w:tc>
      </w:tr>
      <w:tr>
        <w:trPr>
          <w:trHeight w:val="194"/>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balance, March 31, 2024</w:t>
            </w: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278,594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March 31, 2024 and December 31, 2023 were $40.6 million and $54.5 million, respectively. As of March 31, 2024, approximately $238.0 million of total unrecognized compensation cost related to awards issued to date was expected to be recognized over a weighted-average period of approximately 2.4 years.</w:t>
      </w:r>
    </w:p>
    <w:p>
      <w:pPr>
        <w:spacing w:after="0" w:line="157"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March 31, 2024, it was not probable that the performance conditions associated with the award will be achieved and, therefore, no stock-based compensation expense, or corresponding liability, has been recognized in the condensed consolidated financial statements to date.</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Replacement Awards</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Illumina issued equity awards to GRAIL employees in exchange for any of their remaining outstanding and unvested GRAIL equity awards as of the closing of the Acquisition (“the Replacement Awards”). The remaining Replacement Awards, granted under Illumina’s 2015 Stock and Incentive Compensation Plan (the 2015 Stock Plan), consist of performance stock options that are issued as shares of Illumina common stock at vesting. As of March 31, 2024, approximately $2.3 million of total unrecognized compensation cost related to performance stock options was expected to be recognized over a weighted-average period of approximately 3.5 years.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performance stock option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4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4620" w:type="dxa"/>
            <w:vAlign w:val="bottom"/>
            <w:vMerge w:val="continue"/>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Stock Options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16</w:t>
            </w: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87.74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March 31, 2024</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87.74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There were no outstanding replacement stock options exercisable as of March 31, 2024. The aggregate intrinsic value of replacement stock options outstanding as of March 31, 2024 and December 31, 2023 was $0.8 million and $0.9 million, respectively. Outstanding replacement stock options, in general, have contractual terms of ten years from the respective grant dates. The replacement stock options generally vest monthly over three years upon the achievement of Company-specified performance targets and are subject to continued service through the applicable vesting date.</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420"/>
          </w:cols>
          <w:pgMar w:left="320" w:top="419" w:right="11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RELATED 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and on August 18, 2021, Illumina completed its acquisition of GRAIL, Inc. Prior to the Acquisition, Illumina held a 12% stake in the Company. Illumina is both a customer of the Company and a major supplier of the Company’s reagents and capital equipment. Goods and services transactions with Illumina are invoiced and paid when due. </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condensed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1"/>
        </w:trPr>
        <w:tc>
          <w:tcPr>
            <w:tcW w:w="4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45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6,032</w:t>
            </w:r>
          </w:p>
        </w:tc>
        <w:tc>
          <w:tcPr>
            <w:tcW w:w="400" w:type="dxa"/>
            <w:vAlign w:val="bottom"/>
          </w:tcPr>
          <w:p>
            <w:pPr>
              <w:spacing w:after="0"/>
              <w:rPr>
                <w:sz w:val="16"/>
                <w:szCs w:val="16"/>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5,855</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3,330</w:t>
            </w:r>
          </w:p>
        </w:tc>
        <w:tc>
          <w:tcPr>
            <w:tcW w:w="400" w:type="dxa"/>
            <w:vAlign w:val="bottom"/>
          </w:tcPr>
          <w:p>
            <w:pPr>
              <w:spacing w:after="0"/>
              <w:rPr>
                <w:sz w:val="16"/>
                <w:szCs w:val="16"/>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2,949</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tcPr>
          <w:p>
            <w:pPr>
              <w:spacing w:after="0"/>
              <w:rPr>
                <w:sz w:val="18"/>
                <w:szCs w:val="18"/>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4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42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129</w:t>
            </w:r>
          </w:p>
        </w:tc>
        <w:tc>
          <w:tcPr>
            <w:tcW w:w="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252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400" w:type="dxa"/>
            <w:vAlign w:val="bottom"/>
          </w:tcPr>
          <w:p>
            <w:pPr>
              <w:spacing w:after="0"/>
              <w:rPr>
                <w:sz w:val="16"/>
                <w:szCs w:val="16"/>
                <w:color w:val="auto"/>
              </w:rPr>
            </w:pP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expenses—Research and development—related parties</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400" w:type="dxa"/>
            <w:vAlign w:val="bottom"/>
          </w:tcPr>
          <w:p>
            <w:pPr>
              <w:spacing w:after="0"/>
              <w:rPr>
                <w:sz w:val="16"/>
                <w:szCs w:val="16"/>
                <w:color w:val="auto"/>
              </w:rPr>
            </w:pP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4,780</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expenses—General and administrative—related parties</w:t>
            </w:r>
          </w:p>
        </w:tc>
        <w:tc>
          <w:tcPr>
            <w:tcW w:w="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Member, Net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condensed consolidated financial statements. As there is no intercompany loan agreement between Illumina and GRAIL and because these transactions have no history of being settled, the total net effect of these transactions are reflected in the condensed consolidated statements of cash flows as cash provided by financing activity and in the condensed consolidated balance sheets as contribution from member, net, in member’s equity. The following table presents the components of the net transfers to and from Illumina:</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640" w:type="dxa"/>
            <w:vAlign w:val="bottom"/>
          </w:tcPr>
          <w:p>
            <w:pPr>
              <w:spacing w:after="0"/>
              <w:rPr>
                <w:sz w:val="13"/>
                <w:szCs w:val="13"/>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01"/>
        </w:trPr>
        <w:tc>
          <w:tcPr>
            <w:tcW w:w="5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tcBorders>
              <w:top w:val="single" w:sz="8" w:color="auto"/>
            </w:tcBorders>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top w:val="single" w:sz="8" w:color="auto"/>
            </w:tcBorders>
          </w:tcPr>
          <w:p>
            <w:pPr>
              <w:jc w:val="right"/>
              <w:ind w:right="29"/>
              <w:spacing w:after="0" w:line="101" w:lineRule="exact"/>
              <w:rPr>
                <w:sz w:val="20"/>
                <w:szCs w:val="20"/>
                <w:color w:val="auto"/>
              </w:rPr>
            </w:pPr>
            <w:r>
              <w:rPr>
                <w:rFonts w:ascii="Times New Roman" w:cs="Times New Roman" w:eastAsia="Times New Roman" w:hAnsi="Times New Roman"/>
                <w:sz w:val="11"/>
                <w:szCs w:val="11"/>
                <w:b w:val="1"/>
                <w:bCs w:val="1"/>
                <w:color w:val="auto"/>
              </w:rPr>
              <w:t>April 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64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$312,000</w:t>
            </w: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$109,000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4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member, net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312,000</w:t>
            </w:r>
          </w:p>
        </w:tc>
        <w:tc>
          <w:tcPr>
            <w:tcW w:w="420" w:type="dxa"/>
            <w:vAlign w:val="bottom"/>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108,870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3540"/>
              <w:spacing w:after="0"/>
              <w:rPr>
                <w:sz w:val="20"/>
                <w:szCs w:val="20"/>
                <w:color w:val="auto"/>
              </w:rPr>
            </w:pPr>
            <w:r>
              <w:rPr>
                <w:rFonts w:ascii="Times New Roman" w:cs="Times New Roman" w:eastAsia="Times New Roman" w:hAnsi="Times New Roman"/>
                <w:sz w:val="16"/>
                <w:szCs w:val="16"/>
                <w:color w:val="auto"/>
              </w:rPr>
              <w:t>F-48</w:t>
            </w: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19" w:right="11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Mr. Robert Ragusa was appointed as the Company’s chief executive officer in October 2021. Mr. Ragusa also serves on the board of directors of Twist Bioscience (“Twist”), a supplier to the Company. Transactions with Twist beginning when Mr. Ragusa became the Company’s chief executive officer are reflected in the condensed consolidated financial statements as related party transactions.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Related party transactions with Twist have been reflected in the condensed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Supplies—related parties</w:t>
            </w:r>
          </w:p>
        </w:tc>
        <w:tc>
          <w:tcPr>
            <w:tcW w:w="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990</w:t>
            </w: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200"/>
              <w:spacing w:after="0" w:line="182" w:lineRule="exact"/>
              <w:rPr>
                <w:sz w:val="20"/>
                <w:szCs w:val="20"/>
                <w:color w:val="auto"/>
              </w:rPr>
            </w:pPr>
            <w:r>
              <w:rPr>
                <w:rFonts w:ascii="Times New Roman" w:cs="Times New Roman" w:eastAsia="Times New Roman" w:hAnsi="Times New Roman"/>
                <w:sz w:val="16"/>
                <w:szCs w:val="16"/>
                <w:color w:val="auto"/>
                <w:w w:val="94"/>
              </w:rPr>
              <w:t>1,052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19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256</w:t>
            </w:r>
          </w:p>
        </w:tc>
        <w:tc>
          <w:tcPr>
            <w:tcW w:w="6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45"/>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2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Cost of screening revenue—related parties</w:t>
            </w:r>
          </w:p>
        </w:tc>
        <w:tc>
          <w:tcPr>
            <w:tcW w:w="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w:t>
            </w: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320"/>
              <w:spacing w:after="0" w:line="182" w:lineRule="exact"/>
              <w:rPr>
                <w:sz w:val="20"/>
                <w:szCs w:val="20"/>
                <w:color w:val="auto"/>
              </w:rPr>
            </w:pPr>
            <w:r>
              <w:rPr>
                <w:rFonts w:ascii="Times New Roman" w:cs="Times New Roman" w:eastAsia="Times New Roman" w:hAnsi="Times New Roman"/>
                <w:sz w:val="16"/>
                <w:szCs w:val="16"/>
                <w:color w:val="auto"/>
                <w:w w:val="91"/>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development—related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433</w:t>
            </w:r>
          </w:p>
        </w:tc>
        <w:tc>
          <w:tcPr>
            <w:tcW w:w="6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TAXES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effective tax rate varies from the U.S. federal statutory tax rate due to the change in in valuation allowances related to certain deferred tax assets, state taxes, benefits related to tax credits, and the tax impact of non-deductible expenses and other permanent differences between income/(loss) before income taxes and taxable income/(loss).</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Our effective tax rate was 2.5% in Q1 2024 compared to 4.0% in Q1 2023. The variance from the U.S. federal statutory tax rate of 21% in Q1 2024 and Q1 2023 was primarily attributable to the change in valuation allowances related to certain deferred tax assets, including net operating losses and tax credits, which will remain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 Upon closing of the merger, as a single-member limited liability company wholly owned by Illumina, GRAIL, LLC is no longer subject to U.S. income tax as a separate entity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are as if GRAIL, LLC filed a separate return.</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F-49</w:t>
      </w:r>
    </w:p>
    <w:p>
      <w:pPr>
        <w:sectPr>
          <w:pgSz w:w="11900" w:h="16838" w:orient="portrait"/>
          <w:cols w:equalWidth="0" w:num="1">
            <w:col w:w="10480"/>
          </w:cols>
          <w:pgMar w:left="320" w:top="419" w:right="10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6"/>
          <w:szCs w:val="16"/>
          <w:color w:val="auto"/>
        </w:rPr>
        <w:t>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On April 19, 2021, the European Commission accepted a request for a referral of the GRAIL, Inc. acquisition for European Union merger review, submitted by a Member State of the European Union (France), and joined by several other EEA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(“EU Court of Justice”). An oral hearing before the EU Court of Justice was held on December 12, 2023. On March 21, 2024, the Advocate General recommended, in a non-binding Opinion, that the EU Court of Justice annul the General Court’s judgment and the European Commission’s decisions accepting the referral of the GRAIL acquisition for EU merger review.</w:t>
      </w:r>
    </w:p>
    <w:p>
      <w:pPr>
        <w:spacing w:after="0" w:line="168"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divestment plan to the European Commission outlining proposed terms of the divestiture. GRAIL submitted its Observations to the divestment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F-50</w:t>
      </w:r>
    </w:p>
    <w:p>
      <w:pPr>
        <w:sectPr>
          <w:pgSz w:w="11900" w:h="16838" w:orient="portrait"/>
          <w:cols w:equalWidth="0" w:num="1">
            <w:col w:w="10480"/>
          </w:cols>
          <w:pgMar w:left="320" w:top="419" w:right="10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78" w:lineRule="auto"/>
        <w:rPr>
          <w:sz w:val="20"/>
          <w:szCs w:val="20"/>
          <w:color w:val="auto"/>
        </w:rPr>
      </w:pPr>
      <w:r>
        <w:rPr>
          <w:rFonts w:ascii="Times New Roman" w:cs="Times New Roman" w:eastAsia="Times New Roman" w:hAnsi="Times New Roman"/>
          <w:sz w:val="16"/>
          <w:szCs w:val="16"/>
          <w:color w:val="auto"/>
        </w:rPr>
        <w:t>plan on January 12, 2024. The Monitoring Trustee submitted its opinion on the divestment plan on January 31, 2024. The divestment plan, outlining the terms of the Company’s divestiture, was approved by the European Commission on April 12, 2024.</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condensed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March 31, 2024, there were no pending litigations with any probable losses that can be reasonably estimated.</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SUBSEQUENT EVENTS</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Company has reviewed and evaluated subsequent events for recognition and remeasurement purposes of the interim condensed consolidated financial statements as of March 31, 2024, and for the three months then ended, through May 6, 2024, and for disclosure purposes, through June 3, 2024.</w:t>
      </w:r>
    </w:p>
    <w:p>
      <w:pPr>
        <w:spacing w:after="0" w:line="157"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On May 24, 2024, the Illumina Board authorized management to continue proceeding with the potential spin-off of GRAIL, subject to finalization of certain terms. This authorization represents a potential indicator of impairment in Q2 2024 for purposes of performing an interim goodwill impairment test. The remaining carrying value of goodwill at March 31, 2024 was $888.9 million.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F-51</w:t>
      </w:r>
    </w:p>
    <w:sectPr>
      <w:pgSz w:w="11900" w:h="16838" w:orient="portrait"/>
      <w:cols w:equalWidth="0" w:num="1">
        <w:col w:w="10460"/>
      </w:cols>
      <w:pgMar w:left="320" w:top="419"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1:"/>
      <w:numFmt w:val="upperLetter"/>
      <w:start w:val="17"/>
    </w:lvl>
  </w:abstractNum>
  <w:abstractNum w:abstractNumId="18">
    <w:nsid w:val="6A5F7029"/>
    <w:multiLevelType w:val="hybridMultilevel"/>
    <w:lvl w:ilvl="0">
      <w:lvlJc w:val="left"/>
      <w:lvlText w:val="%1:"/>
      <w:numFmt w:val="upperLetter"/>
      <w:start w:val="1"/>
    </w:lvl>
  </w:abstractNum>
  <w:abstractNum w:abstractNumId="19">
    <w:nsid w:val="7D5E18F8"/>
    <w:multiLevelType w:val="hybridMultilevel"/>
    <w:lvl w:ilvl="0">
      <w:lvlJc w:val="left"/>
      <w:lvlText w:val="%1:"/>
      <w:numFmt w:val="upperLetter"/>
      <w:start w:val="17"/>
    </w:lvl>
  </w:abstractNum>
  <w:abstractNum w:abstractNumId="20">
    <w:nsid w:val="5F3534A4"/>
    <w:multiLevelType w:val="hybridMultilevel"/>
    <w:lvl w:ilvl="0">
      <w:lvlJc w:val="left"/>
      <w:lvlText w:val="%1:"/>
      <w:numFmt w:val="upperLetter"/>
      <w:start w:val="1"/>
    </w:lvl>
  </w:abstractNum>
  <w:abstractNum w:abstractNumId="21">
    <w:nsid w:val="73A1821B"/>
    <w:multiLevelType w:val="hybridMultilevel"/>
    <w:lvl w:ilvl="0">
      <w:lvlJc w:val="left"/>
      <w:lvlText w:val="%1:"/>
      <w:numFmt w:val="upperLetter"/>
      <w:start w:val="17"/>
    </w:lvl>
  </w:abstractNum>
  <w:abstractNum w:abstractNumId="22">
    <w:nsid w:val="7DE67713"/>
    <w:multiLevelType w:val="hybridMultilevel"/>
    <w:lvl w:ilvl="0">
      <w:lvlJc w:val="left"/>
      <w:lvlText w:val="%1:"/>
      <w:numFmt w:val="upperLetter"/>
      <w:start w:val="1"/>
    </w:lvl>
  </w:abstractNum>
  <w:abstractNum w:abstractNumId="23">
    <w:nsid w:val="555C55B5"/>
    <w:multiLevelType w:val="hybridMultilevel"/>
    <w:lvl w:ilvl="0">
      <w:lvlJc w:val="left"/>
      <w:lvlText w:val="%1:"/>
      <w:numFmt w:val="upperLetter"/>
      <w:start w:val="17"/>
    </w:lvl>
  </w:abstractNum>
  <w:abstractNum w:abstractNumId="24">
    <w:nsid w:val="3FA62ACA"/>
    <w:multiLevelType w:val="hybridMultilevel"/>
    <w:lvl w:ilvl="0">
      <w:lvlJc w:val="left"/>
      <w:lvlText w:val="%1:"/>
      <w:numFmt w:val="upperLetter"/>
      <w:start w:val="1"/>
    </w:lvl>
    <w:lvl w:ilvl="1">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1:"/>
      <w:numFmt w:val="upperLetter"/>
      <w:start w:val="17"/>
    </w:lvl>
  </w:abstractNum>
  <w:abstractNum w:abstractNumId="27">
    <w:nsid w:val="71C91298"/>
    <w:multiLevelType w:val="hybridMultilevel"/>
    <w:lvl w:ilvl="0">
      <w:lvlJc w:val="left"/>
      <w:lvlText w:val="%1:"/>
      <w:numFmt w:val="upperLetter"/>
      <w:start w:val="1"/>
    </w:lvl>
  </w:abstractNum>
  <w:abstractNum w:abstractNumId="28">
    <w:nsid w:val="9DAF632"/>
    <w:multiLevelType w:val="hybridMultilevel"/>
    <w:lvl w:ilvl="0">
      <w:lvlJc w:val="left"/>
      <w:lvlText w:val="%1:"/>
      <w:numFmt w:val="upperLetter"/>
      <w:start w:val="17"/>
    </w:lvl>
  </w:abstractNum>
  <w:abstractNum w:abstractNumId="29">
    <w:nsid w:val="53299938"/>
    <w:multiLevelType w:val="hybridMultilevel"/>
    <w:lvl w:ilvl="0">
      <w:lvlJc w:val="left"/>
      <w:lvlText w:val="%1:"/>
      <w:numFmt w:val="upperLetter"/>
      <w:start w:val="1"/>
    </w:lvl>
  </w:abstractNum>
  <w:abstractNum w:abstractNumId="30">
    <w:nsid w:val="1FBFE8E0"/>
    <w:multiLevelType w:val="hybridMultilevel"/>
    <w:lvl w:ilvl="0">
      <w:lvlJc w:val="left"/>
      <w:lvlText w:val="%1:"/>
      <w:numFmt w:val="upperLetter"/>
      <w:start w:val="17"/>
    </w:lvl>
  </w:abstractNum>
  <w:abstractNum w:abstractNumId="31">
    <w:nsid w:val="5092CA79"/>
    <w:multiLevelType w:val="hybridMultilevel"/>
    <w:lvl w:ilvl="0">
      <w:lvlJc w:val="left"/>
      <w:lvlText w:val="%1:"/>
      <w:numFmt w:val="upperLetter"/>
      <w:start w:val="1"/>
    </w:lvl>
  </w:abstractNum>
  <w:abstractNum w:abstractNumId="32">
    <w:nsid w:val="1D545C4D"/>
    <w:multiLevelType w:val="hybridMultilevel"/>
    <w:lvl w:ilvl="0">
      <w:lvlJc w:val="left"/>
      <w:lvlText w:val="%1:"/>
      <w:numFmt w:val="upperLetter"/>
      <w:start w:val="17"/>
    </w:lvl>
  </w:abstractNum>
  <w:abstractNum w:abstractNumId="33">
    <w:nsid w:val="59ADEA3D"/>
    <w:multiLevelType w:val="hybridMultilevel"/>
    <w:lvl w:ilvl="0">
      <w:lvlJc w:val="left"/>
      <w:lvlText w:val="%1:"/>
      <w:numFmt w:val="upperLetter"/>
      <w:start w:val="1"/>
    </w:lvl>
  </w:abstractNum>
  <w:abstractNum w:abstractNumId="34">
    <w:nsid w:val="288F1A34"/>
    <w:multiLevelType w:val="hybridMultilevel"/>
    <w:lvl w:ilvl="0">
      <w:lvlJc w:val="left"/>
      <w:lvlText w:val="%1:"/>
      <w:numFmt w:val="upperLetter"/>
      <w:start w:val="17"/>
    </w:lvl>
  </w:abstractNum>
  <w:abstractNum w:abstractNumId="35">
    <w:nsid w:val="2A155DBC"/>
    <w:multiLevelType w:val="hybridMultilevel"/>
    <w:lvl w:ilvl="0">
      <w:lvlJc w:val="left"/>
      <w:lvlText w:val="%1:"/>
      <w:numFmt w:val="upperLetter"/>
      <w:start w:val="1"/>
    </w:lvl>
  </w:abstractNum>
  <w:abstractNum w:abstractNumId="36">
    <w:nsid w:val="1D9F6E5F"/>
    <w:multiLevelType w:val="hybridMultilevel"/>
    <w:lvl w:ilvl="0">
      <w:lvlJc w:val="left"/>
      <w:lvlText w:val="%1:"/>
      <w:numFmt w:val="upperLetter"/>
      <w:start w:val="17"/>
    </w:lvl>
  </w:abstractNum>
  <w:abstractNum w:abstractNumId="37">
    <w:nsid w:val="97E1B4E"/>
    <w:multiLevelType w:val="hybridMultilevel"/>
    <w:lvl w:ilvl="0">
      <w:lvlJc w:val="left"/>
      <w:lvlText w:val="%1:"/>
      <w:numFmt w:val="upperLetter"/>
      <w:start w:val="1"/>
    </w:lvl>
  </w:abstractNum>
  <w:abstractNum w:abstractNumId="38">
    <w:nsid w:val="51088277"/>
    <w:multiLevelType w:val="hybridMultilevel"/>
    <w:lvl w:ilvl="0">
      <w:lvlJc w:val="left"/>
      <w:lvlText w:val="%1:"/>
      <w:numFmt w:val="upperLetter"/>
      <w:start w:val="17"/>
    </w:lvl>
  </w:abstractNum>
  <w:abstractNum w:abstractNumId="39">
    <w:nsid w:val="1CA0C5FA"/>
    <w:multiLevelType w:val="hybridMultilevel"/>
    <w:lvl w:ilvl="0">
      <w:lvlJc w:val="left"/>
      <w:lvlText w:val="%1:"/>
      <w:numFmt w:val="upperLetter"/>
      <w:start w:val="1"/>
    </w:lvl>
  </w:abstractNum>
  <w:abstractNum w:abstractNumId="40">
    <w:nsid w:val="53584BCB"/>
    <w:multiLevelType w:val="hybridMultilevel"/>
    <w:lvl w:ilvl="0">
      <w:lvlJc w:val="left"/>
      <w:lvlText w:val="%1:"/>
      <w:numFmt w:val="upperLetter"/>
      <w:start w:val="17"/>
    </w:lvl>
  </w:abstractNum>
  <w:abstractNum w:abstractNumId="41">
    <w:nsid w:val="415E286C"/>
    <w:multiLevelType w:val="hybridMultilevel"/>
    <w:lvl w:ilvl="0">
      <w:lvlJc w:val="left"/>
      <w:lvlText w:val="%1:"/>
      <w:numFmt w:val="upperLetter"/>
      <w:start w:val="1"/>
    </w:lvl>
    <w:lvl w:ilvl="1">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1:"/>
      <w:numFmt w:val="upperLetter"/>
      <w:start w:val="17"/>
    </w:lvl>
  </w:abstractNum>
  <w:abstractNum w:abstractNumId="44">
    <w:nsid w:val="45E6D486"/>
    <w:multiLevelType w:val="hybridMultilevel"/>
    <w:lvl w:ilvl="0">
      <w:lvlJc w:val="left"/>
      <w:lvlText w:val="%1:"/>
      <w:numFmt w:val="upperLetter"/>
      <w:start w:val="1"/>
    </w:lvl>
  </w:abstractNum>
  <w:abstractNum w:abstractNumId="45">
    <w:nsid w:val="5C10FE21"/>
    <w:multiLevelType w:val="hybridMultilevel"/>
    <w:lvl w:ilvl="0">
      <w:lvlJc w:val="left"/>
      <w:lvlText w:val="%1:"/>
      <w:numFmt w:val="upperLetter"/>
      <w:start w:val="17"/>
    </w:lvl>
  </w:abstractNum>
  <w:abstractNum w:abstractNumId="46">
    <w:nsid w:val="E7FFA2B"/>
    <w:multiLevelType w:val="hybridMultilevel"/>
    <w:lvl w:ilvl="0">
      <w:lvlJc w:val="left"/>
      <w:lvlText w:val="%1:"/>
      <w:numFmt w:val="upperLetter"/>
      <w:start w:val="1"/>
    </w:lvl>
  </w:abstractNum>
  <w:abstractNum w:abstractNumId="47">
    <w:nsid w:val="3C5991AA"/>
    <w:multiLevelType w:val="hybridMultilevel"/>
    <w:lvl w:ilvl="0">
      <w:lvlJc w:val="left"/>
      <w:lvlText w:val="%1:"/>
      <w:numFmt w:val="upperLetter"/>
      <w:start w:val="17"/>
    </w:lvl>
  </w:abstractNum>
  <w:abstractNum w:abstractNumId="48">
    <w:nsid w:val="4BD8591A"/>
    <w:multiLevelType w:val="hybridMultilevel"/>
    <w:lvl w:ilvl="0">
      <w:lvlJc w:val="left"/>
      <w:lvlText w:val="%1:"/>
      <w:numFmt w:val="upperLetter"/>
      <w:start w:val="1"/>
    </w:lvl>
  </w:abstractNum>
  <w:abstractNum w:abstractNumId="49">
    <w:nsid w:val="78DF6A55"/>
    <w:multiLevelType w:val="hybridMultilevel"/>
    <w:lvl w:ilvl="0">
      <w:lvlJc w:val="left"/>
      <w:lvlText w:val="%1:"/>
      <w:numFmt w:val="upperLetter"/>
      <w:start w:val="17"/>
    </w:lvl>
  </w:abstractNum>
  <w:abstractNum w:abstractNumId="50">
    <w:nsid w:val="39B7AAA2"/>
    <w:multiLevelType w:val="hybridMultilevel"/>
    <w:lvl w:ilvl="0">
      <w:lvlJc w:val="left"/>
      <w:lvlText w:val="%1:"/>
      <w:numFmt w:val="upperLetter"/>
      <w:start w:val="1"/>
    </w:lvl>
  </w:abstractNum>
  <w:abstractNum w:abstractNumId="51">
    <w:nsid w:val="2B0D8DBE"/>
    <w:multiLevelType w:val="hybridMultilevel"/>
    <w:lvl w:ilvl="0">
      <w:lvlJc w:val="left"/>
      <w:lvlText w:val="%1:"/>
      <w:numFmt w:val="upperLetter"/>
      <w:start w:val="17"/>
    </w:lvl>
  </w:abstractNum>
  <w:abstractNum w:abstractNumId="52">
    <w:nsid w:val="6C80EC70"/>
    <w:multiLevelType w:val="hybridMultilevel"/>
    <w:lvl w:ilvl="0">
      <w:lvlJc w:val="left"/>
      <w:lvlText w:val="%1:"/>
      <w:numFmt w:val="upperLetter"/>
      <w:start w:val="1"/>
    </w:lvl>
  </w:abstractNum>
  <w:abstractNum w:abstractNumId="53">
    <w:nsid w:val="379E21B5"/>
    <w:multiLevelType w:val="hybridMultilevel"/>
    <w:lvl w:ilvl="0">
      <w:lvlJc w:val="left"/>
      <w:lvlText w:val="%1:"/>
      <w:numFmt w:val="upperLetter"/>
      <w:start w:val="17"/>
    </w:lvl>
  </w:abstractNum>
  <w:abstractNum w:abstractNumId="54">
    <w:nsid w:val="69E373"/>
    <w:multiLevelType w:val="hybridMultilevel"/>
    <w:lvl w:ilvl="0">
      <w:lvlJc w:val="left"/>
      <w:lvlText w:val="%1:"/>
      <w:numFmt w:val="upperLetter"/>
      <w:start w:val="1"/>
    </w:lvl>
  </w:abstractNum>
  <w:abstractNum w:abstractNumId="55">
    <w:nsid w:val="2C27173B"/>
    <w:multiLevelType w:val="hybridMultilevel"/>
    <w:lvl w:ilvl="0">
      <w:lvlJc w:val="left"/>
      <w:lvlText w:val="%1:"/>
      <w:numFmt w:val="upperLetter"/>
      <w:start w:val="17"/>
    </w:lvl>
  </w:abstractNum>
  <w:abstractNum w:abstractNumId="56">
    <w:nsid w:val="4C9B0904"/>
    <w:multiLevelType w:val="hybridMultilevel"/>
    <w:lvl w:ilvl="0">
      <w:lvlJc w:val="left"/>
      <w:lvlText w:val="%1:"/>
      <w:numFmt w:val="upperLetter"/>
      <w:start w:val="1"/>
    </w:lvl>
  </w:abstractNum>
  <w:abstractNum w:abstractNumId="57">
    <w:nsid w:val="6AA7B75C"/>
    <w:multiLevelType w:val="hybridMultilevel"/>
    <w:lvl w:ilvl="0">
      <w:lvlJc w:val="left"/>
      <w:lvlText w:val="%1:"/>
      <w:numFmt w:val="upperLetter"/>
      <w:start w:val="17"/>
    </w:lvl>
  </w:abstractNum>
  <w:abstractNum w:abstractNumId="58">
    <w:nsid w:val="1DF029D3"/>
    <w:multiLevelType w:val="hybridMultilevel"/>
    <w:lvl w:ilvl="0">
      <w:lvlJc w:val="left"/>
      <w:lvlText w:val="%1:"/>
      <w:numFmt w:val="upperLetter"/>
      <w:start w:val="1"/>
    </w:lvl>
  </w:abstractNum>
  <w:abstractNum w:abstractNumId="59">
    <w:nsid w:val="5675FF36"/>
    <w:multiLevelType w:val="hybridMultilevel"/>
    <w:lvl w:ilvl="0">
      <w:lvlJc w:val="left"/>
      <w:lvlText w:val="%1:"/>
      <w:numFmt w:val="upperLetter"/>
      <w:start w:val="17"/>
    </w:lvl>
  </w:abstractNum>
  <w:abstractNum w:abstractNumId="60">
    <w:nsid w:val="3DD15094"/>
    <w:multiLevelType w:val="hybridMultilevel"/>
    <w:lvl w:ilvl="0">
      <w:lvlJc w:val="left"/>
      <w:lvlText w:val="%1:"/>
      <w:numFmt w:val="upperLetter"/>
      <w:start w:val="1"/>
    </w:lvl>
  </w:abstractNum>
  <w:abstractNum w:abstractNumId="61">
    <w:nsid w:val="3DB012B3"/>
    <w:multiLevelType w:val="hybridMultilevel"/>
    <w:lvl w:ilvl="0">
      <w:lvlJc w:val="left"/>
      <w:lvlText w:val="%1:"/>
      <w:numFmt w:val="upperLetter"/>
      <w:start w:val="17"/>
    </w:lvl>
  </w:abstractNum>
  <w:abstractNum w:abstractNumId="62">
    <w:nsid w:val="2708C9AF"/>
    <w:multiLevelType w:val="hybridMultilevel"/>
    <w:lvl w:ilvl="0">
      <w:lvlJc w:val="left"/>
      <w:lvlText w:val="%1:"/>
      <w:numFmt w:val="upperLetter"/>
      <w:start w:val="1"/>
    </w:lvl>
  </w:abstractNum>
  <w:abstractNum w:abstractNumId="63">
    <w:nsid w:val="5B25ACE2"/>
    <w:multiLevelType w:val="hybridMultilevel"/>
    <w:lvl w:ilvl="0">
      <w:lvlJc w:val="left"/>
      <w:lvlText w:val="%1:"/>
      <w:numFmt w:val="upperLetter"/>
      <w:start w:val="17"/>
    </w:lvl>
  </w:abstractNum>
  <w:abstractNum w:abstractNumId="64">
    <w:nsid w:val="175DFCF0"/>
    <w:multiLevelType w:val="hybridMultilevel"/>
    <w:lvl w:ilvl="0">
      <w:lvlJc w:val="left"/>
      <w:lvlText w:val="%1:"/>
      <w:numFmt w:val="upperLetter"/>
      <w:start w:val="1"/>
    </w:lvl>
  </w:abstractNum>
  <w:abstractNum w:abstractNumId="65">
    <w:nsid w:val="4F97E3E4"/>
    <w:multiLevelType w:val="hybridMultilevel"/>
    <w:lvl w:ilvl="0">
      <w:lvlJc w:val="left"/>
      <w:lvlText w:val="%1:"/>
      <w:numFmt w:val="upperLetter"/>
      <w:start w:val="17"/>
    </w:lvl>
  </w:abstractNum>
  <w:abstractNum w:abstractNumId="66">
    <w:nsid w:val="53B0A9E"/>
    <w:multiLevelType w:val="hybridMultilevel"/>
    <w:lvl w:ilvl="0">
      <w:lvlJc w:val="left"/>
      <w:lvlText w:val="%1:"/>
      <w:numFmt w:val="upperLetter"/>
      <w:start w:val="1"/>
    </w:lvl>
  </w:abstractNum>
  <w:abstractNum w:abstractNumId="67">
    <w:nsid w:val="34FD6B4F"/>
    <w:multiLevelType w:val="hybridMultilevel"/>
    <w:lvl w:ilvl="0">
      <w:lvlJc w:val="left"/>
      <w:lvlText w:val="%1:"/>
      <w:numFmt w:val="upperLetter"/>
      <w:start w:val="17"/>
    </w:lvl>
  </w:abstractNum>
  <w:abstractNum w:abstractNumId="68">
    <w:nsid w:val="5915FF32"/>
    <w:multiLevelType w:val="hybridMultilevel"/>
    <w:lvl w:ilvl="0">
      <w:lvlJc w:val="left"/>
      <w:lvlText w:val="%1:"/>
      <w:numFmt w:val="upperLetter"/>
      <w:start w:val="1"/>
    </w:lvl>
  </w:abstractNum>
  <w:abstractNum w:abstractNumId="69">
    <w:nsid w:val="56438D15"/>
    <w:multiLevelType w:val="hybridMultilevel"/>
    <w:lvl w:ilvl="0">
      <w:lvlJc w:val="left"/>
      <w:lvlText w:val="%1:"/>
      <w:numFmt w:val="upperLetter"/>
      <w:start w:val="17"/>
    </w:lvl>
  </w:abstractNum>
  <w:abstractNum w:abstractNumId="70">
    <w:nsid w:val="519E3149"/>
    <w:multiLevelType w:val="hybridMultilevel"/>
    <w:lvl w:ilvl="0">
      <w:lvlJc w:val="left"/>
      <w:lvlText w:val="%1:"/>
      <w:numFmt w:val="upperLetter"/>
      <w:start w:val="1"/>
    </w:lvl>
  </w:abstractNum>
  <w:abstractNum w:abstractNumId="71">
    <w:nsid w:val="2C6E4AFD"/>
    <w:multiLevelType w:val="hybridMultilevel"/>
    <w:lvl w:ilvl="0">
      <w:lvlJc w:val="left"/>
      <w:lvlText w:val="%1:"/>
      <w:numFmt w:val="upperLetter"/>
      <w:start w:val="17"/>
    </w:lvl>
  </w:abstractNum>
  <w:abstractNum w:abstractNumId="72">
    <w:nsid w:val="17A1B582"/>
    <w:multiLevelType w:val="hybridMultilevel"/>
    <w:lvl w:ilvl="0">
      <w:lvlJc w:val="left"/>
      <w:lvlText w:val="%1:"/>
      <w:numFmt w:val="upperLetter"/>
      <w:start w:val="1"/>
    </w:lvl>
  </w:abstractNum>
  <w:abstractNum w:abstractNumId="73">
    <w:nsid w:val="4DF72E4E"/>
    <w:multiLevelType w:val="hybridMultilevel"/>
    <w:lvl w:ilvl="0">
      <w:lvlJc w:val="left"/>
      <w:lvlText w:val="%1:"/>
      <w:numFmt w:val="upperLetter"/>
      <w:start w:val="17"/>
    </w:lvl>
  </w:abstractNum>
  <w:abstractNum w:abstractNumId="74">
    <w:nsid w:val="5046B5A9"/>
    <w:multiLevelType w:val="hybridMultilevel"/>
    <w:lvl w:ilvl="0">
      <w:lvlJc w:val="left"/>
      <w:lvlText w:val="%1:"/>
      <w:numFmt w:val="upperLetter"/>
      <w:start w:val="1"/>
    </w:lvl>
  </w:abstractNum>
  <w:abstractNum w:abstractNumId="75">
    <w:nsid w:val="5D888A08"/>
    <w:multiLevelType w:val="hybridMultilevel"/>
    <w:lvl w:ilvl="0">
      <w:lvlJc w:val="left"/>
      <w:lvlText w:val="%1:"/>
      <w:numFmt w:val="upperLetter"/>
      <w:start w:val="17"/>
    </w:lvl>
  </w:abstractNum>
  <w:abstractNum w:abstractNumId="76">
    <w:nsid w:val="2A082C70"/>
    <w:multiLevelType w:val="hybridMultilevel"/>
    <w:lvl w:ilvl="0">
      <w:lvlJc w:val="left"/>
      <w:lvlText w:val="%1:"/>
      <w:numFmt w:val="upperLetter"/>
      <w:start w:val="1"/>
    </w:lvl>
  </w:abstractNum>
  <w:abstractNum w:abstractNumId="77">
    <w:nsid w:val="5EC6AFD4"/>
    <w:multiLevelType w:val="hybridMultilevel"/>
    <w:lvl w:ilvl="0">
      <w:lvlJc w:val="left"/>
      <w:lvlText w:val="%1:"/>
      <w:numFmt w:val="upperLetter"/>
      <w:start w:val="17"/>
    </w:lvl>
  </w:abstractNum>
  <w:abstractNum w:abstractNumId="78">
    <w:nsid w:val="19E21BB2"/>
    <w:multiLevelType w:val="hybridMultilevel"/>
    <w:lvl w:ilvl="0">
      <w:lvlJc w:val="left"/>
      <w:lvlText w:val="%1:"/>
      <w:numFmt w:val="upperLetter"/>
      <w:start w:val="1"/>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
      <w:numFmt w:val="bullet"/>
      <w:start w:val="1"/>
    </w:lvl>
  </w:abstractNum>
  <w:abstractNum w:abstractNumId="89">
    <w:nsid w:val="E3E47A8"/>
    <w:multiLevelType w:val="hybridMultilevel"/>
    <w:lvl w:ilvl="0">
      <w:lvlJc w:val="left"/>
      <w:lvlText w:val="•"/>
      <w:numFmt w:val="bullet"/>
      <w:start w:val="1"/>
    </w:lvl>
  </w:abstractNum>
  <w:abstractNum w:abstractNumId="90">
    <w:nsid w:val="2E48F044"/>
    <w:multiLevelType w:val="hybridMultilevel"/>
    <w:lvl w:ilvl="0">
      <w:lvlJc w:val="left"/>
      <w:lvlText w:val="•"/>
      <w:numFmt w:val="bullet"/>
      <w:start w:val="1"/>
    </w:lvl>
  </w:abstractNum>
  <w:abstractNum w:abstractNumId="91">
    <w:nsid w:val="49D0FEAC"/>
    <w:multiLevelType w:val="hybridMultilevel"/>
    <w:lvl w:ilvl="0">
      <w:lvlJc w:val="left"/>
      <w:lvlText w:val="•"/>
      <w:numFmt w:val="bullet"/>
      <w:start w:val="1"/>
    </w:lvl>
  </w:abstractNum>
  <w:abstractNum w:abstractNumId="92">
    <w:nsid w:val="4BEE5A5B"/>
    <w:multiLevelType w:val="hybridMultilevel"/>
    <w:lvl w:ilvl="0">
      <w:lvlJc w:val="left"/>
      <w:lvlText w:val="•"/>
      <w:numFmt w:val="bullet"/>
      <w:start w:val="1"/>
    </w:lvl>
  </w:abstractNum>
  <w:abstractNum w:abstractNumId="93">
    <w:nsid w:val="5551B9F3"/>
    <w:multiLevelType w:val="hybridMultilevel"/>
    <w:lvl w:ilvl="0">
      <w:lvlJc w:val="left"/>
      <w:lvlText w:val="•"/>
      <w:numFmt w:val="bullet"/>
      <w:start w:val="1"/>
    </w:lvl>
  </w:abstractNum>
  <w:abstractNum w:abstractNumId="94">
    <w:nsid w:val="24F6AB8E"/>
    <w:multiLevelType w:val="hybridMultilevel"/>
    <w:lvl w:ilvl="0">
      <w:lvlJc w:val="left"/>
      <w:lvlText w:val="•"/>
      <w:numFmt w:val="bullet"/>
      <w:start w:val="1"/>
    </w:lvl>
  </w:abstractNum>
  <w:abstractNum w:abstractNumId="95">
    <w:nsid w:val="634C574C"/>
    <w:multiLevelType w:val="hybridMultilevel"/>
    <w:lvl w:ilvl="0">
      <w:lvlJc w:val="left"/>
      <w:lvlText w:val="•"/>
      <w:numFmt w:val="bullet"/>
      <w:start w:val="1"/>
    </w:lvl>
  </w:abstractNum>
  <w:abstractNum w:abstractNumId="96">
    <w:nsid w:val="24E99DD7"/>
    <w:multiLevelType w:val="hybridMultilevel"/>
    <w:lvl w:ilvl="0">
      <w:lvlJc w:val="left"/>
      <w:lvlText w:val="•"/>
      <w:numFmt w:val="bullet"/>
      <w:start w:val="1"/>
    </w:lvl>
  </w:abstractNum>
  <w:abstractNum w:abstractNumId="97">
    <w:nsid w:val="2A31B62D"/>
    <w:multiLevelType w:val="hybridMultilevel"/>
    <w:lvl w:ilvl="0">
      <w:lvlJc w:val="left"/>
      <w:lvlText w:val="•"/>
      <w:numFmt w:val="bullet"/>
      <w:start w:val="1"/>
    </w:lvl>
  </w:abstractNum>
  <w:abstractNum w:abstractNumId="98">
    <w:nsid w:val="1849C29B"/>
    <w:multiLevelType w:val="hybridMultilevel"/>
    <w:lvl w:ilvl="0">
      <w:lvlJc w:val="left"/>
      <w:lvlText w:val="•"/>
      <w:numFmt w:val="bullet"/>
      <w:start w:val="1"/>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
      <w:numFmt w:val="bullet"/>
      <w:start w:val="1"/>
    </w:lvl>
  </w:abstractNum>
  <w:abstractNum w:abstractNumId="101">
    <w:nsid w:val="69E7F3E5"/>
    <w:multiLevelType w:val="hybridMultilevel"/>
    <w:lvl w:ilvl="0">
      <w:lvlJc w:val="left"/>
      <w:lvlText w:val="•"/>
      <w:numFmt w:val="bullet"/>
      <w:start w:val="1"/>
    </w:lvl>
  </w:abstractNum>
  <w:abstractNum w:abstractNumId="102">
    <w:nsid w:val="2A6DE806"/>
    <w:multiLevelType w:val="hybridMultilevel"/>
    <w:lvl w:ilvl="0">
      <w:lvlJc w:val="left"/>
      <w:lvlText w:val="•"/>
      <w:numFmt w:val="bullet"/>
      <w:start w:val="1"/>
    </w:lvl>
  </w:abstractNum>
  <w:abstractNum w:abstractNumId="103">
    <w:nsid w:val="1816F8C4"/>
    <w:multiLevelType w:val="hybridMultilevel"/>
    <w:lvl w:ilvl="0">
      <w:lvlJc w:val="left"/>
      <w:lvlText w:val="•"/>
      <w:numFmt w:val="bullet"/>
      <w:start w:val="1"/>
    </w:lvl>
  </w:abstractNum>
  <w:abstractNum w:abstractNumId="104">
    <w:nsid w:val="37DF2233"/>
    <w:multiLevelType w:val="hybridMultilevel"/>
    <w:lvl w:ilvl="0">
      <w:lvlJc w:val="left"/>
      <w:lvlText w:val="•"/>
      <w:numFmt w:val="bullet"/>
      <w:start w:val="1"/>
    </w:lvl>
  </w:abstractNum>
  <w:abstractNum w:abstractNumId="105">
    <w:nsid w:val="7AB49DAF"/>
    <w:multiLevelType w:val="hybridMultilevel"/>
    <w:lvl w:ilvl="0">
      <w:lvlJc w:val="left"/>
      <w:lvlText w:val="•"/>
      <w:numFmt w:val="bullet"/>
      <w:start w:val="1"/>
    </w:lvl>
  </w:abstractNum>
  <w:abstractNum w:abstractNumId="106">
    <w:nsid w:val="759F82CD"/>
    <w:multiLevelType w:val="hybridMultilevel"/>
    <w:lvl w:ilvl="0">
      <w:lvlJc w:val="left"/>
      <w:lvlText w:val="•"/>
      <w:numFmt w:val="bullet"/>
      <w:start w:val="1"/>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
      <w:numFmt w:val="bullet"/>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
      <w:numFmt w:val="bullet"/>
      <w:start w:val="1"/>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
      <w:numFmt w:val="bullet"/>
      <w:start w:val="1"/>
    </w:lvl>
  </w:abstractNum>
  <w:abstractNum w:abstractNumId="117">
    <w:nsid w:val="65968C1C"/>
    <w:multiLevelType w:val="hybridMultilevel"/>
    <w:lvl w:ilvl="0">
      <w:lvlJc w:val="left"/>
      <w:lvlText w:val="•"/>
      <w:numFmt w:val="bullet"/>
      <w:start w:val="1"/>
    </w:lvl>
  </w:abstractNum>
  <w:abstractNum w:abstractNumId="118">
    <w:nsid w:val="46263DEC"/>
    <w:multiLevelType w:val="hybridMultilevel"/>
    <w:lvl w:ilvl="0">
      <w:lvlJc w:val="left"/>
      <w:lvlText w:val="•"/>
      <w:numFmt w:val="bullet"/>
      <w:start w:val="1"/>
    </w:lvl>
  </w:abstractNum>
  <w:abstractNum w:abstractNumId="119">
    <w:nsid w:val="260D8C4A"/>
    <w:multiLevelType w:val="hybridMultilevel"/>
    <w:lvl w:ilvl="0">
      <w:lvlJc w:val="left"/>
      <w:lvlText w:val="•"/>
      <w:numFmt w:val="bullet"/>
      <w:start w:val="1"/>
    </w:lvl>
  </w:abstractNum>
  <w:abstractNum w:abstractNumId="120">
    <w:nsid w:val="73D4D3C4"/>
    <w:multiLevelType w:val="hybridMultilevel"/>
    <w:lvl w:ilvl="0">
      <w:lvlJc w:val="left"/>
      <w:lvlText w:val="•"/>
      <w:numFmt w:val="bullet"/>
      <w:start w:val="1"/>
    </w:lvl>
  </w:abstractNum>
  <w:abstractNum w:abstractNumId="121">
    <w:nsid w:val="746F2E30"/>
    <w:multiLevelType w:val="hybridMultilevel"/>
    <w:lvl w:ilvl="0">
      <w:lvlJc w:val="left"/>
      <w:lvlText w:val="•"/>
      <w:numFmt w:val="bullet"/>
      <w:start w:val="1"/>
    </w:lvl>
  </w:abstractNum>
  <w:abstractNum w:abstractNumId="122">
    <w:nsid w:val="6FDE8AF6"/>
    <w:multiLevelType w:val="hybridMultilevel"/>
    <w:lvl w:ilvl="0">
      <w:lvlJc w:val="left"/>
      <w:lvlText w:val="•"/>
      <w:numFmt w:val="bullet"/>
      <w:start w:val="1"/>
    </w:lvl>
  </w:abstractNum>
  <w:abstractNum w:abstractNumId="123">
    <w:nsid w:val="3FC32E20"/>
    <w:multiLevelType w:val="hybridMultilevel"/>
    <w:lvl w:ilvl="0">
      <w:lvlJc w:val="left"/>
      <w:lvlText w:val="•"/>
      <w:numFmt w:val="bullet"/>
      <w:start w:val="1"/>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1)"/>
      <w:numFmt w:val="lowerLetter"/>
      <w:start w:val="6"/>
    </w:lvl>
  </w:abstractNum>
  <w:abstractNum w:abstractNumId="126">
    <w:nsid w:val="230F856C"/>
    <w:multiLevelType w:val="hybridMultilevel"/>
    <w:lvl w:ilvl="0">
      <w:lvlJc w:val="left"/>
      <w:lvlText w:val="(%1)"/>
      <w:numFmt w:val="lowerLetter"/>
      <w:start w:val="27"/>
    </w:lvl>
  </w:abstractNum>
  <w:abstractNum w:abstractNumId="127">
    <w:nsid w:val="6EAA85FB"/>
    <w:multiLevelType w:val="hybridMultilevel"/>
    <w:lvl w:ilvl="0">
      <w:lvlJc w:val="left"/>
      <w:lvlText w:val="•"/>
      <w:numFmt w:val="bullet"/>
      <w:start w:val="1"/>
    </w:lvl>
  </w:abstractNum>
  <w:abstractNum w:abstractNumId="128">
    <w:nsid w:val="3F06ECB2"/>
    <w:multiLevelType w:val="hybridMultilevel"/>
    <w:lvl w:ilvl="0">
      <w:lvlJc w:val="left"/>
      <w:lvlText w:val="•"/>
      <w:numFmt w:val="bullet"/>
      <w:start w:val="1"/>
    </w:lvl>
  </w:abstractNum>
  <w:abstractNum w:abstractNumId="129">
    <w:nsid w:val="3B594807"/>
    <w:multiLevelType w:val="hybridMultilevel"/>
    <w:lvl w:ilvl="0">
      <w:lvlJc w:val="left"/>
      <w:lvlText w:val="•"/>
      <w:numFmt w:val="bullet"/>
      <w:start w:val="1"/>
    </w:lvl>
  </w:abstractNum>
  <w:abstractNum w:abstractNumId="130">
    <w:nsid w:val="6CAA2304"/>
    <w:multiLevelType w:val="hybridMultilevel"/>
    <w:lvl w:ilvl="0">
      <w:lvlJc w:val="left"/>
      <w:lvlText w:val="•"/>
      <w:numFmt w:val="bullet"/>
      <w:start w:val="1"/>
    </w:lvl>
  </w:abstractNum>
  <w:abstractNum w:abstractNumId="131">
    <w:nsid w:val="3F7C2FF4"/>
    <w:multiLevelType w:val="hybridMultilevel"/>
    <w:lvl w:ilvl="0">
      <w:lvlJc w:val="left"/>
      <w:lvlText w:val="•"/>
      <w:numFmt w:val="bullet"/>
      <w:start w:val="1"/>
    </w:lvl>
  </w:abstractNum>
  <w:abstractNum w:abstractNumId="132">
    <w:nsid w:val="25413BEC"/>
    <w:multiLevelType w:val="hybridMultilevel"/>
    <w:lvl w:ilvl="0">
      <w:lvlJc w:val="left"/>
      <w:lvlText w:val="•"/>
      <w:numFmt w:val="bullet"/>
      <w:start w:val="1"/>
    </w:lvl>
  </w:abstractNum>
  <w:abstractNum w:abstractNumId="133">
    <w:nsid w:val="17180B0B"/>
    <w:multiLevelType w:val="hybridMultilevel"/>
    <w:lvl w:ilvl="0">
      <w:lvlJc w:val="left"/>
      <w:lvlText w:val="•"/>
      <w:numFmt w:val="bullet"/>
      <w:start w:val="1"/>
    </w:lvl>
  </w:abstractNum>
  <w:abstractNum w:abstractNumId="134">
    <w:nsid w:val="579328B9"/>
    <w:multiLevelType w:val="hybridMultilevel"/>
    <w:lvl w:ilvl="0">
      <w:lvlJc w:val="left"/>
      <w:lvlText w:val="•"/>
      <w:numFmt w:val="bullet"/>
      <w:start w:val="1"/>
    </w:lvl>
  </w:abstractNum>
  <w:abstractNum w:abstractNumId="135">
    <w:nsid w:val="5D205E20"/>
    <w:multiLevelType w:val="hybridMultilevel"/>
    <w:lvl w:ilvl="0">
      <w:lvlJc w:val="left"/>
      <w:lvlText w:val="&amp;"/>
      <w:numFmt w:val="bullet"/>
      <w:start w:val="1"/>
    </w:lvl>
  </w:abstractNum>
  <w:abstractNum w:abstractNumId="136">
    <w:nsid w:val="11CCA8BA"/>
    <w:multiLevelType w:val="hybridMultilevel"/>
    <w:lvl w:ilvl="0">
      <w:lvlJc w:val="left"/>
      <w:lvlText w:val="•"/>
      <w:numFmt w:val="bullet"/>
      <w:start w:val="1"/>
    </w:lvl>
  </w:abstractNum>
  <w:abstractNum w:abstractNumId="137">
    <w:nsid w:val="4D32AB86"/>
    <w:multiLevelType w:val="hybridMultilevel"/>
    <w:lvl w:ilvl="0">
      <w:lvlJc w:val="left"/>
      <w:lvlText w:val="•"/>
      <w:numFmt w:val="bullet"/>
      <w:start w:val="1"/>
    </w:lvl>
  </w:abstractNum>
  <w:abstractNum w:abstractNumId="138">
    <w:nsid w:val="3F07ACC3"/>
    <w:multiLevelType w:val="hybridMultilevel"/>
    <w:lvl w:ilvl="0">
      <w:lvlJc w:val="left"/>
      <w:lvlText w:val="•"/>
      <w:numFmt w:val="bullet"/>
      <w:start w:val="1"/>
    </w:lvl>
  </w:abstractNum>
  <w:abstractNum w:abstractNumId="139">
    <w:nsid w:val="6B47F63E"/>
    <w:multiLevelType w:val="hybridMultilevel"/>
    <w:lvl w:ilvl="0">
      <w:lvlJc w:val="left"/>
      <w:lvlText w:val="•"/>
      <w:numFmt w:val="bullet"/>
      <w:start w:val="1"/>
    </w:lvl>
  </w:abstractNum>
  <w:abstractNum w:abstractNumId="140">
    <w:nsid w:val="5CB44A05"/>
    <w:multiLevelType w:val="hybridMultilevel"/>
    <w:lvl w:ilvl="0">
      <w:lvlJc w:val="left"/>
      <w:lvlText w:val="•"/>
      <w:numFmt w:val="bullet"/>
      <w:start w:val="1"/>
    </w:lvl>
  </w:abstractNum>
  <w:abstractNum w:abstractNumId="141">
    <w:nsid w:val="16CF80F1"/>
    <w:multiLevelType w:val="hybridMultilevel"/>
    <w:lvl w:ilvl="0">
      <w:lvlJc w:val="left"/>
      <w:lvlText w:val="•"/>
      <w:numFmt w:val="bullet"/>
      <w:start w:val="1"/>
    </w:lvl>
  </w:abstractNum>
  <w:abstractNum w:abstractNumId="142">
    <w:nsid w:val="1C695DEC"/>
    <w:multiLevelType w:val="hybridMultilevel"/>
    <w:lvl w:ilvl="0">
      <w:lvlJc w:val="left"/>
      <w:lvlText w:val="•"/>
      <w:numFmt w:val="bullet"/>
      <w:start w:val="1"/>
    </w:lvl>
  </w:abstractNum>
  <w:abstractNum w:abstractNumId="143">
    <w:nsid w:val="3FCFAED9"/>
    <w:multiLevelType w:val="hybridMultilevel"/>
    <w:lvl w:ilvl="0">
      <w:lvlJc w:val="left"/>
      <w:lvlText w:val="•"/>
      <w:numFmt w:val="bullet"/>
      <w:start w:val="1"/>
    </w:lvl>
  </w:abstractNum>
  <w:abstractNum w:abstractNumId="144">
    <w:nsid w:val="F856867"/>
    <w:multiLevelType w:val="hybridMultilevel"/>
    <w:lvl w:ilvl="0">
      <w:lvlJc w:val="left"/>
      <w:lvlText w:val="•"/>
      <w:numFmt w:val="bullet"/>
      <w:start w:val="1"/>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
      <w:numFmt w:val="bullet"/>
      <w:start w:val="1"/>
    </w:lvl>
  </w:abstractNum>
  <w:abstractNum w:abstractNumId="147">
    <w:nsid w:val="29934699"/>
    <w:multiLevelType w:val="hybridMultilevel"/>
    <w:lvl w:ilvl="0">
      <w:lvlJc w:val="left"/>
      <w:lvlText w:val="•"/>
      <w:numFmt w:val="bullet"/>
      <w:start w:val="1"/>
    </w:lvl>
  </w:abstractNum>
  <w:abstractNum w:abstractNumId="148">
    <w:nsid w:val="77485850"/>
    <w:multiLevelType w:val="hybridMultilevel"/>
    <w:lvl w:ilvl="0">
      <w:lvlJc w:val="left"/>
      <w:lvlText w:val="•"/>
      <w:numFmt w:val="bullet"/>
      <w:start w:val="1"/>
    </w:lvl>
  </w:abstractNum>
  <w:abstractNum w:abstractNumId="149">
    <w:nsid w:val="744939A3"/>
    <w:multiLevelType w:val="hybridMultilevel"/>
    <w:lvl w:ilvl="0">
      <w:lvlJc w:val="left"/>
      <w:lvlText w:val="•"/>
      <w:numFmt w:val="bullet"/>
      <w:start w:val="1"/>
    </w:lvl>
  </w:abstractNum>
  <w:abstractNum w:abstractNumId="150">
    <w:nsid w:val="4FA0D2E3"/>
    <w:multiLevelType w:val="hybridMultilevel"/>
    <w:lvl w:ilvl="0">
      <w:lvlJc w:val="left"/>
      <w:lvlText w:val="•"/>
      <w:numFmt w:val="bullet"/>
      <w:start w:val="1"/>
    </w:lvl>
  </w:abstractNum>
  <w:abstractNum w:abstractNumId="151">
    <w:nsid w:val="6B1D2C14"/>
    <w:multiLevelType w:val="hybridMultilevel"/>
    <w:lvl w:ilvl="0">
      <w:lvlJc w:val="left"/>
      <w:lvlText w:val="•"/>
      <w:numFmt w:val="bullet"/>
      <w:start w:val="1"/>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1)"/>
      <w:numFmt w:val="decimal"/>
      <w:start w:val="1"/>
    </w:lvl>
  </w:abstractNum>
  <w:abstractNum w:abstractNumId="154">
    <w:nsid w:val="2AE05A34"/>
    <w:multiLevelType w:val="hybridMultilevel"/>
    <w:lvl w:ilvl="0">
      <w:lvlJc w:val="left"/>
      <w:lvlText w:val="(%1)"/>
      <w:numFmt w:val="decimal"/>
      <w:start w:val="1"/>
    </w:lvl>
  </w:abstractNum>
  <w:abstractNum w:abstractNumId="155">
    <w:nsid w:val="32794FF7"/>
    <w:multiLevelType w:val="hybridMultilevel"/>
    <w:lvl w:ilvl="0">
      <w:lvlJc w:val="left"/>
      <w:lvlText w:val="(%1)"/>
      <w:numFmt w:val="decimal"/>
      <w:start w:val="1"/>
    </w:lvl>
  </w:abstractNum>
  <w:abstractNum w:abstractNumId="156">
    <w:nsid w:val="5454945E"/>
    <w:multiLevelType w:val="hybridMultilevel"/>
    <w:lvl w:ilvl="0">
      <w:lvlJc w:val="left"/>
      <w:lvlText w:val="(%1)"/>
      <w:numFmt w:val="decimal"/>
      <w:start w:val="1"/>
    </w:lvl>
  </w:abstractNum>
  <w:abstractNum w:abstractNumId="157">
    <w:nsid w:val="4DEFDFA0"/>
    <w:multiLevelType w:val="hybridMultilevel"/>
    <w:lvl w:ilvl="0">
      <w:lvlJc w:val="left"/>
      <w:lvlText w:val="•"/>
      <w:numFmt w:val="bullet"/>
      <w:start w:val="1"/>
    </w:lvl>
  </w:abstractNum>
  <w:abstractNum w:abstractNumId="158">
    <w:nsid w:val="2123D5F2"/>
    <w:multiLevelType w:val="hybridMultilevel"/>
    <w:lvl w:ilvl="0">
      <w:lvlJc w:val="left"/>
      <w:lvlText w:val="•"/>
      <w:numFmt w:val="bullet"/>
      <w:start w:val="1"/>
    </w:lvl>
  </w:abstractNum>
  <w:abstractNum w:abstractNumId="159">
    <w:nsid w:val="135B8110"/>
    <w:multiLevelType w:val="hybridMultilevel"/>
    <w:lvl w:ilvl="0">
      <w:lvlJc w:val="left"/>
      <w:lvlText w:val="•"/>
      <w:numFmt w:val="bullet"/>
      <w:start w:val="1"/>
    </w:lvl>
  </w:abstractNum>
  <w:abstractNum w:abstractNumId="160">
    <w:nsid w:val="94927A8"/>
    <w:multiLevelType w:val="hybridMultilevel"/>
    <w:lvl w:ilvl="0">
      <w:lvlJc w:val="left"/>
      <w:lvlText w:val="•"/>
      <w:numFmt w:val="bullet"/>
      <w:start w:val="1"/>
    </w:lvl>
    <w:lvl w:ilvl="1">
      <w:lvlJc w:val="left"/>
      <w:lvlText w:val="•"/>
      <w:numFmt w:val="bullet"/>
      <w:start w:val="1"/>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
      <w:numFmt w:val="bullet"/>
      <w:start w:val="1"/>
    </w:lvl>
  </w:abstractNum>
  <w:abstractNum w:abstractNumId="163">
    <w:nsid w:val="2E8A6394"/>
    <w:multiLevelType w:val="hybridMultilevel"/>
    <w:lvl w:ilvl="0">
      <w:lvlJc w:val="left"/>
      <w:lvlText w:val="(%1)"/>
      <w:numFmt w:val="decimal"/>
      <w:start w:val="1"/>
    </w:lvl>
  </w:abstractNum>
  <w:abstractNum w:abstractNumId="164">
    <w:nsid w:val="24E60401"/>
    <w:multiLevelType w:val="hybridMultilevel"/>
    <w:lvl w:ilvl="0">
      <w:lvlJc w:val="left"/>
      <w:lvlText w:val="•"/>
      <w:numFmt w:val="bullet"/>
      <w:start w:val="1"/>
    </w:lvl>
  </w:abstractNum>
  <w:abstractNum w:abstractNumId="165">
    <w:nsid w:val="2A6AD9BE"/>
    <w:multiLevelType w:val="hybridMultilevel"/>
    <w:lvl w:ilvl="0">
      <w:lvlJc w:val="left"/>
      <w:lvlText w:val="(%1)"/>
      <w:numFmt w:val="decimal"/>
      <w:start w:val="1"/>
    </w:lvl>
  </w:abstractNum>
  <w:abstractNum w:abstractNumId="166">
    <w:nsid w:val="BAAC1B4"/>
    <w:multiLevelType w:val="hybridMultilevel"/>
    <w:lvl w:ilvl="0">
      <w:lvlJc w:val="left"/>
      <w:lvlText w:val="•"/>
      <w:numFmt w:val="bullet"/>
      <w:start w:val="1"/>
    </w:lvl>
  </w:abstractNum>
  <w:abstractNum w:abstractNumId="167">
    <w:nsid w:val="36B2ACBC"/>
    <w:multiLevelType w:val="hybridMultilevel"/>
    <w:lvl w:ilvl="0">
      <w:lvlJc w:val="left"/>
      <w:lvlText w:val="(%1)"/>
      <w:numFmt w:val="decimal"/>
      <w:start w:val="1"/>
    </w:lvl>
  </w:abstractNum>
  <w:abstractNum w:abstractNumId="168">
    <w:nsid w:val="779D8544"/>
    <w:multiLevelType w:val="hybridMultilevel"/>
    <w:lvl w:ilvl="0">
      <w:lvlJc w:val="left"/>
      <w:lvlText w:val="(%1)"/>
      <w:numFmt w:val="decimal"/>
      <w:start w:val="1"/>
    </w:lvl>
  </w:abstractNum>
  <w:abstractNum w:abstractNumId="169">
    <w:nsid w:val="4AB26E78"/>
    <w:multiLevelType w:val="hybridMultilevel"/>
    <w:lvl w:ilvl="0">
      <w:lvlJc w:val="left"/>
      <w:lvlText w:val="(%1)"/>
      <w:numFmt w:val="lowerRoman"/>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
      <w:numFmt w:val="bullet"/>
      <w:start w:val="1"/>
    </w:lvl>
  </w:abstractNum>
  <w:abstractNum w:abstractNumId="174">
    <w:nsid w:val="14217E23"/>
    <w:multiLevelType w:val="hybridMultilevel"/>
    <w:lvl w:ilvl="0">
      <w:lvlJc w:val="left"/>
      <w:lvlText w:val="(%1)"/>
      <w:numFmt w:val="lowerRoman"/>
      <w:start w:val="2"/>
    </w:lvl>
  </w:abstractNum>
  <w:abstractNum w:abstractNumId="175">
    <w:nsid w:val="710757D0"/>
    <w:multiLevelType w:val="hybridMultilevel"/>
    <w:lvl w:ilvl="0">
      <w:lvlJc w:val="left"/>
      <w:lvlText w:val="•"/>
      <w:numFmt w:val="bullet"/>
      <w:start w:val="1"/>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decimal"/>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2.png"/><Relationship Id="rId69" Type="http://schemas.openxmlformats.org/officeDocument/2006/relationships/image" Target="media/image33.png"/><Relationship Id="rId70" Type="http://schemas.openxmlformats.org/officeDocument/2006/relationships/image" Target="media/image34.png"/><Relationship Id="rId71" Type="http://schemas.openxmlformats.org/officeDocument/2006/relationships/image" Target="media/image35.png"/><Relationship Id="rId72" Type="http://schemas.openxmlformats.org/officeDocument/2006/relationships/image" Target="media/image36.png"/><Relationship Id="rId73" Type="http://schemas.openxmlformats.org/officeDocument/2006/relationships/image" Target="media/image37.pn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jpeg"/><Relationship Id="rId216" Type="http://schemas.openxmlformats.org/officeDocument/2006/relationships/image" Target="media/image180.png"/><Relationship Id="rId217" Type="http://schemas.openxmlformats.org/officeDocument/2006/relationships/image" Target="media/image181.jpe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jpeg"/><Relationship Id="rId221" Type="http://schemas.openxmlformats.org/officeDocument/2006/relationships/image" Target="media/image185.png"/><Relationship Id="rId222" Type="http://schemas.openxmlformats.org/officeDocument/2006/relationships/image" Target="media/image186.jpe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jpeg"/><Relationship Id="rId226" Type="http://schemas.openxmlformats.org/officeDocument/2006/relationships/image" Target="media/image190.png"/><Relationship Id="rId227" Type="http://schemas.openxmlformats.org/officeDocument/2006/relationships/image" Target="media/image191.jpe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jpe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jpe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jpe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jpe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jpeg"/><Relationship Id="rId245" Type="http://schemas.openxmlformats.org/officeDocument/2006/relationships/image" Target="media/image209.png"/><Relationship Id="rId246" Type="http://schemas.openxmlformats.org/officeDocument/2006/relationships/image" Target="media/image210.jpeg"/><Relationship Id="rId247" Type="http://schemas.openxmlformats.org/officeDocument/2006/relationships/image" Target="media/image211.png"/><Relationship Id="rId248" Type="http://schemas.openxmlformats.org/officeDocument/2006/relationships/image" Target="media/image212.jpeg"/><Relationship Id="rId249" Type="http://schemas.openxmlformats.org/officeDocument/2006/relationships/image" Target="media/image213.png"/><Relationship Id="rId250" Type="http://schemas.openxmlformats.org/officeDocument/2006/relationships/image" Target="media/image214.jpe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jpeg"/><Relationship Id="rId255" Type="http://schemas.openxmlformats.org/officeDocument/2006/relationships/image" Target="media/image219.png"/><Relationship Id="rId256" Type="http://schemas.openxmlformats.org/officeDocument/2006/relationships/image" Target="media/image220.jpe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21" Type="http://schemas.openxmlformats.org/officeDocument/2006/relationships/hyperlink" Target="http://www.sec.gov/Archives/edgar/data/0001699031/000119312524148672/d556103dex21.htm" TargetMode="External"/><Relationship Id="rId22" Type="http://schemas.openxmlformats.org/officeDocument/2006/relationships/hyperlink" Target="http://www.sec.gov/Archives/edgar/data/0001699031/000119312524132022/d556103dex31.htm" TargetMode="External"/><Relationship Id="rId23" Type="http://schemas.openxmlformats.org/officeDocument/2006/relationships/hyperlink" Target="http://www.sec.gov/Archives/edgar/data/0001699031/000119312524132022/d556103dex32.htm" TargetMode="External"/><Relationship Id="rId24" Type="http://schemas.openxmlformats.org/officeDocument/2006/relationships/hyperlink" Target="http://www.sec.gov/Archives/edgar/data/0001699031/000119312524132022/d556103dex33.htm" TargetMode="External"/><Relationship Id="rId25" Type="http://schemas.openxmlformats.org/officeDocument/2006/relationships/hyperlink" Target="http://www.sec.gov/Archives/edgar/data/0001699031/000119312524132022/d556103dex101.htm" TargetMode="External"/><Relationship Id="rId26" Type="http://schemas.openxmlformats.org/officeDocument/2006/relationships/hyperlink" Target="http://www.sec.gov/Archives/edgar/data/0001699031/000119312524132022/d556103dex102.htm" TargetMode="External"/><Relationship Id="rId27" Type="http://schemas.openxmlformats.org/officeDocument/2006/relationships/hyperlink" Target="http://www.sec.gov/Archives/edgar/data/0001699031/000119312524132022/d556103dex103.htm" TargetMode="External"/><Relationship Id="rId28" Type="http://schemas.openxmlformats.org/officeDocument/2006/relationships/hyperlink" Target="http://www.sec.gov/Archives/edgar/data/0001699031/000119312524132022/d556103dex104.htm" TargetMode="External"/><Relationship Id="rId29" Type="http://schemas.openxmlformats.org/officeDocument/2006/relationships/hyperlink" Target="http://www.sec.gov/Archives/edgar/data/0001699031/000119312524132022/d556103dex105.htm" TargetMode="External"/><Relationship Id="rId30" Type="http://schemas.openxmlformats.org/officeDocument/2006/relationships/hyperlink" Target="http://www.sec.gov/Archives/edgar/data/0001699031/000119312524132022/d556103dex106.htm" TargetMode="External"/><Relationship Id="rId31" Type="http://schemas.openxmlformats.org/officeDocument/2006/relationships/hyperlink" Target="http://www.sec.gov/Archives/edgar/data/0001699031/000119312524132022/d556103dex107.htm" TargetMode="External"/><Relationship Id="rId32" Type="http://schemas.openxmlformats.org/officeDocument/2006/relationships/hyperlink" Target="http://www.sec.gov/Archives/edgar/data/0001699031/000119312524148672/d556103dex108.htm" TargetMode="External"/><Relationship Id="rId33" Type="http://schemas.openxmlformats.org/officeDocument/2006/relationships/hyperlink" Target="http://www.sec.gov/Archives/edgar/data/0001699031/000119312524148672/d556103dex109.htm" TargetMode="External"/><Relationship Id="rId34" Type="http://schemas.openxmlformats.org/officeDocument/2006/relationships/hyperlink" Target="http://www.sec.gov/Archives/edgar/data/0001699031/000119312524148672/d556103dex1010.htm" TargetMode="External"/><Relationship Id="rId35" Type="http://schemas.openxmlformats.org/officeDocument/2006/relationships/hyperlink" Target="http://www.sec.gov/Archives/edgar/data/0001699031/000119312524148672/d556103dex1011.htm" TargetMode="External"/><Relationship Id="rId36" Type="http://schemas.openxmlformats.org/officeDocument/2006/relationships/hyperlink" Target="http://www.sec.gov/Archives/edgar/data/0001699031/000119312524148672/d556103dex1012.htm" TargetMode="External"/><Relationship Id="rId37" Type="http://schemas.openxmlformats.org/officeDocument/2006/relationships/hyperlink" Target="http://www.sec.gov/Archives/edgar/data/0001699031/000119312524148672/d556103dex1013.htm" TargetMode="External"/><Relationship Id="rId38" Type="http://schemas.openxmlformats.org/officeDocument/2006/relationships/hyperlink" Target="http://www.sec.gov/Archives/edgar/data/0001699031/000119312524148672/d556103dex1014.htm" TargetMode="External"/><Relationship Id="rId39" Type="http://schemas.openxmlformats.org/officeDocument/2006/relationships/hyperlink" Target="http://www.sec.gov/Archives/edgar/data/0001699031/000119312524148672/d556103dex1015.htm" TargetMode="External"/><Relationship Id="rId40" Type="http://schemas.openxmlformats.org/officeDocument/2006/relationships/hyperlink" Target="http://www.sec.gov/Archives/edgar/data/0001699031/000119312524148672/d556103dex1016.htm" TargetMode="External"/><Relationship Id="rId41" Type="http://schemas.openxmlformats.org/officeDocument/2006/relationships/hyperlink" Target="http://www.sec.gov/Archives/edgar/data/0001699031/000119312524148672/d556103dex1017.htm" TargetMode="External"/><Relationship Id="rId42" Type="http://schemas.openxmlformats.org/officeDocument/2006/relationships/hyperlink" Target="http://www.sec.gov/Archives/edgar/data/0001699031/000119312524148672/d556103dex1018.htm" TargetMode="External"/><Relationship Id="rId43" Type="http://schemas.openxmlformats.org/officeDocument/2006/relationships/hyperlink" Target="http://www.sec.gov/Archives/edgar/data/0001699031/000119312524148672/d556103dex1019.htm" TargetMode="External"/><Relationship Id="rId44" Type="http://schemas.openxmlformats.org/officeDocument/2006/relationships/hyperlink" Target="http://www.sec.gov/Archives/edgar/data/0001699031/000119312524148672/d556103dex1020.htm" TargetMode="External"/><Relationship Id="rId45" Type="http://schemas.openxmlformats.org/officeDocument/2006/relationships/hyperlink" Target="http://www.sec.gov/Archives/edgar/data/0001699031/000119312524148672/d556103dex1021.htm" TargetMode="External"/><Relationship Id="rId46" Type="http://schemas.openxmlformats.org/officeDocument/2006/relationships/hyperlink" Target="http://www.sec.gov/Archives/edgar/data/0001699031/000119312524148672/d556103dex1022.htm" TargetMode="External"/><Relationship Id="rId47" Type="http://schemas.openxmlformats.org/officeDocument/2006/relationships/hyperlink" Target="http://www.sec.gov/Archives/edgar/data/0001699031/000119312524148672/d556103dex1023.htm" TargetMode="External"/><Relationship Id="rId48" Type="http://schemas.openxmlformats.org/officeDocument/2006/relationships/hyperlink" Target="http://www.sec.gov/Archives/edgar/data/0001699031/000119312524148672/d556103dex1024.htm" TargetMode="External"/><Relationship Id="rId49" Type="http://schemas.openxmlformats.org/officeDocument/2006/relationships/hyperlink" Target="http://www.sec.gov/Archives/edgar/data/0001699031/000119312524132022/d55610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2024-06-03T07:31:22Z</dcterms:created>
  <dcterms:modified xsi:type="dcterms:W3CDTF">2024-06-03T07:31:22Z</dcterms:modified>
</cp:coreProperties>
</file>